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564684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74978A3" w14:textId="77638488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8. +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(20% acceptance rate; 85% effort) </w:t>
      </w:r>
    </w:p>
    <w:p w14:paraId="38A5FBC1" w14:textId="77777777" w:rsidR="009B0BA2" w:rsidRDefault="009B0BA2" w:rsidP="009B0BA2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7. +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(22% acceptance rate; 100% effort)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Counseling,</w:t>
      </w:r>
      <w:r>
        <w:rPr>
          <w:sz w:val="23"/>
          <w:szCs w:val="23"/>
        </w:rPr>
        <w:t xml:space="preserve"> 10(2),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D88FD09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5B5FEC61" w14:textId="18629F82" w:rsidR="00CB5068" w:rsidRDefault="00CB5068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Antiracism in Counselor Education 3-part Panel Series, </w:t>
      </w:r>
      <w:r>
        <w:rPr>
          <w:bCs/>
          <w:i/>
          <w:iCs/>
          <w:sz w:val="23"/>
          <w:szCs w:val="23"/>
        </w:rPr>
        <w:t>C</w:t>
      </w:r>
      <w:r w:rsidRPr="00585352">
        <w:rPr>
          <w:bCs/>
          <w:i/>
          <w:iCs/>
          <w:sz w:val="23"/>
          <w:szCs w:val="23"/>
        </w:rPr>
        <w:t>o-coordinator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Summer 2020 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4BA9BE6A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</w:t>
      </w:r>
      <w:r w:rsidR="00CB5068">
        <w:rPr>
          <w:bCs/>
          <w:sz w:val="23"/>
          <w:szCs w:val="23"/>
          <w:u w:val="single"/>
        </w:rPr>
        <w:t>Service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431A7" w14:textId="77777777" w:rsidR="00564684" w:rsidRDefault="00564684">
      <w:pPr>
        <w:spacing w:after="0" w:line="240" w:lineRule="auto"/>
      </w:pPr>
      <w:r>
        <w:separator/>
      </w:r>
    </w:p>
  </w:endnote>
  <w:endnote w:type="continuationSeparator" w:id="0">
    <w:p w14:paraId="2BACF538" w14:textId="77777777" w:rsidR="00564684" w:rsidRDefault="0056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33DFD" w14:textId="77777777" w:rsidR="00564684" w:rsidRDefault="00564684">
      <w:pPr>
        <w:spacing w:after="0" w:line="240" w:lineRule="auto"/>
      </w:pPr>
      <w:r>
        <w:separator/>
      </w:r>
    </w:p>
  </w:footnote>
  <w:footnote w:type="continuationSeparator" w:id="0">
    <w:p w14:paraId="536756A3" w14:textId="77777777" w:rsidR="00564684" w:rsidRDefault="0056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8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477</cp:revision>
  <dcterms:created xsi:type="dcterms:W3CDTF">2018-09-18T18:54:00Z</dcterms:created>
  <dcterms:modified xsi:type="dcterms:W3CDTF">2020-10-05T19:40:00Z</dcterms:modified>
</cp:coreProperties>
</file>