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15372E5D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E2311F">
        <w:rPr>
          <w:b/>
          <w:bCs/>
        </w:rPr>
        <w:t>Jan.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</w:t>
      </w:r>
      <w:proofErr w:type="spellStart"/>
      <w:r w:rsidRPr="00AD4581">
        <w:t>03.11.PR0.116k29w0</w:t>
      </w:r>
      <w:proofErr w:type="spellEnd"/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</w:t>
      </w:r>
      <w:proofErr w:type="spellStart"/>
      <w:r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</w:t>
      </w:r>
      <w:proofErr w:type="spellStart"/>
      <w:r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PR0.105.3.835</w:t>
      </w:r>
      <w:proofErr w:type="spellEnd"/>
      <w:r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PRO.101.1.135</w:t>
      </w:r>
      <w:proofErr w:type="spellEnd"/>
      <w:r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r w:rsidRPr="00AD4581">
        <w:rPr>
          <w:i/>
        </w:rPr>
        <w:t xml:space="preserve">Families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reliability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77777777" w:rsidR="00D32662" w:rsidRPr="000F5C43" w:rsidRDefault="00D32662" w:rsidP="000F5C43">
      <w:pPr>
        <w:pStyle w:val="BodyText"/>
        <w:rPr>
          <w:b/>
          <w:bCs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09CC3531" w14:textId="489D805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585ED99F" w14:textId="460A8BA2" w:rsidR="00C57C58" w:rsidRDefault="00C57C58" w:rsidP="000F5C43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C57C58">
        <w:t>College of Education Curriculum Committee</w:t>
      </w:r>
    </w:p>
    <w:p w14:paraId="1D9BA7DC" w14:textId="7F7D1018" w:rsidR="00C57C58" w:rsidRDefault="00C57C58" w:rsidP="000F5C43">
      <w:pPr>
        <w:pStyle w:val="BodyText"/>
      </w:pPr>
      <w:r>
        <w:t xml:space="preserve">SERC representative member of the College of Education Curriculum Committee </w:t>
      </w:r>
    </w:p>
    <w:p w14:paraId="7BDF641F" w14:textId="71E1A5D9" w:rsidR="00C57C58" w:rsidRPr="00C57C58" w:rsidRDefault="00C57C58" w:rsidP="000F5C43">
      <w:pPr>
        <w:pStyle w:val="BodyText"/>
      </w:pPr>
      <w:r>
        <w:t>June 2021- Present</w:t>
      </w:r>
    </w:p>
    <w:p w14:paraId="4E3032A5" w14:textId="77777777" w:rsidR="00D32662" w:rsidRDefault="00D32662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6661067F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10FB35BB" w14:textId="5052DB22" w:rsidR="00D32662" w:rsidRDefault="00D32662" w:rsidP="000F5C43">
      <w:pPr>
        <w:pStyle w:val="BodyText"/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  <w:r>
        <w:t xml:space="preserve">Auburn University </w:t>
      </w:r>
      <w:r w:rsidR="00563F35">
        <w:tab/>
      </w:r>
      <w:r>
        <w:t xml:space="preserve">Department of Special Education, Rehabilitation, &amp; Counseling. Assist in required program data </w:t>
      </w:r>
      <w:r w:rsidR="00563F35">
        <w:tab/>
      </w:r>
      <w:r>
        <w:t xml:space="preserve">collection and analysis for accreditation purposes. Assist in compiling reports, obtaining graduate </w:t>
      </w:r>
      <w:r w:rsidR="00563F35">
        <w:tab/>
      </w:r>
      <w:r>
        <w:t xml:space="preserve">follow-up information and annual tracking of students’ performance. Facilitate collection and the </w:t>
      </w:r>
      <w:r w:rsidR="00563F35">
        <w:tab/>
      </w:r>
      <w:r>
        <w:t xml:space="preserve">analysis of formative and summative assessment for continuous program improvement. Disseminate </w:t>
      </w:r>
      <w:r w:rsidR="00563F35">
        <w:tab/>
      </w:r>
      <w:r>
        <w:t>assessment reports to faculty. (Spring 2019-present)</w:t>
      </w:r>
    </w:p>
    <w:p w14:paraId="104901FB" w14:textId="77777777" w:rsidR="00D32662" w:rsidRDefault="00D32662" w:rsidP="000F5C43">
      <w:pPr>
        <w:pStyle w:val="BodyText"/>
      </w:pPr>
    </w:p>
    <w:p w14:paraId="5BDDB2C1" w14:textId="0EF8D434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42ED75AE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Education </w:t>
      </w:r>
      <w:r w:rsidR="00031635">
        <w:t xml:space="preserve"> Consortium for </w:t>
      </w:r>
      <w:r w:rsidR="00031635">
        <w:tab/>
        <w:t xml:space="preserve">Special Education  (Spring 2022).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D0C2B"/>
    <w:rsid w:val="000E368E"/>
    <w:rsid w:val="000F5C43"/>
    <w:rsid w:val="001817D5"/>
    <w:rsid w:val="002343AB"/>
    <w:rsid w:val="00234ED6"/>
    <w:rsid w:val="00237BA6"/>
    <w:rsid w:val="00296F9A"/>
    <w:rsid w:val="002B4B18"/>
    <w:rsid w:val="002E1F84"/>
    <w:rsid w:val="003212DC"/>
    <w:rsid w:val="0036098B"/>
    <w:rsid w:val="003A2DD2"/>
    <w:rsid w:val="003D29DD"/>
    <w:rsid w:val="00481C96"/>
    <w:rsid w:val="00496C4F"/>
    <w:rsid w:val="004B38FE"/>
    <w:rsid w:val="004B4459"/>
    <w:rsid w:val="004C08C7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F4A9C"/>
    <w:rsid w:val="007F5AFD"/>
    <w:rsid w:val="008550DE"/>
    <w:rsid w:val="008956CC"/>
    <w:rsid w:val="008A38FD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185"/>
    <w:rsid w:val="00D32662"/>
    <w:rsid w:val="00D42BE0"/>
    <w:rsid w:val="00D50CA2"/>
    <w:rsid w:val="00D52A1F"/>
    <w:rsid w:val="00D83ADE"/>
    <w:rsid w:val="00DB0C8F"/>
    <w:rsid w:val="00DC5C95"/>
    <w:rsid w:val="00DD286A"/>
    <w:rsid w:val="00E2311F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7206</Words>
  <Characters>41076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4</cp:revision>
  <dcterms:created xsi:type="dcterms:W3CDTF">2022-02-01T05:14:00Z</dcterms:created>
  <dcterms:modified xsi:type="dcterms:W3CDTF">2022-02-21T22:15:00Z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