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07397E03" w:rsidR="00943205" w:rsidRPr="00FA7F94" w:rsidRDefault="00943205" w:rsidP="0074207C">
      <w:pPr>
        <w:ind w:left="-360" w:right="-360"/>
        <w:outlineLvl w:val="0"/>
        <w:rPr>
          <w:b/>
          <w:bCs/>
          <w:color w:val="000000" w:themeColor="text1"/>
        </w:rPr>
      </w:pPr>
      <w:r w:rsidRPr="00FA7F94">
        <w:rPr>
          <w:b/>
          <w:bCs/>
          <w:color w:val="000000" w:themeColor="text1"/>
        </w:rPr>
        <w:t xml:space="preserve">Course Number: </w:t>
      </w:r>
      <w:r w:rsidRPr="00FA7F94">
        <w:rPr>
          <w:color w:val="000000" w:themeColor="text1"/>
        </w:rPr>
        <w:t>COUN 7910</w:t>
      </w:r>
      <w:r w:rsidRPr="00FA7F94">
        <w:rPr>
          <w:b/>
          <w:bCs/>
          <w:color w:val="000000" w:themeColor="text1"/>
        </w:rPr>
        <w:t xml:space="preserve"> </w:t>
      </w:r>
    </w:p>
    <w:p w14:paraId="46FDC1F4" w14:textId="72446858"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r w:rsidR="002C4FC7" w:rsidRPr="00FA7F94">
        <w:rPr>
          <w:color w:val="000000" w:themeColor="text1"/>
        </w:rPr>
        <w:t xml:space="preserve">&amp; School </w:t>
      </w:r>
      <w:r w:rsidRPr="00FA7F94">
        <w:rPr>
          <w:color w:val="000000" w:themeColor="text1"/>
        </w:rPr>
        <w:t>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04CF130C"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2C17DA">
        <w:rPr>
          <w:color w:val="000000" w:themeColor="text1"/>
        </w:rPr>
        <w:t xml:space="preserve">Nancy Thacker, </w:t>
      </w:r>
      <w:r w:rsidRPr="00FA7F94">
        <w:rPr>
          <w:color w:val="000000" w:themeColor="text1"/>
        </w:rPr>
        <w:t>PhD, NCC</w:t>
      </w:r>
    </w:p>
    <w:p w14:paraId="371EFEB6" w14:textId="6CA57D5E" w:rsidR="00943205" w:rsidRPr="00FA7F94" w:rsidRDefault="00943205" w:rsidP="00943205">
      <w:pPr>
        <w:ind w:left="360" w:right="-360" w:firstLine="1080"/>
        <w:rPr>
          <w:color w:val="000000" w:themeColor="text1"/>
        </w:rPr>
      </w:pPr>
      <w:r w:rsidRPr="00FA7F94">
        <w:rPr>
          <w:color w:val="000000" w:themeColor="text1"/>
        </w:rPr>
        <w:t>20</w:t>
      </w:r>
      <w:r w:rsidR="002C17DA">
        <w:rPr>
          <w:color w:val="000000" w:themeColor="text1"/>
        </w:rPr>
        <w:t>6</w:t>
      </w:r>
      <w:r w:rsidRPr="00FA7F94">
        <w:rPr>
          <w:color w:val="000000" w:themeColor="text1"/>
        </w:rPr>
        <w:t xml:space="preserve">6 Haley Center </w:t>
      </w:r>
    </w:p>
    <w:p w14:paraId="3B1E6D00" w14:textId="40A6D973" w:rsidR="00943205" w:rsidRDefault="00943205" w:rsidP="00943205">
      <w:pPr>
        <w:ind w:left="-360" w:right="-360"/>
        <w:rPr>
          <w:rStyle w:val="Hyperlink"/>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7" w:history="1">
        <w:r w:rsidR="002C17DA" w:rsidRPr="00585077">
          <w:rPr>
            <w:rStyle w:val="Hyperlink"/>
          </w:rPr>
          <w:t>net0013@auburn.edu</w:t>
        </w:r>
      </w:hyperlink>
    </w:p>
    <w:p w14:paraId="7E5DD502" w14:textId="481084EE" w:rsidR="002C17DA" w:rsidRDefault="002C17DA" w:rsidP="002C17DA">
      <w:pPr>
        <w:tabs>
          <w:tab w:val="left" w:pos="1440"/>
        </w:tabs>
        <w:ind w:left="-360" w:right="-360"/>
        <w:rPr>
          <w:rStyle w:val="Hyperlink"/>
          <w:color w:val="000000" w:themeColor="text1"/>
          <w:u w:val="none"/>
        </w:rPr>
      </w:pPr>
      <w:r>
        <w:rPr>
          <w:rStyle w:val="Hyperlink"/>
          <w:color w:val="000000" w:themeColor="text1"/>
          <w:u w:val="none"/>
        </w:rPr>
        <w:tab/>
        <w:t>Office hours by appointment</w:t>
      </w:r>
    </w:p>
    <w:p w14:paraId="3CC866C4" w14:textId="6F1B51E7" w:rsidR="002C17DA" w:rsidRDefault="002C17DA" w:rsidP="002C17DA">
      <w:pPr>
        <w:tabs>
          <w:tab w:val="left" w:pos="1440"/>
        </w:tabs>
        <w:ind w:left="-360" w:right="-360"/>
        <w:rPr>
          <w:rStyle w:val="Hyperlink"/>
          <w:color w:val="000000" w:themeColor="text1"/>
          <w:u w:val="none"/>
        </w:rPr>
      </w:pPr>
    </w:p>
    <w:p w14:paraId="0E7D66A0" w14:textId="41D4D6EF" w:rsidR="002C17DA" w:rsidRDefault="002C17DA" w:rsidP="002C17DA">
      <w:pPr>
        <w:pStyle w:val="BodyText"/>
        <w:tabs>
          <w:tab w:val="left" w:pos="1440"/>
          <w:tab w:val="left" w:pos="2790"/>
        </w:tabs>
        <w:kinsoku w:val="0"/>
        <w:overflowPunct w:val="0"/>
        <w:spacing w:before="8" w:line="264" w:lineRule="auto"/>
        <w:ind w:left="0"/>
      </w:pPr>
      <w:r w:rsidRPr="000D68F7">
        <w:rPr>
          <w:rStyle w:val="Hyperlink"/>
          <w:b/>
          <w:bCs/>
          <w:color w:val="000000" w:themeColor="text1"/>
          <w:sz w:val="24"/>
          <w:szCs w:val="24"/>
          <w:u w:val="none"/>
        </w:rPr>
        <w:t>Couse Location</w:t>
      </w:r>
      <w:r w:rsidRPr="000D68F7">
        <w:rPr>
          <w:rStyle w:val="Hyperlink"/>
          <w:color w:val="000000" w:themeColor="text1"/>
          <w:sz w:val="24"/>
          <w:szCs w:val="24"/>
          <w:u w:val="none"/>
        </w:rPr>
        <w:t>:</w:t>
      </w:r>
      <w:r>
        <w:rPr>
          <w:rStyle w:val="Hyperlink"/>
          <w:color w:val="000000" w:themeColor="text1"/>
          <w:u w:val="none"/>
        </w:rPr>
        <w:t xml:space="preserve"> </w:t>
      </w:r>
      <w:r>
        <w:rPr>
          <w:rStyle w:val="Hyperlink"/>
          <w:color w:val="000000" w:themeColor="text1"/>
          <w:u w:val="none"/>
        </w:rPr>
        <w:tab/>
      </w:r>
      <w:r>
        <w:rPr>
          <w:rFonts w:cs="Times New Roman"/>
          <w:w w:val="105"/>
          <w:sz w:val="24"/>
          <w:szCs w:val="24"/>
        </w:rPr>
        <w:t>Zoom link</w:t>
      </w:r>
      <w:r w:rsidR="000D68F7">
        <w:rPr>
          <w:rFonts w:cs="Times New Roman"/>
          <w:w w:val="105"/>
          <w:sz w:val="24"/>
          <w:szCs w:val="24"/>
        </w:rPr>
        <w:t xml:space="preserve"> - Tuesdays, 1-3pm CST</w:t>
      </w:r>
      <w:r>
        <w:rPr>
          <w:rFonts w:cs="Times New Roman"/>
          <w:w w:val="105"/>
          <w:sz w:val="24"/>
          <w:szCs w:val="24"/>
        </w:rPr>
        <w:t xml:space="preserve">: </w:t>
      </w:r>
      <w:hyperlink r:id="rId8" w:history="1">
        <w:r w:rsidR="000D68F7" w:rsidRPr="000D68F7">
          <w:rPr>
            <w:rStyle w:val="Hyperlink"/>
            <w:sz w:val="24"/>
            <w:szCs w:val="24"/>
          </w:rPr>
          <w:t>https://auburn.zoom.us/j/94902266387</w:t>
        </w:r>
      </w:hyperlink>
    </w:p>
    <w:p w14:paraId="36637526" w14:textId="11B3F0A1" w:rsidR="002C17DA" w:rsidRPr="002C17DA" w:rsidRDefault="002C17DA" w:rsidP="002C17DA">
      <w:pPr>
        <w:pStyle w:val="BodyText"/>
        <w:tabs>
          <w:tab w:val="left" w:pos="1440"/>
          <w:tab w:val="left" w:pos="2790"/>
        </w:tabs>
        <w:kinsoku w:val="0"/>
        <w:overflowPunct w:val="0"/>
        <w:spacing w:before="8" w:line="264" w:lineRule="auto"/>
        <w:ind w:left="0"/>
        <w:rPr>
          <w:rFonts w:cs="Times New Roman"/>
          <w:w w:val="105"/>
          <w:sz w:val="24"/>
          <w:szCs w:val="24"/>
        </w:rPr>
      </w:pPr>
      <w:r>
        <w:rPr>
          <w:rStyle w:val="Hyperlink"/>
          <w:rFonts w:cs="Times New Roman"/>
          <w:w w:val="105"/>
          <w:sz w:val="24"/>
          <w:szCs w:val="24"/>
          <w:u w:val="none"/>
        </w:rPr>
        <w:tab/>
      </w:r>
      <w:r>
        <w:rPr>
          <w:rStyle w:val="Hyperlink"/>
          <w:rFonts w:cs="Times New Roman"/>
          <w:w w:val="105"/>
          <w:sz w:val="24"/>
          <w:szCs w:val="24"/>
          <w:u w:val="none"/>
        </w:rPr>
        <w:tab/>
      </w:r>
      <w:r w:rsidRPr="002C17DA">
        <w:rPr>
          <w:rFonts w:cs="Times New Roman"/>
          <w:color w:val="000000" w:themeColor="text1"/>
          <w:sz w:val="24"/>
          <w:szCs w:val="24"/>
        </w:rPr>
        <w:t>Haley Center</w:t>
      </w:r>
      <w:r>
        <w:rPr>
          <w:rFonts w:cs="Times New Roman"/>
          <w:color w:val="000000" w:themeColor="text1"/>
          <w:sz w:val="24"/>
          <w:szCs w:val="24"/>
        </w:rPr>
        <w:t xml:space="preserve"> 2406 </w:t>
      </w:r>
    </w:p>
    <w:p w14:paraId="0A9E5CF7" w14:textId="77777777" w:rsidR="00943205" w:rsidRPr="00FA7F94" w:rsidRDefault="00943205" w:rsidP="00943205">
      <w:pPr>
        <w:ind w:left="-360" w:right="-360"/>
        <w:rPr>
          <w:b/>
          <w:color w:val="000000" w:themeColor="text1"/>
        </w:rPr>
      </w:pPr>
    </w:p>
    <w:p w14:paraId="78611471" w14:textId="6BE60462"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p>
    <w:p w14:paraId="3F5A3367" w14:textId="77777777" w:rsidR="00943205" w:rsidRPr="00FA7F94" w:rsidRDefault="00943205" w:rsidP="00943205">
      <w:pPr>
        <w:ind w:left="-360" w:right="-360"/>
        <w:rPr>
          <w:color w:val="000000" w:themeColor="text1"/>
        </w:rPr>
      </w:pPr>
    </w:p>
    <w:p w14:paraId="0272D61B" w14:textId="51F13AED" w:rsidR="00943205" w:rsidRPr="00FA7F94" w:rsidRDefault="00943205" w:rsidP="0074207C">
      <w:pPr>
        <w:ind w:left="-360" w:right="-360"/>
        <w:outlineLvl w:val="0"/>
        <w:rPr>
          <w:b/>
          <w:bCs/>
          <w:color w:val="000000" w:themeColor="text1"/>
        </w:rPr>
      </w:pPr>
      <w:r w:rsidRPr="00FA7F94">
        <w:rPr>
          <w:b/>
          <w:bCs/>
          <w:color w:val="000000" w:themeColor="text1"/>
        </w:rPr>
        <w:t>Required Text</w:t>
      </w:r>
      <w:r w:rsidR="00B72F6C">
        <w:rPr>
          <w:b/>
          <w:bCs/>
          <w:color w:val="000000" w:themeColor="text1"/>
        </w:rPr>
        <w:t>(</w:t>
      </w:r>
      <w:r w:rsidRPr="00FA7F94">
        <w:rPr>
          <w:b/>
          <w:bCs/>
          <w:color w:val="000000" w:themeColor="text1"/>
        </w:rPr>
        <w:t>s</w:t>
      </w:r>
      <w:r w:rsidR="00B72F6C">
        <w:rPr>
          <w:b/>
          <w:bCs/>
          <w:color w:val="000000" w:themeColor="text1"/>
        </w:rPr>
        <w:t>)</w:t>
      </w:r>
      <w:r w:rsidRPr="00FA7F94">
        <w:rPr>
          <w:b/>
          <w:bCs/>
          <w:color w:val="000000" w:themeColor="text1"/>
        </w:rPr>
        <w:t>:</w:t>
      </w:r>
    </w:p>
    <w:p w14:paraId="5D02C8F5" w14:textId="4F2BF684" w:rsidR="0074446C" w:rsidRPr="00FA7F94" w:rsidRDefault="0074446C" w:rsidP="0074207C">
      <w:pPr>
        <w:ind w:left="-360" w:right="-360"/>
        <w:outlineLvl w:val="0"/>
        <w:rPr>
          <w:b/>
          <w:bCs/>
          <w:color w:val="000000" w:themeColor="text1"/>
        </w:rPr>
      </w:pPr>
    </w:p>
    <w:p w14:paraId="649D0316" w14:textId="479E3968" w:rsidR="0074446C" w:rsidRPr="002C17DA" w:rsidRDefault="0074446C" w:rsidP="002C17DA">
      <w:pPr>
        <w:ind w:left="360" w:right="-360" w:hanging="72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The child psychotherapy progress notes planner</w:t>
      </w:r>
      <w:r w:rsidR="00B72F6C">
        <w:rPr>
          <w:bCs/>
          <w:color w:val="000000" w:themeColor="text1"/>
        </w:rPr>
        <w:t xml:space="preserve"> (</w:t>
      </w:r>
      <w:r w:rsidRPr="00FA7F94">
        <w:rPr>
          <w:bCs/>
          <w:color w:val="000000" w:themeColor="text1"/>
        </w:rPr>
        <w:t>5th ed.</w:t>
      </w:r>
      <w:r w:rsidR="00B72F6C">
        <w:rPr>
          <w:bCs/>
          <w:color w:val="000000" w:themeColor="text1"/>
        </w:rPr>
        <w:t>).</w:t>
      </w:r>
      <w:r w:rsidRPr="00FA7F94">
        <w:rPr>
          <w:bCs/>
          <w:color w:val="000000" w:themeColor="text1"/>
        </w:rPr>
        <w:t xml:space="preserve"> John Wiley &amp; Sons Inc.</w:t>
      </w:r>
    </w:p>
    <w:p w14:paraId="4B62003F" w14:textId="77777777" w:rsidR="0074446C" w:rsidRPr="00FA7F94" w:rsidRDefault="0074446C" w:rsidP="002C17DA">
      <w:pPr>
        <w:ind w:left="-360" w:right="-360" w:hanging="720"/>
        <w:outlineLvl w:val="0"/>
        <w:rPr>
          <w:bCs/>
          <w:color w:val="000000" w:themeColor="text1"/>
        </w:rPr>
      </w:pPr>
    </w:p>
    <w:p w14:paraId="280E9DFB" w14:textId="2A6C75C0" w:rsidR="0074446C" w:rsidRPr="002C17DA" w:rsidRDefault="0074446C" w:rsidP="002C17DA">
      <w:pPr>
        <w:ind w:left="360" w:right="-360" w:hanging="72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The adolescent psychotherapy progress notes planner</w:t>
      </w:r>
      <w:r w:rsidRPr="00FA7F94">
        <w:rPr>
          <w:bCs/>
          <w:color w:val="000000" w:themeColor="text1"/>
        </w:rPr>
        <w:t xml:space="preserve"> </w:t>
      </w:r>
      <w:r w:rsidR="002C17DA">
        <w:rPr>
          <w:bCs/>
          <w:color w:val="000000" w:themeColor="text1"/>
        </w:rPr>
        <w:t>(</w:t>
      </w:r>
      <w:r w:rsidRPr="00FA7F94">
        <w:rPr>
          <w:bCs/>
          <w:color w:val="000000" w:themeColor="text1"/>
        </w:rPr>
        <w:t>5th ed.</w:t>
      </w:r>
      <w:r w:rsidR="002C17DA">
        <w:rPr>
          <w:bCs/>
          <w:color w:val="000000" w:themeColor="text1"/>
        </w:rPr>
        <w:t>).</w:t>
      </w:r>
      <w:r w:rsidRPr="00FA7F94">
        <w:rPr>
          <w:bCs/>
          <w:color w:val="000000" w:themeColor="text1"/>
        </w:rPr>
        <w:t xml:space="preserve"> John Wiley &amp; Sons Inc.</w:t>
      </w:r>
    </w:p>
    <w:p w14:paraId="4158A8FA" w14:textId="015767B9" w:rsidR="0074446C" w:rsidRPr="00FA7F94" w:rsidRDefault="0074446C" w:rsidP="002C17DA">
      <w:pPr>
        <w:ind w:left="-360" w:right="-360" w:hanging="720"/>
        <w:outlineLvl w:val="0"/>
        <w:rPr>
          <w:bCs/>
          <w:color w:val="000000" w:themeColor="text1"/>
        </w:rPr>
      </w:pPr>
    </w:p>
    <w:p w14:paraId="70B7494B" w14:textId="6362D4B7" w:rsidR="00B72F6C" w:rsidRPr="00FA7F94" w:rsidRDefault="0074446C" w:rsidP="002C17DA">
      <w:pPr>
        <w:ind w:left="360" w:right="-360" w:hanging="72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002C17DA">
        <w:rPr>
          <w:bCs/>
          <w:color w:val="000000" w:themeColor="text1"/>
        </w:rPr>
        <w:t xml:space="preserve"> (</w:t>
      </w:r>
      <w:r w:rsidRPr="00FA7F94">
        <w:rPr>
          <w:bCs/>
          <w:color w:val="000000" w:themeColor="text1"/>
        </w:rPr>
        <w:t>5th ed.</w:t>
      </w:r>
      <w:r w:rsidR="002C17DA">
        <w:rPr>
          <w:bCs/>
          <w:color w:val="000000" w:themeColor="text1"/>
        </w:rPr>
        <w:t xml:space="preserve">). </w:t>
      </w:r>
      <w:r w:rsidRPr="00FA7F94">
        <w:rPr>
          <w:bCs/>
          <w:color w:val="000000" w:themeColor="text1"/>
        </w:rPr>
        <w:t>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514E6A95" w14:textId="73B05CAF" w:rsidR="002C17DA" w:rsidRPr="00B72F6C" w:rsidRDefault="00943205" w:rsidP="00B72F6C">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FA7F94" w:rsidRDefault="00943205" w:rsidP="00C7667A">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FA7F94" w:rsidRDefault="00943205" w:rsidP="00C7667A">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421CFB75" w14:textId="77777777" w:rsidR="00943205" w:rsidRPr="00FA7F94" w:rsidRDefault="00943205" w:rsidP="00C7667A">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FA7F94" w:rsidRDefault="00943205" w:rsidP="00C7667A">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FA7F94" w:rsidRDefault="00943205" w:rsidP="00C7667A">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FA7F94" w:rsidRDefault="00943205" w:rsidP="00C7667A">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FA7F94" w:rsidRDefault="00943205" w:rsidP="00C7667A">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77777777" w:rsidR="00943205" w:rsidRPr="00FA7F94" w:rsidRDefault="00943205" w:rsidP="00C7667A">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FA7F94" w:rsidRDefault="00943205" w:rsidP="00C7667A">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FA7F94" w:rsidRDefault="00943205" w:rsidP="00C7667A">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FA7F94" w:rsidRDefault="00943205" w:rsidP="00C7667A">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FA7F94" w:rsidRDefault="00943205" w:rsidP="00C7667A">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6F7B74B0" w14:textId="7A548946" w:rsidR="00943205" w:rsidRPr="00FA7F94" w:rsidRDefault="00943205" w:rsidP="00C7667A">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BEB30BC" w14:textId="77777777" w:rsidR="00943205" w:rsidRDefault="00943205" w:rsidP="00C7667A">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C7667A">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C7667A">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FA7F94" w:rsidRDefault="00943205" w:rsidP="00C7667A">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FA7F94" w:rsidRDefault="00943205" w:rsidP="00C7667A">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0C99709" w14:textId="77777777" w:rsidR="00943205" w:rsidRPr="00FA7F94" w:rsidRDefault="00943205" w:rsidP="00C7667A">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FA7F94" w:rsidRDefault="00943205" w:rsidP="00C7667A">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FA7F94" w:rsidRDefault="00943205" w:rsidP="00C7667A">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FA7F94" w:rsidRDefault="00943205" w:rsidP="00C7667A">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FA7F94" w:rsidRDefault="00943205" w:rsidP="00C7667A">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FA7F94" w:rsidRDefault="00943205" w:rsidP="00C7667A">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FA7F94" w:rsidRDefault="00943205" w:rsidP="00C7667A">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2D2353E8" w14:textId="68DDA136" w:rsidR="00943205" w:rsidRPr="00B803F1" w:rsidRDefault="00943205" w:rsidP="00B803F1">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3330"/>
        <w:gridCol w:w="3870"/>
      </w:tblGrid>
      <w:tr w:rsidR="00FA7F94" w:rsidRPr="00FA7F94" w14:paraId="5A5C7A81" w14:textId="77777777" w:rsidTr="00B72F6C">
        <w:trPr>
          <w:trHeight w:val="113"/>
        </w:trPr>
        <w:tc>
          <w:tcPr>
            <w:tcW w:w="2695" w:type="dxa"/>
          </w:tcPr>
          <w:p w14:paraId="43FEAB47" w14:textId="77777777" w:rsidR="00943205" w:rsidRPr="00FA7F94" w:rsidRDefault="00943205" w:rsidP="00C7667A">
            <w:pPr>
              <w:pStyle w:val="Heading5"/>
              <w:rPr>
                <w:color w:val="000000" w:themeColor="text1"/>
                <w:sz w:val="24"/>
                <w:szCs w:val="24"/>
              </w:rPr>
            </w:pPr>
            <w:r w:rsidRPr="00FA7F94">
              <w:rPr>
                <w:color w:val="000000" w:themeColor="text1"/>
                <w:sz w:val="24"/>
                <w:szCs w:val="24"/>
              </w:rPr>
              <w:t>Date</w:t>
            </w:r>
          </w:p>
        </w:tc>
        <w:tc>
          <w:tcPr>
            <w:tcW w:w="3330" w:type="dxa"/>
          </w:tcPr>
          <w:p w14:paraId="1BFD9C56" w14:textId="77777777" w:rsidR="00943205" w:rsidRPr="00FA7F94" w:rsidRDefault="00943205" w:rsidP="00C7667A">
            <w:pPr>
              <w:pStyle w:val="Heading5"/>
              <w:rPr>
                <w:color w:val="000000" w:themeColor="text1"/>
                <w:sz w:val="24"/>
                <w:szCs w:val="24"/>
              </w:rPr>
            </w:pPr>
            <w:r w:rsidRPr="00FA7F94">
              <w:rPr>
                <w:color w:val="000000" w:themeColor="text1"/>
                <w:sz w:val="24"/>
                <w:szCs w:val="24"/>
              </w:rPr>
              <w:t>Topic</w:t>
            </w:r>
          </w:p>
        </w:tc>
        <w:tc>
          <w:tcPr>
            <w:tcW w:w="3870"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B72F6C">
        <w:trPr>
          <w:trHeight w:val="503"/>
        </w:trPr>
        <w:tc>
          <w:tcPr>
            <w:tcW w:w="2695"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8D49A08" w14:textId="3E3D867B" w:rsidR="00943205" w:rsidRPr="00FA7F94" w:rsidRDefault="00943205" w:rsidP="00731BD8">
            <w:pPr>
              <w:pStyle w:val="NoSpacing"/>
              <w:contextualSpacing/>
              <w:jc w:val="center"/>
              <w:rPr>
                <w:color w:val="000000" w:themeColor="text1"/>
              </w:rPr>
            </w:pPr>
            <w:r w:rsidRPr="00FA7F94">
              <w:rPr>
                <w:color w:val="000000" w:themeColor="text1"/>
              </w:rPr>
              <w:t xml:space="preserve">August </w:t>
            </w:r>
            <w:r w:rsidR="00FA7F94">
              <w:rPr>
                <w:color w:val="000000" w:themeColor="text1"/>
              </w:rPr>
              <w:t>18</w:t>
            </w:r>
            <w:r w:rsidR="00FA7F94" w:rsidRPr="00FA7F94">
              <w:rPr>
                <w:color w:val="000000" w:themeColor="text1"/>
                <w:vertAlign w:val="superscript"/>
              </w:rPr>
              <w:t>th</w:t>
            </w:r>
            <w:r w:rsidR="00415A90" w:rsidRPr="00FA7F94">
              <w:rPr>
                <w:color w:val="000000" w:themeColor="text1"/>
              </w:rPr>
              <w:t xml:space="preserve"> </w:t>
            </w:r>
          </w:p>
        </w:tc>
        <w:tc>
          <w:tcPr>
            <w:tcW w:w="3330" w:type="dxa"/>
          </w:tcPr>
          <w:p w14:paraId="7F25DF59" w14:textId="77777777" w:rsidR="00943205" w:rsidRPr="00FA7F94" w:rsidRDefault="00943205" w:rsidP="00C7667A">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C7667A">
            <w:pPr>
              <w:pStyle w:val="NoSpacing"/>
              <w:jc w:val="center"/>
              <w:rPr>
                <w:i/>
                <w:color w:val="000000" w:themeColor="text1"/>
              </w:rPr>
            </w:pPr>
            <w:r w:rsidRPr="00FA7F94">
              <w:rPr>
                <w:i/>
                <w:color w:val="000000" w:themeColor="text1"/>
              </w:rPr>
              <w:t>Roles, paperwork, ethics</w:t>
            </w:r>
          </w:p>
        </w:tc>
        <w:tc>
          <w:tcPr>
            <w:tcW w:w="3870"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634EBC">
            <w:pPr>
              <w:pStyle w:val="NoSpacing"/>
              <w:spacing w:after="240" w:afterAutospacing="0"/>
              <w:jc w:val="center"/>
              <w:rPr>
                <w:color w:val="000000" w:themeColor="text1"/>
              </w:rPr>
            </w:pPr>
            <w:r w:rsidRPr="00FA7F94">
              <w:rPr>
                <w:color w:val="000000" w:themeColor="text1"/>
              </w:rPr>
              <w:t>ACA Code of Ethics (2014)</w:t>
            </w:r>
          </w:p>
        </w:tc>
      </w:tr>
      <w:tr w:rsidR="00FA7F94" w:rsidRPr="00FA7F94" w14:paraId="76FD7234" w14:textId="77777777" w:rsidTr="00B72F6C">
        <w:trPr>
          <w:trHeight w:val="113"/>
        </w:trPr>
        <w:tc>
          <w:tcPr>
            <w:tcW w:w="2695"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5DD1EB34" w:rsidR="00943205" w:rsidRPr="00FA7F94" w:rsidRDefault="00943205" w:rsidP="00731BD8">
            <w:pPr>
              <w:pStyle w:val="NoSpacing"/>
              <w:contextualSpacing/>
              <w:jc w:val="center"/>
              <w:rPr>
                <w:color w:val="000000" w:themeColor="text1"/>
              </w:rPr>
            </w:pPr>
            <w:r w:rsidRPr="00FA7F94">
              <w:rPr>
                <w:color w:val="000000" w:themeColor="text1"/>
              </w:rPr>
              <w:t>August 2</w:t>
            </w:r>
            <w:r w:rsidR="00FA7F94">
              <w:rPr>
                <w:color w:val="000000" w:themeColor="text1"/>
              </w:rPr>
              <w:t>5</w:t>
            </w:r>
            <w:r w:rsidR="00731BD8" w:rsidRPr="00FA7F94">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3330" w:type="dxa"/>
          </w:tcPr>
          <w:p w14:paraId="19B5BFD4" w14:textId="729BDDF9" w:rsidR="00943205" w:rsidRPr="00FA7F94" w:rsidRDefault="0076432C" w:rsidP="00C7667A">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tc>
        <w:tc>
          <w:tcPr>
            <w:tcW w:w="3870" w:type="dxa"/>
          </w:tcPr>
          <w:p w14:paraId="42A5301C" w14:textId="7C3F71D7" w:rsidR="00E63827" w:rsidRPr="00FA7F94" w:rsidRDefault="00E63827" w:rsidP="00AB7B2C">
            <w:pPr>
              <w:pStyle w:val="NoSpacing"/>
              <w:jc w:val="center"/>
              <w:rPr>
                <w:color w:val="000000" w:themeColor="text1"/>
              </w:rPr>
            </w:pPr>
            <w:r w:rsidRPr="00FA7F94">
              <w:rPr>
                <w:color w:val="000000" w:themeColor="text1"/>
              </w:rPr>
              <w:t>Cameron &amp; Turtle-Song (2002)</w:t>
            </w:r>
          </w:p>
          <w:p w14:paraId="28FF2F0E" w14:textId="2CBE200A" w:rsidR="004F2CAF" w:rsidRPr="00FA7F94" w:rsidRDefault="004F2CAF" w:rsidP="00AB7B2C">
            <w:pPr>
              <w:pStyle w:val="NoSpacing"/>
              <w:jc w:val="center"/>
              <w:rPr>
                <w:b/>
                <w:color w:val="000000" w:themeColor="text1"/>
              </w:rPr>
            </w:pPr>
            <w:r w:rsidRPr="00FA7F94">
              <w:rPr>
                <w:color w:val="000000" w:themeColor="text1"/>
              </w:rPr>
              <w:t>Zhang, Shubina, Morrison, &amp; Turchin (2013)</w:t>
            </w:r>
          </w:p>
          <w:p w14:paraId="6C8CF770" w14:textId="71EAB483" w:rsidR="00634EBC" w:rsidRPr="00FA7F94" w:rsidRDefault="00170B0F" w:rsidP="00634EBC">
            <w:pPr>
              <w:pStyle w:val="NoSpacing"/>
              <w:spacing w:after="240" w:afterAutospacing="0"/>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tc>
      </w:tr>
      <w:tr w:rsidR="00FA7F94" w:rsidRPr="00FA7F94" w14:paraId="75D062A0" w14:textId="77777777" w:rsidTr="00B72F6C">
        <w:trPr>
          <w:trHeight w:val="113"/>
        </w:trPr>
        <w:tc>
          <w:tcPr>
            <w:tcW w:w="2695"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9F1C767" w:rsidR="00943205" w:rsidRPr="00FA7F94" w:rsidRDefault="00731BD8" w:rsidP="00731BD8">
            <w:pPr>
              <w:pStyle w:val="NoSpacing"/>
              <w:contextualSpacing/>
              <w:jc w:val="center"/>
              <w:rPr>
                <w:color w:val="000000" w:themeColor="text1"/>
              </w:rPr>
            </w:pPr>
            <w:r w:rsidRPr="00FA7F94">
              <w:rPr>
                <w:color w:val="000000" w:themeColor="text1"/>
              </w:rPr>
              <w:t xml:space="preserve">September </w:t>
            </w:r>
            <w:r w:rsidR="00FA7F94">
              <w:rPr>
                <w:color w:val="000000" w:themeColor="text1"/>
              </w:rPr>
              <w:t>1</w:t>
            </w:r>
            <w:r w:rsidR="00FA7F94" w:rsidRPr="00FA7F94">
              <w:rPr>
                <w:color w:val="000000" w:themeColor="text1"/>
                <w:vertAlign w:val="superscript"/>
              </w:rPr>
              <w:t>st</w:t>
            </w:r>
          </w:p>
          <w:p w14:paraId="1F75B0A4" w14:textId="77777777" w:rsidR="00943205" w:rsidRPr="00FA7F94" w:rsidRDefault="00943205" w:rsidP="00C7667A">
            <w:pPr>
              <w:pStyle w:val="NoSpacing"/>
              <w:jc w:val="center"/>
              <w:rPr>
                <w:color w:val="000000" w:themeColor="text1"/>
              </w:rPr>
            </w:pPr>
          </w:p>
        </w:tc>
        <w:tc>
          <w:tcPr>
            <w:tcW w:w="3330" w:type="dxa"/>
          </w:tcPr>
          <w:p w14:paraId="0106490A" w14:textId="2ED13F25" w:rsidR="00943205" w:rsidRPr="00FA7F94" w:rsidRDefault="004851CD" w:rsidP="00C7667A">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tc>
        <w:tc>
          <w:tcPr>
            <w:tcW w:w="3870" w:type="dxa"/>
          </w:tcPr>
          <w:p w14:paraId="3586FBC2" w14:textId="75B80178" w:rsidR="001B6E56" w:rsidRPr="00FA7F94" w:rsidRDefault="001B6E56" w:rsidP="00AB7B2C">
            <w:pPr>
              <w:pStyle w:val="NoSpacing"/>
              <w:ind w:left="420"/>
              <w:jc w:val="center"/>
              <w:rPr>
                <w:bCs/>
                <w:iCs/>
                <w:color w:val="000000" w:themeColor="text1"/>
              </w:rPr>
            </w:pPr>
            <w:r w:rsidRPr="00FA7F94">
              <w:rPr>
                <w:bCs/>
                <w:iCs/>
                <w:color w:val="000000" w:themeColor="text1"/>
              </w:rPr>
              <w:t>Ametrano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Harris &amp; Robinson Kurpius (2014)</w:t>
            </w:r>
          </w:p>
          <w:p w14:paraId="0641CF13" w14:textId="2F6D19B8"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692CC6B8" w14:textId="51BA9D33" w:rsidR="00100207" w:rsidRPr="00B803F1" w:rsidRDefault="00B0116F" w:rsidP="00634EBC">
            <w:pPr>
              <w:pStyle w:val="NoSpacing"/>
              <w:spacing w:after="240" w:afterAutospacing="0"/>
              <w:ind w:left="418"/>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tc>
      </w:tr>
      <w:tr w:rsidR="00FA7F94" w:rsidRPr="00FA7F94" w14:paraId="778F28C1" w14:textId="77777777" w:rsidTr="00B72F6C">
        <w:trPr>
          <w:trHeight w:val="575"/>
        </w:trPr>
        <w:tc>
          <w:tcPr>
            <w:tcW w:w="2695"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5271716D"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FA7F94">
              <w:rPr>
                <w:color w:val="000000" w:themeColor="text1"/>
              </w:rPr>
              <w:t>8</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3330" w:type="dxa"/>
          </w:tcPr>
          <w:p w14:paraId="2031AAC1" w14:textId="31EC74A0" w:rsidR="00C96465" w:rsidRPr="00FA7F94" w:rsidRDefault="004851CD" w:rsidP="00C7667A">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6F26D3CD"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3870" w:type="dxa"/>
          </w:tcPr>
          <w:p w14:paraId="34F1AAD8" w14:textId="0CE87DD4" w:rsidR="00943205" w:rsidRPr="00FA7F94" w:rsidRDefault="00552BD7" w:rsidP="00AB7B2C">
            <w:pPr>
              <w:pStyle w:val="NoSpacing"/>
              <w:jc w:val="center"/>
              <w:rPr>
                <w:color w:val="000000" w:themeColor="text1"/>
              </w:rPr>
            </w:pPr>
            <w:r w:rsidRPr="00FA7F94">
              <w:rPr>
                <w:color w:val="000000" w:themeColor="text1"/>
              </w:rPr>
              <w:t>Moerman</w:t>
            </w:r>
            <w:r w:rsidR="00D1791C" w:rsidRPr="00FA7F94">
              <w:rPr>
                <w:color w:val="000000" w:themeColor="text1"/>
              </w:rPr>
              <w:t xml:space="preserve"> (</w:t>
            </w:r>
            <w:r w:rsidRPr="00FA7F94">
              <w:rPr>
                <w:color w:val="000000" w:themeColor="text1"/>
              </w:rPr>
              <w:t>2012)</w:t>
            </w:r>
          </w:p>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5EC64698" w14:textId="254E8E6C" w:rsidR="00100207" w:rsidRPr="00FA7F94" w:rsidRDefault="00F63E78" w:rsidP="00634EBC">
            <w:pPr>
              <w:pStyle w:val="NoSpacing"/>
              <w:spacing w:after="240" w:afterAutospacing="0"/>
              <w:jc w:val="center"/>
              <w:rPr>
                <w:color w:val="000000" w:themeColor="text1"/>
              </w:rPr>
            </w:pPr>
            <w:r w:rsidRPr="00FA7F94">
              <w:rPr>
                <w:color w:val="000000" w:themeColor="text1"/>
              </w:rPr>
              <w:t>Westers &amp; Culyba (2018)</w:t>
            </w:r>
          </w:p>
        </w:tc>
      </w:tr>
      <w:tr w:rsidR="00FA7F94" w:rsidRPr="00FA7F94" w14:paraId="2B5DDF14" w14:textId="77777777" w:rsidTr="00B72F6C">
        <w:trPr>
          <w:trHeight w:val="440"/>
        </w:trPr>
        <w:tc>
          <w:tcPr>
            <w:tcW w:w="2695"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5 – </w:t>
            </w:r>
          </w:p>
          <w:p w14:paraId="4A1B77C3" w14:textId="1788FFD3" w:rsidR="00943205" w:rsidRPr="00FA7F94" w:rsidRDefault="00943205" w:rsidP="00731BD8">
            <w:pPr>
              <w:pStyle w:val="NoSpacing"/>
              <w:contextualSpacing/>
              <w:jc w:val="center"/>
              <w:rPr>
                <w:color w:val="000000" w:themeColor="text1"/>
              </w:rPr>
            </w:pPr>
            <w:r w:rsidRPr="00FA7F94">
              <w:rPr>
                <w:color w:val="000000" w:themeColor="text1"/>
              </w:rPr>
              <w:t>September 1</w:t>
            </w:r>
            <w:r w:rsidR="00FA7F94">
              <w:rPr>
                <w:color w:val="000000" w:themeColor="text1"/>
              </w:rPr>
              <w:t>5</w:t>
            </w:r>
            <w:r w:rsidR="00731BD8" w:rsidRPr="00FA7F94">
              <w:rPr>
                <w:color w:val="000000" w:themeColor="text1"/>
                <w:vertAlign w:val="superscript"/>
              </w:rPr>
              <w:t>th</w:t>
            </w:r>
            <w:r w:rsidR="00415A90" w:rsidRPr="00FA7F94">
              <w:rPr>
                <w:color w:val="000000" w:themeColor="text1"/>
              </w:rPr>
              <w:t xml:space="preserve"> </w:t>
            </w:r>
          </w:p>
        </w:tc>
        <w:tc>
          <w:tcPr>
            <w:tcW w:w="3330" w:type="dxa"/>
          </w:tcPr>
          <w:p w14:paraId="32017BA0" w14:textId="09EA8B22" w:rsidR="009E7FEC" w:rsidRPr="00FA7F94" w:rsidRDefault="009E7FEC" w:rsidP="00C7667A">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6C71723E" w:rsidR="00D90D56" w:rsidRPr="00FA7F94" w:rsidRDefault="00D90D56" w:rsidP="00634EBC">
            <w:pPr>
              <w:pStyle w:val="NoSpacing"/>
              <w:spacing w:after="240" w:afterAutospacing="0"/>
              <w:jc w:val="center"/>
              <w:rPr>
                <w:color w:val="000000" w:themeColor="text1"/>
              </w:rPr>
            </w:pPr>
            <w:r w:rsidRPr="00FA7F94">
              <w:rPr>
                <w:color w:val="000000" w:themeColor="text1"/>
              </w:rPr>
              <w:t>Case Conceptualizations &amp; group feedback</w:t>
            </w:r>
          </w:p>
        </w:tc>
        <w:tc>
          <w:tcPr>
            <w:tcW w:w="3870"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6C559C66" w14:textId="197E8204" w:rsidR="00993AA6" w:rsidRPr="00FA7F94" w:rsidRDefault="003817A6" w:rsidP="00AB7B2C">
            <w:pPr>
              <w:pStyle w:val="NoSpacing"/>
              <w:jc w:val="center"/>
              <w:rPr>
                <w:color w:val="000000" w:themeColor="text1"/>
              </w:rPr>
            </w:pPr>
            <w:r w:rsidRPr="00FA7F94">
              <w:rPr>
                <w:color w:val="000000" w:themeColor="text1"/>
              </w:rPr>
              <w:t>Kazdin (2008)</w:t>
            </w:r>
          </w:p>
        </w:tc>
      </w:tr>
      <w:tr w:rsidR="00FA7F94" w:rsidRPr="00FA7F94" w14:paraId="48B3F62B" w14:textId="77777777" w:rsidTr="00B72F6C">
        <w:trPr>
          <w:trHeight w:val="113"/>
        </w:trPr>
        <w:tc>
          <w:tcPr>
            <w:tcW w:w="2695"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lastRenderedPageBreak/>
              <w:t xml:space="preserve">Week 6 – </w:t>
            </w:r>
          </w:p>
          <w:p w14:paraId="4B43DD01" w14:textId="4D89C58E"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22</w:t>
            </w:r>
            <w:r w:rsidR="00FA7F94" w:rsidRPr="00FA7F94">
              <w:rPr>
                <w:color w:val="000000" w:themeColor="text1"/>
                <w:vertAlign w:val="superscript"/>
              </w:rPr>
              <w:t>nd</w:t>
            </w:r>
            <w:r w:rsidR="00415A90" w:rsidRPr="00FA7F94">
              <w:rPr>
                <w:color w:val="000000" w:themeColor="text1"/>
              </w:rPr>
              <w:t xml:space="preserve"> </w:t>
            </w:r>
          </w:p>
        </w:tc>
        <w:tc>
          <w:tcPr>
            <w:tcW w:w="3330" w:type="dxa"/>
          </w:tcPr>
          <w:p w14:paraId="2CF7233A" w14:textId="0B92AEA8" w:rsidR="00A359B3" w:rsidRPr="00FA7F94" w:rsidRDefault="00A359B3" w:rsidP="00C7667A">
            <w:pPr>
              <w:pStyle w:val="NoSpacing"/>
              <w:jc w:val="center"/>
              <w:rPr>
                <w:color w:val="000000" w:themeColor="text1"/>
              </w:rPr>
            </w:pPr>
            <w:r w:rsidRPr="00FA7F94">
              <w:rPr>
                <w:color w:val="000000" w:themeColor="text1"/>
              </w:rPr>
              <w:t>Counselor identity development</w:t>
            </w:r>
          </w:p>
          <w:p w14:paraId="720E43C2" w14:textId="6F4A6994"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3870"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195C4503" w14:textId="25C8E934" w:rsidR="00A92F99" w:rsidRPr="00FA7F94" w:rsidRDefault="00AD2638" w:rsidP="00AB7B2C">
            <w:pPr>
              <w:pStyle w:val="NoSpacing"/>
              <w:jc w:val="center"/>
              <w:rPr>
                <w:color w:val="000000" w:themeColor="text1"/>
              </w:rPr>
            </w:pPr>
            <w:r w:rsidRPr="00FA7F94">
              <w:rPr>
                <w:color w:val="000000" w:themeColor="text1"/>
              </w:rPr>
              <w:t>Healey &amp; Hays (2012)</w:t>
            </w:r>
          </w:p>
          <w:p w14:paraId="284A6290" w14:textId="541BF588" w:rsidR="00A92F99" w:rsidRPr="00FA7F94" w:rsidRDefault="00A92F99" w:rsidP="00634EBC">
            <w:pPr>
              <w:pStyle w:val="NoSpacing"/>
              <w:spacing w:after="240" w:afterAutospacing="0"/>
              <w:jc w:val="center"/>
              <w:rPr>
                <w:color w:val="000000" w:themeColor="text1"/>
              </w:rPr>
            </w:pPr>
            <w:r w:rsidRPr="00FA7F94">
              <w:rPr>
                <w:color w:val="000000" w:themeColor="text1"/>
              </w:rPr>
              <w:t>Moss, Gibson, &amp; Dollarhide (2014)</w:t>
            </w:r>
          </w:p>
        </w:tc>
      </w:tr>
      <w:tr w:rsidR="00FA7F94" w:rsidRPr="00FA7F94" w14:paraId="73A76B90" w14:textId="77777777" w:rsidTr="00B72F6C">
        <w:trPr>
          <w:trHeight w:val="467"/>
        </w:trPr>
        <w:tc>
          <w:tcPr>
            <w:tcW w:w="2695"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40D1A0A4" w:rsidR="00943205" w:rsidRPr="00FA7F94" w:rsidRDefault="00FA7F94" w:rsidP="007E4AB6">
            <w:pPr>
              <w:pStyle w:val="NoSpacing"/>
              <w:contextualSpacing/>
              <w:jc w:val="center"/>
              <w:rPr>
                <w:color w:val="000000" w:themeColor="text1"/>
              </w:rPr>
            </w:pPr>
            <w:r>
              <w:rPr>
                <w:color w:val="000000" w:themeColor="text1"/>
              </w:rPr>
              <w:t>September 29</w:t>
            </w:r>
            <w:r w:rsidRPr="00FA7F94">
              <w:rPr>
                <w:color w:val="000000" w:themeColor="text1"/>
                <w:vertAlign w:val="superscript"/>
              </w:rPr>
              <w:t>th</w:t>
            </w:r>
            <w:r>
              <w:rPr>
                <w:color w:val="000000" w:themeColor="text1"/>
              </w:rPr>
              <w:t xml:space="preserve"> </w:t>
            </w:r>
            <w:r w:rsidR="00176B27" w:rsidRPr="00FA7F94">
              <w:rPr>
                <w:color w:val="000000" w:themeColor="text1"/>
              </w:rPr>
              <w:t xml:space="preserve"> </w:t>
            </w:r>
          </w:p>
        </w:tc>
        <w:tc>
          <w:tcPr>
            <w:tcW w:w="3330"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050DEFF7" w:rsidR="00943205" w:rsidRPr="00FA7F94" w:rsidRDefault="00D90D56" w:rsidP="00634EBC">
            <w:pPr>
              <w:pStyle w:val="NoSpacing"/>
              <w:spacing w:after="240" w:afterAutospacing="0"/>
              <w:jc w:val="center"/>
              <w:rPr>
                <w:color w:val="000000" w:themeColor="text1"/>
              </w:rPr>
            </w:pPr>
            <w:r w:rsidRPr="00FA7F94">
              <w:rPr>
                <w:color w:val="000000" w:themeColor="text1"/>
              </w:rPr>
              <w:t>Case Conceptualizations &amp; group feedback</w:t>
            </w:r>
          </w:p>
        </w:tc>
        <w:tc>
          <w:tcPr>
            <w:tcW w:w="3870" w:type="dxa"/>
          </w:tcPr>
          <w:p w14:paraId="742CBEFA" w14:textId="1CAD128B"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5DB7E73A" w14:textId="77777777" w:rsidTr="00B72F6C">
        <w:trPr>
          <w:trHeight w:val="113"/>
        </w:trPr>
        <w:tc>
          <w:tcPr>
            <w:tcW w:w="2695"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4F7E3F30"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FA7F94">
              <w:rPr>
                <w:color w:val="000000" w:themeColor="text1"/>
              </w:rPr>
              <w:t>6</w:t>
            </w:r>
            <w:r w:rsidR="00FA7F94" w:rsidRPr="00FA7F94">
              <w:rPr>
                <w:color w:val="000000" w:themeColor="text1"/>
                <w:vertAlign w:val="superscript"/>
              </w:rPr>
              <w:t>th</w:t>
            </w:r>
            <w:r w:rsidR="00FA7F94">
              <w:rPr>
                <w:color w:val="000000" w:themeColor="text1"/>
              </w:rPr>
              <w:t xml:space="preserve"> </w:t>
            </w:r>
          </w:p>
        </w:tc>
        <w:tc>
          <w:tcPr>
            <w:tcW w:w="3330" w:type="dxa"/>
          </w:tcPr>
          <w:p w14:paraId="530C83E0" w14:textId="4B91F34D" w:rsidR="00943205" w:rsidRPr="00FA7F94" w:rsidRDefault="00CF2B90" w:rsidP="00C7667A">
            <w:pPr>
              <w:pStyle w:val="NoSpacing"/>
              <w:jc w:val="center"/>
              <w:rPr>
                <w:color w:val="000000" w:themeColor="text1"/>
              </w:rPr>
            </w:pPr>
            <w:r w:rsidRPr="00FA7F94">
              <w:rPr>
                <w:color w:val="000000" w:themeColor="text1"/>
              </w:rPr>
              <w:t>Behavior therapy</w:t>
            </w:r>
          </w:p>
          <w:p w14:paraId="222C1134" w14:textId="6C249EEA" w:rsidR="00943205" w:rsidRPr="00FA7F94" w:rsidRDefault="00D90D56" w:rsidP="00C7667A">
            <w:pPr>
              <w:pStyle w:val="NoSpacing"/>
              <w:jc w:val="center"/>
              <w:rPr>
                <w:color w:val="000000" w:themeColor="text1"/>
              </w:rPr>
            </w:pPr>
            <w:r w:rsidRPr="00FA7F94">
              <w:rPr>
                <w:color w:val="000000" w:themeColor="text1"/>
              </w:rPr>
              <w:t xml:space="preserve">Case Conceptualizations </w:t>
            </w:r>
            <w:r w:rsidR="00FA7F94">
              <w:rPr>
                <w:color w:val="000000" w:themeColor="text1"/>
              </w:rPr>
              <w:t xml:space="preserve">&amp; </w:t>
            </w:r>
            <w:r w:rsidRPr="00FA7F94">
              <w:rPr>
                <w:color w:val="000000" w:themeColor="text1"/>
              </w:rPr>
              <w:t>group feedback</w:t>
            </w:r>
          </w:p>
        </w:tc>
        <w:tc>
          <w:tcPr>
            <w:tcW w:w="3870"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0F71E17B"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due in class</w:t>
            </w:r>
          </w:p>
          <w:p w14:paraId="09109F32" w14:textId="4FA74AA2" w:rsidR="00583DD2" w:rsidRPr="00FA7F94" w:rsidRDefault="007E0154" w:rsidP="00634EBC">
            <w:pPr>
              <w:pStyle w:val="NoSpacing"/>
              <w:spacing w:after="240" w:afterAutospacing="0"/>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p>
        </w:tc>
      </w:tr>
      <w:tr w:rsidR="00FA7F94" w:rsidRPr="00FA7F94" w14:paraId="4B002D47" w14:textId="77777777" w:rsidTr="00B72F6C">
        <w:trPr>
          <w:trHeight w:val="402"/>
        </w:trPr>
        <w:tc>
          <w:tcPr>
            <w:tcW w:w="2695"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0AD4C945" w:rsidR="00943205" w:rsidRPr="00FA7F94" w:rsidRDefault="00943205" w:rsidP="007E4AB6">
            <w:pPr>
              <w:pStyle w:val="NoSpacing"/>
              <w:contextualSpacing/>
              <w:jc w:val="center"/>
              <w:rPr>
                <w:color w:val="000000" w:themeColor="text1"/>
              </w:rPr>
            </w:pPr>
            <w:r w:rsidRPr="00FA7F94">
              <w:rPr>
                <w:color w:val="000000" w:themeColor="text1"/>
              </w:rPr>
              <w:t>October 1</w:t>
            </w:r>
            <w:r w:rsidR="00FA7F94">
              <w:rPr>
                <w:color w:val="000000" w:themeColor="text1"/>
              </w:rPr>
              <w:t>3</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3330" w:type="dxa"/>
          </w:tcPr>
          <w:p w14:paraId="751A7AD6" w14:textId="15DBCF5A" w:rsidR="00CF2B90" w:rsidRPr="00FA7F94" w:rsidRDefault="00CF2B90" w:rsidP="00C7667A">
            <w:pPr>
              <w:pStyle w:val="NoSpacing"/>
              <w:jc w:val="center"/>
              <w:rPr>
                <w:color w:val="000000" w:themeColor="text1"/>
              </w:rPr>
            </w:pPr>
            <w:r w:rsidRPr="00FA7F94">
              <w:rPr>
                <w:color w:val="000000" w:themeColor="text1"/>
              </w:rPr>
              <w:t>Cognitive therapy</w:t>
            </w:r>
          </w:p>
          <w:p w14:paraId="5A00AB36" w14:textId="5FE6F5BA" w:rsidR="00100207" w:rsidRPr="00FA7F94" w:rsidRDefault="00D90D56" w:rsidP="00634EBC">
            <w:pPr>
              <w:pStyle w:val="NoSpacing"/>
              <w:spacing w:after="240" w:afterAutospacing="0"/>
              <w:jc w:val="center"/>
              <w:rPr>
                <w:color w:val="000000" w:themeColor="text1"/>
              </w:rPr>
            </w:pPr>
            <w:r w:rsidRPr="00FA7F94">
              <w:rPr>
                <w:color w:val="000000" w:themeColor="text1"/>
              </w:rPr>
              <w:t>Case Conceptualizations &amp; group feedback</w:t>
            </w:r>
          </w:p>
        </w:tc>
        <w:tc>
          <w:tcPr>
            <w:tcW w:w="3870" w:type="dxa"/>
          </w:tcPr>
          <w:p w14:paraId="66B50EA8" w14:textId="5AFA045C" w:rsidR="00943205" w:rsidRPr="00FA7F94" w:rsidRDefault="0048024A" w:rsidP="00AB7B2C">
            <w:pPr>
              <w:pStyle w:val="NoSpacing"/>
              <w:jc w:val="center"/>
              <w:rPr>
                <w:color w:val="000000" w:themeColor="text1"/>
              </w:rPr>
            </w:pPr>
            <w:r w:rsidRPr="00FA7F94">
              <w:rPr>
                <w:color w:val="000000" w:themeColor="text1"/>
              </w:rPr>
              <w:t>Barrio Minton &amp; Myers (2008)</w:t>
            </w:r>
          </w:p>
        </w:tc>
      </w:tr>
      <w:tr w:rsidR="00FA7F94" w:rsidRPr="00FA7F94" w14:paraId="0601D792" w14:textId="77777777" w:rsidTr="00B72F6C">
        <w:trPr>
          <w:trHeight w:val="773"/>
        </w:trPr>
        <w:tc>
          <w:tcPr>
            <w:tcW w:w="2695" w:type="dxa"/>
          </w:tcPr>
          <w:p w14:paraId="60D5EC5C" w14:textId="3101BFCE" w:rsidR="00943205" w:rsidRPr="00FA7F94" w:rsidRDefault="00943205" w:rsidP="00C7667A">
            <w:pPr>
              <w:pStyle w:val="NoSpacing"/>
              <w:jc w:val="center"/>
              <w:rPr>
                <w:color w:val="000000" w:themeColor="text1"/>
              </w:rPr>
            </w:pPr>
            <w:r w:rsidRPr="00FA7F94">
              <w:rPr>
                <w:color w:val="000000" w:themeColor="text1"/>
              </w:rPr>
              <w:t>Week 10 –</w:t>
            </w:r>
            <w:r w:rsidR="007E4AB6" w:rsidRPr="00FA7F94">
              <w:rPr>
                <w:color w:val="000000" w:themeColor="text1"/>
              </w:rPr>
              <w:br/>
            </w:r>
            <w:r w:rsidRPr="00FA7F94">
              <w:rPr>
                <w:color w:val="000000" w:themeColor="text1"/>
              </w:rPr>
              <w:t xml:space="preserve"> October </w:t>
            </w:r>
            <w:r w:rsidR="00DD701F" w:rsidRPr="00FA7F94">
              <w:rPr>
                <w:color w:val="000000" w:themeColor="text1"/>
              </w:rPr>
              <w:t>2</w:t>
            </w:r>
            <w:r w:rsidR="00FA7F94">
              <w:rPr>
                <w:color w:val="000000" w:themeColor="text1"/>
              </w:rPr>
              <w:t>0</w:t>
            </w:r>
            <w:r w:rsidR="00FA7F94" w:rsidRPr="00FA7F94">
              <w:rPr>
                <w:color w:val="000000" w:themeColor="text1"/>
                <w:vertAlign w:val="superscript"/>
              </w:rPr>
              <w:t>th</w:t>
            </w:r>
            <w:r w:rsidR="00FA7F94">
              <w:rPr>
                <w:color w:val="000000" w:themeColor="text1"/>
              </w:rPr>
              <w:t xml:space="preserve"> </w:t>
            </w:r>
            <w:r w:rsidR="00DD701F" w:rsidRPr="00FA7F94">
              <w:rPr>
                <w:color w:val="000000" w:themeColor="text1"/>
              </w:rPr>
              <w:t xml:space="preserve"> </w:t>
            </w:r>
          </w:p>
        </w:tc>
        <w:tc>
          <w:tcPr>
            <w:tcW w:w="3330" w:type="dxa"/>
          </w:tcPr>
          <w:p w14:paraId="3D46F0CE" w14:textId="1EC60EB4" w:rsidR="00CF2B90" w:rsidRPr="00FA7F94" w:rsidRDefault="00CF2B90" w:rsidP="00C7667A">
            <w:pPr>
              <w:pStyle w:val="NoSpacing"/>
              <w:jc w:val="center"/>
              <w:rPr>
                <w:color w:val="000000" w:themeColor="text1"/>
              </w:rPr>
            </w:pPr>
            <w:r w:rsidRPr="00FA7F94">
              <w:rPr>
                <w:color w:val="000000" w:themeColor="text1"/>
              </w:rPr>
              <w:t>Humanistic therapy</w:t>
            </w:r>
          </w:p>
          <w:p w14:paraId="09D97106" w14:textId="3A6DC859" w:rsidR="00100207" w:rsidRPr="00FA7F94" w:rsidRDefault="00D90D56" w:rsidP="00634EBC">
            <w:pPr>
              <w:pStyle w:val="NoSpacing"/>
              <w:spacing w:after="240" w:afterAutospacing="0"/>
              <w:jc w:val="center"/>
              <w:rPr>
                <w:color w:val="000000" w:themeColor="text1"/>
              </w:rPr>
            </w:pPr>
            <w:r w:rsidRPr="00FA7F94">
              <w:rPr>
                <w:color w:val="000000" w:themeColor="text1"/>
              </w:rPr>
              <w:t>Case Conceptualizations &amp; group feedback</w:t>
            </w:r>
          </w:p>
        </w:tc>
        <w:tc>
          <w:tcPr>
            <w:tcW w:w="3870"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B72F6C">
        <w:trPr>
          <w:trHeight w:val="402"/>
        </w:trPr>
        <w:tc>
          <w:tcPr>
            <w:tcW w:w="2695"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3D10C9A4"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D701F" w:rsidRPr="00FA7F94">
              <w:rPr>
                <w:color w:val="000000" w:themeColor="text1"/>
              </w:rPr>
              <w:t>2</w:t>
            </w:r>
            <w:r w:rsidR="00FA7F94">
              <w:rPr>
                <w:color w:val="000000" w:themeColor="text1"/>
              </w:rPr>
              <w:t>7</w:t>
            </w:r>
            <w:r w:rsidR="002D36EA" w:rsidRPr="00FA7F94">
              <w:rPr>
                <w:color w:val="000000" w:themeColor="text1"/>
                <w:vertAlign w:val="superscript"/>
              </w:rPr>
              <w:t>th</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3330" w:type="dxa"/>
          </w:tcPr>
          <w:p w14:paraId="11166033" w14:textId="268D0188"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14EC2B98" w14:textId="20ABC7C4" w:rsidR="00100207" w:rsidRPr="00FA7F94" w:rsidRDefault="00D90D56" w:rsidP="00634EBC">
            <w:pPr>
              <w:pStyle w:val="NoSpacing"/>
              <w:spacing w:after="240" w:afterAutospacing="0"/>
              <w:jc w:val="center"/>
              <w:rPr>
                <w:color w:val="000000" w:themeColor="text1"/>
              </w:rPr>
            </w:pPr>
            <w:r w:rsidRPr="00FA7F94">
              <w:rPr>
                <w:color w:val="000000" w:themeColor="text1"/>
              </w:rPr>
              <w:t>Case Conceptualizations &amp; group feedback</w:t>
            </w:r>
          </w:p>
        </w:tc>
        <w:tc>
          <w:tcPr>
            <w:tcW w:w="3870" w:type="dxa"/>
          </w:tcPr>
          <w:p w14:paraId="43511EA4" w14:textId="2CC07B4B" w:rsidR="00943205" w:rsidRPr="00FA7F94" w:rsidRDefault="00D863AD" w:rsidP="00AB7B2C">
            <w:pPr>
              <w:pStyle w:val="NoSpacing"/>
              <w:jc w:val="center"/>
              <w:rPr>
                <w:color w:val="000000" w:themeColor="text1"/>
              </w:rPr>
            </w:pPr>
            <w:r w:rsidRPr="00FA7F94">
              <w:rPr>
                <w:color w:val="000000" w:themeColor="text1"/>
              </w:rPr>
              <w:t>Shedler (2010)</w:t>
            </w:r>
          </w:p>
        </w:tc>
      </w:tr>
      <w:tr w:rsidR="00FA7F94" w:rsidRPr="00FA7F94" w14:paraId="11A8B69F" w14:textId="77777777" w:rsidTr="00B72F6C">
        <w:trPr>
          <w:trHeight w:val="474"/>
        </w:trPr>
        <w:tc>
          <w:tcPr>
            <w:tcW w:w="2695"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2289D0C7"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FA7F94">
              <w:rPr>
                <w:color w:val="000000" w:themeColor="text1"/>
              </w:rPr>
              <w:t>3</w:t>
            </w:r>
            <w:r w:rsidR="00FA7F94" w:rsidRPr="00FA7F94">
              <w:rPr>
                <w:color w:val="000000" w:themeColor="text1"/>
                <w:vertAlign w:val="superscript"/>
              </w:rPr>
              <w:t>rd</w:t>
            </w:r>
            <w:r w:rsidR="00FA7F94">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3330"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62387975" w14:textId="791B5DFA" w:rsidR="00100207" w:rsidRPr="00FA7F94" w:rsidRDefault="00D90D56" w:rsidP="00634EBC">
            <w:pPr>
              <w:pStyle w:val="NoSpacing"/>
              <w:spacing w:after="240" w:afterAutospacing="0"/>
              <w:jc w:val="center"/>
              <w:rPr>
                <w:color w:val="000000" w:themeColor="text1"/>
              </w:rPr>
            </w:pPr>
            <w:r w:rsidRPr="00FA7F94">
              <w:rPr>
                <w:color w:val="000000" w:themeColor="text1"/>
              </w:rPr>
              <w:t>Case Conceptualizations &amp; group feedback</w:t>
            </w:r>
            <w:r w:rsidR="00AB7B2C">
              <w:rPr>
                <w:color w:val="000000" w:themeColor="text1"/>
              </w:rPr>
              <w:t>s</w:t>
            </w:r>
          </w:p>
        </w:tc>
        <w:tc>
          <w:tcPr>
            <w:tcW w:w="3870" w:type="dxa"/>
          </w:tcPr>
          <w:p w14:paraId="12369896" w14:textId="77777777" w:rsidR="00943205" w:rsidRPr="00FA7F94" w:rsidRDefault="00F272ED" w:rsidP="00AB7B2C">
            <w:pPr>
              <w:pStyle w:val="NoSpacing"/>
              <w:jc w:val="center"/>
              <w:rPr>
                <w:color w:val="000000" w:themeColor="text1"/>
              </w:rPr>
            </w:pPr>
            <w:r w:rsidRPr="00FA7F94">
              <w:rPr>
                <w:color w:val="000000" w:themeColor="text1"/>
              </w:rPr>
              <w:t>Ameli &amp; Dattilio (2013)</w:t>
            </w:r>
          </w:p>
          <w:p w14:paraId="2B986D60" w14:textId="15969E28"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74CA47F7" w14:textId="77777777" w:rsidTr="00B72F6C">
        <w:trPr>
          <w:trHeight w:val="324"/>
        </w:trPr>
        <w:tc>
          <w:tcPr>
            <w:tcW w:w="2695" w:type="dxa"/>
            <w:tcBorders>
              <w:top w:val="single" w:sz="4" w:space="0" w:color="auto"/>
              <w:left w:val="single" w:sz="4" w:space="0" w:color="auto"/>
              <w:bottom w:val="single" w:sz="4" w:space="0" w:color="auto"/>
              <w:right w:val="single" w:sz="4" w:space="0" w:color="auto"/>
            </w:tcBorders>
          </w:tcPr>
          <w:p w14:paraId="7E5A98BB"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1072B4D3" w14:textId="7E44A77B"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Pr>
                <w:color w:val="000000" w:themeColor="text1"/>
              </w:rPr>
              <w:t>10</w:t>
            </w:r>
            <w:r w:rsidRPr="00FA7F94">
              <w:rPr>
                <w:color w:val="000000" w:themeColor="text1"/>
                <w:vertAlign w:val="superscript"/>
              </w:rPr>
              <w:t>th</w:t>
            </w:r>
          </w:p>
        </w:tc>
        <w:tc>
          <w:tcPr>
            <w:tcW w:w="7200" w:type="dxa"/>
            <w:gridSpan w:val="2"/>
            <w:tcBorders>
              <w:top w:val="single" w:sz="4" w:space="0" w:color="auto"/>
              <w:left w:val="single" w:sz="4" w:space="0" w:color="auto"/>
              <w:bottom w:val="single" w:sz="4" w:space="0" w:color="auto"/>
              <w:right w:val="single" w:sz="4" w:space="0" w:color="auto"/>
            </w:tcBorders>
          </w:tcPr>
          <w:p w14:paraId="768F5C06" w14:textId="53183314"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62D8784E" w14:textId="77777777" w:rsidTr="00B72F6C">
        <w:trPr>
          <w:trHeight w:val="324"/>
        </w:trPr>
        <w:tc>
          <w:tcPr>
            <w:tcW w:w="2695" w:type="dxa"/>
            <w:tcBorders>
              <w:top w:val="single" w:sz="4" w:space="0" w:color="auto"/>
              <w:left w:val="single" w:sz="4" w:space="0" w:color="auto"/>
              <w:bottom w:val="single" w:sz="4" w:space="0" w:color="auto"/>
              <w:right w:val="single" w:sz="4" w:space="0" w:color="auto"/>
            </w:tcBorders>
          </w:tcPr>
          <w:p w14:paraId="5505A232" w14:textId="5326A192"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0F37BD41" w14:textId="2ADA0A9A" w:rsidR="00FA7F94" w:rsidRPr="00FA7F94" w:rsidRDefault="00FA7F94" w:rsidP="00E9791B">
            <w:pPr>
              <w:pStyle w:val="NoSpacing"/>
              <w:contextualSpacing/>
              <w:jc w:val="center"/>
              <w:rPr>
                <w:color w:val="000000" w:themeColor="text1"/>
              </w:rPr>
            </w:pPr>
            <w:r w:rsidRPr="00FA7F94">
              <w:rPr>
                <w:color w:val="000000" w:themeColor="text1"/>
              </w:rPr>
              <w:t>November 1</w:t>
            </w:r>
            <w:r>
              <w:rPr>
                <w:color w:val="000000" w:themeColor="text1"/>
              </w:rPr>
              <w:t>7</w:t>
            </w:r>
            <w:r w:rsidRPr="00FA7F94">
              <w:rPr>
                <w:color w:val="000000" w:themeColor="text1"/>
                <w:vertAlign w:val="superscript"/>
              </w:rPr>
              <w:t>th</w:t>
            </w:r>
            <w:r w:rsidRPr="00FA7F94">
              <w:rPr>
                <w:color w:val="000000" w:themeColor="text1"/>
              </w:rPr>
              <w:t xml:space="preserve"> </w:t>
            </w:r>
          </w:p>
        </w:tc>
        <w:tc>
          <w:tcPr>
            <w:tcW w:w="7200" w:type="dxa"/>
            <w:gridSpan w:val="2"/>
            <w:tcBorders>
              <w:top w:val="single" w:sz="4" w:space="0" w:color="auto"/>
              <w:left w:val="single" w:sz="4" w:space="0" w:color="auto"/>
              <w:bottom w:val="single" w:sz="4" w:space="0" w:color="auto"/>
              <w:right w:val="single" w:sz="4" w:space="0" w:color="auto"/>
            </w:tcBorders>
          </w:tcPr>
          <w:p w14:paraId="62D6BB33" w14:textId="4661EF91"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177DACFB" w14:textId="77777777" w:rsidTr="00B72F6C">
        <w:trPr>
          <w:trHeight w:val="324"/>
        </w:trPr>
        <w:tc>
          <w:tcPr>
            <w:tcW w:w="2695" w:type="dxa"/>
            <w:tcBorders>
              <w:top w:val="single" w:sz="4" w:space="0" w:color="auto"/>
              <w:left w:val="single" w:sz="4" w:space="0" w:color="auto"/>
              <w:bottom w:val="single" w:sz="4" w:space="0" w:color="auto"/>
              <w:right w:val="single" w:sz="4" w:space="0" w:color="auto"/>
            </w:tcBorders>
          </w:tcPr>
          <w:p w14:paraId="4025F86C"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7C572613" w14:textId="77777777" w:rsidR="00EC0C9C" w:rsidRDefault="00EC0C9C" w:rsidP="00E9791B">
            <w:pPr>
              <w:pStyle w:val="NoSpacing"/>
              <w:contextualSpacing/>
              <w:jc w:val="center"/>
              <w:rPr>
                <w:color w:val="000000" w:themeColor="text1"/>
              </w:rPr>
            </w:pPr>
            <w:r w:rsidRPr="00FA7F94">
              <w:rPr>
                <w:color w:val="000000" w:themeColor="text1"/>
              </w:rPr>
              <w:t>November 2</w:t>
            </w:r>
            <w:r w:rsidR="00FA7F94">
              <w:rPr>
                <w:color w:val="000000" w:themeColor="text1"/>
              </w:rPr>
              <w:t>4</w:t>
            </w:r>
            <w:r w:rsidRPr="00FA7F94">
              <w:rPr>
                <w:color w:val="000000" w:themeColor="text1"/>
                <w:vertAlign w:val="superscript"/>
              </w:rPr>
              <w:t>th</w:t>
            </w:r>
            <w:r w:rsidRPr="00FA7F94">
              <w:rPr>
                <w:color w:val="000000" w:themeColor="text1"/>
              </w:rPr>
              <w:t xml:space="preserve">  </w:t>
            </w:r>
          </w:p>
          <w:p w14:paraId="258C2DF1" w14:textId="1958BCFE" w:rsidR="00FA7F94" w:rsidRPr="00FA7F94" w:rsidRDefault="00FA7F94" w:rsidP="00E9791B">
            <w:pPr>
              <w:pStyle w:val="NoSpacing"/>
              <w:contextualSpacing/>
              <w:jc w:val="center"/>
              <w:rPr>
                <w:color w:val="000000" w:themeColor="text1"/>
              </w:rPr>
            </w:pPr>
          </w:p>
        </w:tc>
        <w:tc>
          <w:tcPr>
            <w:tcW w:w="7200" w:type="dxa"/>
            <w:gridSpan w:val="2"/>
            <w:tcBorders>
              <w:top w:val="single" w:sz="4" w:space="0" w:color="auto"/>
              <w:left w:val="single" w:sz="4" w:space="0" w:color="auto"/>
              <w:bottom w:val="single" w:sz="4" w:space="0" w:color="auto"/>
              <w:right w:val="single" w:sz="4" w:space="0" w:color="auto"/>
            </w:tcBorders>
          </w:tcPr>
          <w:p w14:paraId="06297FBC" w14:textId="77777777" w:rsidR="00EC0C9C" w:rsidRDefault="00FA7F94" w:rsidP="00C7667A">
            <w:pPr>
              <w:pStyle w:val="NoSpacing"/>
              <w:jc w:val="center"/>
              <w:rPr>
                <w:color w:val="000000" w:themeColor="text1"/>
              </w:rPr>
            </w:pPr>
            <w:r w:rsidRPr="00FA7F94">
              <w:rPr>
                <w:color w:val="000000" w:themeColor="text1"/>
              </w:rPr>
              <w:t>Case Conceptualizations &amp; group feedback</w:t>
            </w:r>
          </w:p>
          <w:p w14:paraId="4E40655E" w14:textId="0116107D" w:rsidR="00731FA7" w:rsidRPr="00FA7F94" w:rsidRDefault="00731FA7" w:rsidP="00C7667A">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5451234A" w14:textId="77777777" w:rsidR="00943205" w:rsidRPr="00FA7F94" w:rsidRDefault="00943205" w:rsidP="002C17DA">
      <w:pPr>
        <w:pStyle w:val="ListParagraph"/>
        <w:numPr>
          <w:ilvl w:val="0"/>
          <w:numId w:val="9"/>
        </w:numPr>
        <w:autoSpaceDE w:val="0"/>
        <w:autoSpaceDN w:val="0"/>
        <w:adjustRightInd w:val="0"/>
        <w:ind w:left="360"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University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47C3A7C2" w14:textId="77777777" w:rsidR="00943205" w:rsidRPr="00FA7F94" w:rsidRDefault="00943205" w:rsidP="002C17DA">
      <w:pPr>
        <w:pStyle w:val="ListParagraph"/>
        <w:autoSpaceDE w:val="0"/>
        <w:autoSpaceDN w:val="0"/>
        <w:adjustRightInd w:val="0"/>
        <w:ind w:left="360" w:right="-360"/>
        <w:rPr>
          <w:color w:val="000000" w:themeColor="text1"/>
        </w:rPr>
      </w:pPr>
    </w:p>
    <w:p w14:paraId="3807A5C7" w14:textId="43D4B58C" w:rsidR="00943205" w:rsidRPr="00FA7F94" w:rsidRDefault="00943205" w:rsidP="002C17DA">
      <w:pPr>
        <w:pStyle w:val="ListParagraph"/>
        <w:numPr>
          <w:ilvl w:val="0"/>
          <w:numId w:val="9"/>
        </w:numPr>
        <w:autoSpaceDE w:val="0"/>
        <w:autoSpaceDN w:val="0"/>
        <w:adjustRightInd w:val="0"/>
        <w:ind w:left="360"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186F9724" w14:textId="77777777" w:rsidR="00943205" w:rsidRPr="00FA7F94" w:rsidRDefault="00943205" w:rsidP="002C17DA">
      <w:pPr>
        <w:autoSpaceDE w:val="0"/>
        <w:autoSpaceDN w:val="0"/>
        <w:adjustRightInd w:val="0"/>
        <w:ind w:left="360" w:right="-360"/>
        <w:rPr>
          <w:b/>
          <w:i/>
          <w:color w:val="000000" w:themeColor="text1"/>
          <w:u w:val="single"/>
        </w:rPr>
      </w:pPr>
    </w:p>
    <w:p w14:paraId="0C05FD5F" w14:textId="18238182" w:rsidR="00943205" w:rsidRPr="00FA7F94" w:rsidRDefault="00943205" w:rsidP="002C17DA">
      <w:pPr>
        <w:pStyle w:val="ListParagraph"/>
        <w:numPr>
          <w:ilvl w:val="0"/>
          <w:numId w:val="9"/>
        </w:numPr>
        <w:autoSpaceDE w:val="0"/>
        <w:autoSpaceDN w:val="0"/>
        <w:adjustRightInd w:val="0"/>
        <w:ind w:left="360"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sidR="00100207">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2C17DA">
      <w:pPr>
        <w:tabs>
          <w:tab w:val="left" w:pos="720"/>
        </w:tabs>
        <w:autoSpaceDE w:val="0"/>
        <w:autoSpaceDN w:val="0"/>
        <w:adjustRightInd w:val="0"/>
        <w:ind w:left="360" w:right="-360"/>
        <w:rPr>
          <w:color w:val="000000" w:themeColor="text1"/>
        </w:rPr>
      </w:pPr>
    </w:p>
    <w:p w14:paraId="164ACD0C" w14:textId="77777777" w:rsidR="00943205" w:rsidRPr="00FA7F94" w:rsidRDefault="00943205" w:rsidP="002C17DA">
      <w:pPr>
        <w:tabs>
          <w:tab w:val="left" w:pos="720"/>
        </w:tabs>
        <w:autoSpaceDE w:val="0"/>
        <w:autoSpaceDN w:val="0"/>
        <w:adjustRightInd w:val="0"/>
        <w:ind w:left="36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2C17DA">
      <w:pPr>
        <w:tabs>
          <w:tab w:val="left" w:pos="720"/>
        </w:tabs>
        <w:autoSpaceDE w:val="0"/>
        <w:autoSpaceDN w:val="0"/>
        <w:adjustRightInd w:val="0"/>
        <w:ind w:left="360" w:right="-360"/>
        <w:rPr>
          <w:color w:val="000000" w:themeColor="text1"/>
        </w:rPr>
      </w:pPr>
    </w:p>
    <w:p w14:paraId="433C7CF7" w14:textId="77777777" w:rsidR="00943205" w:rsidRPr="00FA7F94" w:rsidRDefault="00943205" w:rsidP="002C17DA">
      <w:pPr>
        <w:pStyle w:val="ListParagraph"/>
        <w:numPr>
          <w:ilvl w:val="0"/>
          <w:numId w:val="9"/>
        </w:numPr>
        <w:tabs>
          <w:tab w:val="left" w:pos="720"/>
        </w:tabs>
        <w:autoSpaceDE w:val="0"/>
        <w:autoSpaceDN w:val="0"/>
        <w:adjustRightInd w:val="0"/>
        <w:ind w:left="360"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0292F437" w14:textId="77777777" w:rsidR="00943205" w:rsidRPr="00FA7F94" w:rsidRDefault="00943205" w:rsidP="00B72F6C">
      <w:pPr>
        <w:pStyle w:val="ListParagraph"/>
        <w:numPr>
          <w:ilvl w:val="0"/>
          <w:numId w:val="6"/>
        </w:numPr>
        <w:autoSpaceDE w:val="0"/>
        <w:autoSpaceDN w:val="0"/>
        <w:adjustRightInd w:val="0"/>
        <w:ind w:left="720" w:right="-360"/>
        <w:rPr>
          <w:color w:val="000000" w:themeColor="text1"/>
        </w:rPr>
      </w:pPr>
      <w:r w:rsidRPr="00FA7F94">
        <w:rPr>
          <w:color w:val="000000" w:themeColor="text1"/>
        </w:rPr>
        <w:t xml:space="preserve">Progress note for each counseling session </w:t>
      </w:r>
    </w:p>
    <w:p w14:paraId="5AAF8558" w14:textId="77777777" w:rsidR="00943205" w:rsidRPr="00FA7F94" w:rsidRDefault="00943205" w:rsidP="00B72F6C">
      <w:pPr>
        <w:autoSpaceDE w:val="0"/>
        <w:autoSpaceDN w:val="0"/>
        <w:adjustRightInd w:val="0"/>
        <w:ind w:left="720" w:right="-360"/>
        <w:rPr>
          <w:color w:val="000000" w:themeColor="text1"/>
        </w:rPr>
      </w:pPr>
      <w:r w:rsidRPr="00FA7F94">
        <w:rPr>
          <w:color w:val="000000" w:themeColor="text1"/>
        </w:rPr>
        <w:t>*Note: Students must have a progress note for each direct hour documented on their hours log</w:t>
      </w:r>
    </w:p>
    <w:p w14:paraId="1A9B76FC" w14:textId="77777777" w:rsidR="00943205" w:rsidRPr="00FA7F94" w:rsidRDefault="00943205" w:rsidP="00B72F6C">
      <w:pPr>
        <w:pStyle w:val="ListParagraph"/>
        <w:numPr>
          <w:ilvl w:val="0"/>
          <w:numId w:val="6"/>
        </w:numPr>
        <w:autoSpaceDE w:val="0"/>
        <w:autoSpaceDN w:val="0"/>
        <w:adjustRightInd w:val="0"/>
        <w:ind w:left="720" w:right="-360"/>
        <w:rPr>
          <w:color w:val="000000" w:themeColor="text1"/>
        </w:rPr>
      </w:pPr>
      <w:r w:rsidRPr="00FA7F94">
        <w:rPr>
          <w:color w:val="000000" w:themeColor="text1"/>
        </w:rPr>
        <w:t>Session summaries for each recorded counseling session</w:t>
      </w:r>
    </w:p>
    <w:p w14:paraId="36B2C5A7" w14:textId="7658DB87" w:rsidR="00B803F1" w:rsidRDefault="00943205" w:rsidP="00B803F1">
      <w:pPr>
        <w:pStyle w:val="ListParagraph"/>
        <w:numPr>
          <w:ilvl w:val="0"/>
          <w:numId w:val="6"/>
        </w:numPr>
        <w:autoSpaceDE w:val="0"/>
        <w:autoSpaceDN w:val="0"/>
        <w:adjustRightInd w:val="0"/>
        <w:ind w:left="720" w:right="-360"/>
        <w:rPr>
          <w:color w:val="000000" w:themeColor="text1"/>
        </w:rPr>
      </w:pPr>
      <w:r w:rsidRPr="00FA7F94">
        <w:rPr>
          <w:color w:val="000000" w:themeColor="text1"/>
        </w:rPr>
        <w:t>Treatment plans</w:t>
      </w:r>
      <w:r w:rsidR="00E21841" w:rsidRPr="00FA7F94">
        <w:rPr>
          <w:color w:val="000000" w:themeColor="text1"/>
        </w:rPr>
        <w:t xml:space="preserve"> (required for clients with 3+ sessions) </w:t>
      </w:r>
    </w:p>
    <w:p w14:paraId="49EACAB2" w14:textId="77777777" w:rsidR="00B803F1" w:rsidRDefault="00B803F1" w:rsidP="00B803F1">
      <w:pPr>
        <w:pStyle w:val="ListParagraph"/>
        <w:autoSpaceDE w:val="0"/>
        <w:autoSpaceDN w:val="0"/>
        <w:adjustRightInd w:val="0"/>
        <w:ind w:right="-360"/>
        <w:rPr>
          <w:color w:val="000000" w:themeColor="text1"/>
        </w:rPr>
      </w:pPr>
    </w:p>
    <w:p w14:paraId="3228AB97" w14:textId="7D4FB828" w:rsidR="00943205" w:rsidRPr="00B803F1" w:rsidRDefault="00943205" w:rsidP="00B803F1">
      <w:pPr>
        <w:pStyle w:val="ListParagraph"/>
        <w:autoSpaceDE w:val="0"/>
        <w:autoSpaceDN w:val="0"/>
        <w:adjustRightInd w:val="0"/>
        <w:ind w:right="-360"/>
        <w:rPr>
          <w:color w:val="000000" w:themeColor="text1"/>
        </w:rPr>
      </w:pPr>
      <w:r w:rsidRPr="00B803F1">
        <w:rPr>
          <w:b/>
          <w:bCs/>
          <w:color w:val="000000" w:themeColor="text1"/>
        </w:rPr>
        <w:t xml:space="preserve">* Due (Week 15):  Field Experience </w:t>
      </w:r>
      <w:r w:rsidR="00AF7580" w:rsidRPr="00B803F1">
        <w:rPr>
          <w:b/>
          <w:bCs/>
          <w:color w:val="000000" w:themeColor="text1"/>
        </w:rPr>
        <w:t xml:space="preserve">Documentation </w:t>
      </w:r>
      <w:r w:rsidRPr="00B803F1">
        <w:rPr>
          <w:b/>
          <w:bCs/>
          <w:color w:val="000000" w:themeColor="text1"/>
        </w:rPr>
        <w:t>Due</w:t>
      </w:r>
    </w:p>
    <w:p w14:paraId="5D4B8251" w14:textId="77777777" w:rsidR="00943205" w:rsidRPr="00FA7F94" w:rsidRDefault="00943205" w:rsidP="00B72F6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7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34D33BB0" w14:textId="77777777" w:rsidR="00943205" w:rsidRPr="00FA7F94" w:rsidRDefault="00943205" w:rsidP="00B72F6C">
      <w:pPr>
        <w:pStyle w:val="Style0"/>
        <w:numPr>
          <w:ilvl w:val="0"/>
          <w:numId w:val="5"/>
        </w:numPr>
        <w:tabs>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26A595BF" w14:textId="354EE4CA" w:rsidR="00943205" w:rsidRPr="00FA7F94" w:rsidRDefault="00943205" w:rsidP="00B72F6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72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00B72F6C">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 xml:space="preserve">2. </w:t>
      </w:r>
      <w:r w:rsidR="00863B35" w:rsidRPr="00FA7F94">
        <w:rPr>
          <w:rFonts w:ascii="Times New Roman" w:hAnsi="Times New Roman" w:cs="Times New Roman"/>
          <w:color w:val="000000" w:themeColor="text1"/>
          <w:sz w:val="24"/>
          <w:szCs w:val="24"/>
        </w:rPr>
        <w:t xml:space="preserve">   Three (3) Evaluation</w:t>
      </w:r>
      <w:r w:rsidRPr="00FA7F94">
        <w:rPr>
          <w:rFonts w:ascii="Times New Roman" w:hAnsi="Times New Roman" w:cs="Times New Roman"/>
          <w:color w:val="000000" w:themeColor="text1"/>
          <w:sz w:val="24"/>
          <w:szCs w:val="24"/>
        </w:rPr>
        <w:t xml:space="preserve"> Forms</w:t>
      </w:r>
    </w:p>
    <w:p w14:paraId="396E8CD0" w14:textId="77777777" w:rsidR="00943205" w:rsidRPr="00FA7F94" w:rsidRDefault="00943205" w:rsidP="00B72F6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611CEBE4" w14:textId="77777777" w:rsidR="00943205" w:rsidRPr="00FA7F94" w:rsidRDefault="00943205" w:rsidP="00B72F6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University Supervisor</w:t>
      </w:r>
    </w:p>
    <w:p w14:paraId="2D926BFC" w14:textId="77777777" w:rsidR="00943205" w:rsidRPr="00FA7F94" w:rsidRDefault="00943205" w:rsidP="00B72F6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65457A70" w14:textId="52737DF8" w:rsidR="00943205" w:rsidRPr="00FA7F94" w:rsidRDefault="00943205" w:rsidP="00B72F6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72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00B72F6C">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3</w:t>
      </w:r>
      <w:r w:rsidR="00B72F6C">
        <w:rPr>
          <w:rFonts w:ascii="Times New Roman" w:hAnsi="Times New Roman" w:cs="Times New Roman"/>
          <w:bCs/>
          <w:color w:val="000000" w:themeColor="text1"/>
          <w:sz w:val="24"/>
          <w:szCs w:val="24"/>
        </w:rPr>
        <w:t>.</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3576F700" w14:textId="77777777" w:rsidR="00943205" w:rsidRPr="00FA7F94" w:rsidRDefault="00943205" w:rsidP="00B72F6C">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2FEE8C73" w14:textId="77777777" w:rsidR="00943205" w:rsidRPr="00FA7F94" w:rsidRDefault="00943205" w:rsidP="00B72F6C">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6D8EDC42" w14:textId="77777777" w:rsidR="00943205" w:rsidRPr="00FA7F94" w:rsidRDefault="00943205" w:rsidP="00B72F6C">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1CA4D0EE" w14:textId="77777777" w:rsidR="00943205" w:rsidRPr="00FA7F94" w:rsidRDefault="00943205" w:rsidP="00B72F6C">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14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2C17DA">
      <w:pPr>
        <w:autoSpaceDE w:val="0"/>
        <w:autoSpaceDN w:val="0"/>
        <w:adjustRightInd w:val="0"/>
        <w:ind w:left="360" w:right="-360" w:hanging="720"/>
        <w:rPr>
          <w:color w:val="000000" w:themeColor="text1"/>
        </w:rPr>
      </w:pPr>
    </w:p>
    <w:p w14:paraId="0802F9C6" w14:textId="3D9E629C" w:rsidR="00943205" w:rsidRPr="00FA7F94" w:rsidRDefault="00943205" w:rsidP="00B72F6C">
      <w:pPr>
        <w:tabs>
          <w:tab w:val="left" w:pos="-540"/>
        </w:tabs>
        <w:autoSpaceDE w:val="0"/>
        <w:autoSpaceDN w:val="0"/>
        <w:adjustRightInd w:val="0"/>
        <w:ind w:right="-360" w:hanging="360"/>
        <w:rPr>
          <w:color w:val="000000" w:themeColor="text1"/>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w:t>
      </w:r>
      <w:r w:rsidR="009E4239" w:rsidRPr="00FA7F94">
        <w:rPr>
          <w:color w:val="000000" w:themeColor="text1"/>
        </w:rPr>
        <w:t xml:space="preserve">evidence of their documentation </w:t>
      </w:r>
      <w:r w:rsidRPr="00FA7F94">
        <w:rPr>
          <w:color w:val="000000" w:themeColor="text1"/>
        </w:rPr>
        <w:t>(</w:t>
      </w:r>
      <w:r w:rsidR="009E4239" w:rsidRPr="00FA7F94">
        <w:rPr>
          <w:color w:val="000000" w:themeColor="text1"/>
        </w:rPr>
        <w:t>reviewed</w:t>
      </w:r>
      <w:r w:rsidRPr="00FA7F94">
        <w:rPr>
          <w:color w:val="000000" w:themeColor="text1"/>
        </w:rPr>
        <w:t xml:space="preserve"> at midterm and final) that includes the practicum log, evaluation forms, *client files (including up to date progress notes) </w:t>
      </w:r>
      <w:r w:rsidR="00081E0E" w:rsidRPr="00FA7F94">
        <w:rPr>
          <w:color w:val="000000" w:themeColor="text1"/>
        </w:rPr>
        <w:t>uploaded through Box</w:t>
      </w:r>
      <w:r w:rsidRPr="00FA7F94">
        <w:rPr>
          <w:color w:val="000000" w:themeColor="text1"/>
        </w:rPr>
        <w:t xml:space="preserve">. Please note that individual supervisors may request additional materials to be added to </w:t>
      </w:r>
      <w:r w:rsidR="000F676D" w:rsidRPr="00FA7F94">
        <w:rPr>
          <w:color w:val="000000" w:themeColor="text1"/>
        </w:rPr>
        <w:t>Box</w:t>
      </w:r>
      <w:r w:rsidRPr="00FA7F94">
        <w:rPr>
          <w:color w:val="000000" w:themeColor="text1"/>
        </w:rPr>
        <w:t xml:space="preserve"> for review (e.g., other evaluations forms, tape transcripts, etc). The individual supervisor will complete both a midterm and a final evaluation of the student (it is the practicum student’s responsibility to provide blank copies of the evaluation to their supervisor).</w:t>
      </w:r>
    </w:p>
    <w:p w14:paraId="7534C86A" w14:textId="77777777" w:rsidR="00943205" w:rsidRPr="00FA7F94" w:rsidRDefault="00943205" w:rsidP="00B72F6C">
      <w:pPr>
        <w:tabs>
          <w:tab w:val="left" w:pos="-540"/>
        </w:tabs>
        <w:autoSpaceDE w:val="0"/>
        <w:autoSpaceDN w:val="0"/>
        <w:adjustRightInd w:val="0"/>
        <w:ind w:right="-360" w:hanging="720"/>
        <w:rPr>
          <w:color w:val="000000" w:themeColor="text1"/>
        </w:rPr>
      </w:pPr>
    </w:p>
    <w:p w14:paraId="3C49D3F3" w14:textId="38E17786" w:rsidR="009A339E" w:rsidRPr="00FA7F94" w:rsidRDefault="009A339E" w:rsidP="00B72F6C">
      <w:pPr>
        <w:tabs>
          <w:tab w:val="left" w:pos="-540"/>
        </w:tabs>
        <w:autoSpaceDE w:val="0"/>
        <w:autoSpaceDN w:val="0"/>
        <w:adjustRightInd w:val="0"/>
        <w:ind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University-appointed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B72F6C">
      <w:pPr>
        <w:tabs>
          <w:tab w:val="left" w:pos="-540"/>
        </w:tabs>
        <w:autoSpaceDE w:val="0"/>
        <w:autoSpaceDN w:val="0"/>
        <w:adjustRightInd w:val="0"/>
        <w:ind w:right="-360"/>
        <w:rPr>
          <w:color w:val="000000" w:themeColor="text1"/>
        </w:rPr>
      </w:pPr>
    </w:p>
    <w:p w14:paraId="72B5EC2C" w14:textId="759E2BCD" w:rsidR="00943205" w:rsidRPr="00FA7F94" w:rsidRDefault="00943205" w:rsidP="00B72F6C">
      <w:pPr>
        <w:tabs>
          <w:tab w:val="left" w:pos="-540"/>
        </w:tabs>
        <w:autoSpaceDE w:val="0"/>
        <w:autoSpaceDN w:val="0"/>
        <w:adjustRightInd w:val="0"/>
        <w:ind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FA7F94" w:rsidRDefault="00943205" w:rsidP="00B72F6C">
      <w:pPr>
        <w:tabs>
          <w:tab w:val="left" w:pos="-540"/>
        </w:tabs>
        <w:autoSpaceDE w:val="0"/>
        <w:autoSpaceDN w:val="0"/>
        <w:adjustRightInd w:val="0"/>
        <w:ind w:right="-360" w:hanging="720"/>
        <w:rPr>
          <w:i/>
          <w:iCs/>
          <w:color w:val="000000" w:themeColor="text1"/>
        </w:rPr>
      </w:pPr>
    </w:p>
    <w:p w14:paraId="4AF1C87F" w14:textId="77777777" w:rsidR="00943205" w:rsidRPr="00FA7F94" w:rsidRDefault="00943205" w:rsidP="00B72F6C">
      <w:pPr>
        <w:autoSpaceDE w:val="0"/>
        <w:autoSpaceDN w:val="0"/>
        <w:adjustRightInd w:val="0"/>
        <w:ind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B72F6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481166A9" w:rsidR="00943205" w:rsidRPr="00FA7F94" w:rsidRDefault="00943205" w:rsidP="00B72F6C">
      <w:pPr>
        <w:tabs>
          <w:tab w:val="left" w:pos="-540"/>
        </w:tabs>
        <w:autoSpaceDE w:val="0"/>
        <w:autoSpaceDN w:val="0"/>
        <w:adjustRightInd w:val="0"/>
        <w:ind w:right="-360" w:hanging="36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sidRPr="00FA7F94">
        <w:rPr>
          <w:color w:val="000000" w:themeColor="text1"/>
        </w:rPr>
        <w:t>counseling</w:t>
      </w:r>
      <w:r w:rsidRPr="00FA7F94">
        <w:rPr>
          <w:color w:val="000000" w:themeColor="text1"/>
        </w:rPr>
        <w:t xml:space="preserve"> program’s expectations, requirements, and evaluation </w:t>
      </w:r>
      <w:r w:rsidRPr="00FA7F94">
        <w:rPr>
          <w:color w:val="000000" w:themeColor="text1"/>
        </w:rPr>
        <w:lastRenderedPageBreak/>
        <w:t>procedures for students; and (5) relevant training in counseling supervision.  Site supervisors will complete both a midterm and a final evaluation of the student and sign their log weekly.</w:t>
      </w:r>
    </w:p>
    <w:p w14:paraId="4E6AC475" w14:textId="77777777" w:rsidR="00943205" w:rsidRPr="00FA7F94" w:rsidRDefault="00943205" w:rsidP="00B72F6C">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B72F6C">
      <w:pPr>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B72F6C">
      <w:pPr>
        <w:pStyle w:val="ListParagraph"/>
        <w:numPr>
          <w:ilvl w:val="0"/>
          <w:numId w:val="8"/>
        </w:numPr>
        <w:ind w:left="360"/>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B72F6C">
      <w:pPr>
        <w:pStyle w:val="ListParagraph"/>
        <w:numPr>
          <w:ilvl w:val="0"/>
          <w:numId w:val="7"/>
        </w:numPr>
        <w:ind w:left="360"/>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B72F6C">
      <w:pPr>
        <w:pStyle w:val="ListParagraph"/>
        <w:numPr>
          <w:ilvl w:val="0"/>
          <w:numId w:val="7"/>
        </w:numPr>
        <w:ind w:left="360"/>
        <w:rPr>
          <w:color w:val="000000" w:themeColor="text1"/>
        </w:rPr>
      </w:pPr>
      <w:r w:rsidRPr="00FA7F94">
        <w:rPr>
          <w:color w:val="000000" w:themeColor="text1"/>
        </w:rPr>
        <w:t>Client’s goals for counseling</w:t>
      </w:r>
    </w:p>
    <w:p w14:paraId="505C494F" w14:textId="77777777" w:rsidR="00943205" w:rsidRPr="00FA7F94" w:rsidRDefault="00943205" w:rsidP="00B72F6C">
      <w:pPr>
        <w:pStyle w:val="ListParagraph"/>
        <w:numPr>
          <w:ilvl w:val="0"/>
          <w:numId w:val="7"/>
        </w:numPr>
        <w:ind w:left="360"/>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B72F6C">
      <w:pPr>
        <w:pStyle w:val="ListParagraph"/>
        <w:numPr>
          <w:ilvl w:val="0"/>
          <w:numId w:val="7"/>
        </w:numPr>
        <w:ind w:left="360"/>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B72F6C">
      <w:pPr>
        <w:pStyle w:val="ListParagraph"/>
        <w:numPr>
          <w:ilvl w:val="0"/>
          <w:numId w:val="7"/>
        </w:numPr>
        <w:ind w:left="360"/>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B72F6C">
      <w:pPr>
        <w:pStyle w:val="ListParagraph"/>
        <w:numPr>
          <w:ilvl w:val="0"/>
          <w:numId w:val="7"/>
        </w:numPr>
        <w:tabs>
          <w:tab w:val="left" w:pos="-540"/>
        </w:tabs>
        <w:autoSpaceDE w:val="0"/>
        <w:autoSpaceDN w:val="0"/>
        <w:adjustRightInd w:val="0"/>
        <w:ind w:left="360"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B72F6C">
      <w:pPr>
        <w:tabs>
          <w:tab w:val="left" w:pos="-540"/>
        </w:tabs>
        <w:autoSpaceDE w:val="0"/>
        <w:autoSpaceDN w:val="0"/>
        <w:adjustRightInd w:val="0"/>
        <w:ind w:right="-360"/>
        <w:rPr>
          <w:color w:val="000000" w:themeColor="text1"/>
        </w:rPr>
      </w:pPr>
      <w:r w:rsidRPr="00FA7F94">
        <w:rPr>
          <w:color w:val="000000" w:themeColor="text1"/>
        </w:rPr>
        <w:t xml:space="preserve"> </w:t>
      </w:r>
    </w:p>
    <w:p w14:paraId="07D6FA29" w14:textId="67B4D9AF" w:rsidR="00305D3B" w:rsidRPr="00FA7F94" w:rsidRDefault="00943205" w:rsidP="00B72F6C">
      <w:pPr>
        <w:tabs>
          <w:tab w:val="left" w:pos="-540"/>
        </w:tabs>
        <w:autoSpaceDE w:val="0"/>
        <w:autoSpaceDN w:val="0"/>
        <w:adjustRightInd w:val="0"/>
        <w:ind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00305D3B" w:rsidRPr="00FA7F94">
        <w:rPr>
          <w:color w:val="000000" w:themeColor="text1"/>
        </w:rPr>
        <w:t xml:space="preserve">Students must submit the following items (shared in Box and in hard copy) to their </w:t>
      </w:r>
      <w:r w:rsidR="00305D3B" w:rsidRPr="00FA7F94">
        <w:rPr>
          <w:i/>
          <w:iCs/>
          <w:color w:val="000000" w:themeColor="text1"/>
        </w:rPr>
        <w:t xml:space="preserve">university group supervisor </w:t>
      </w:r>
      <w:r w:rsidR="00305D3B" w:rsidRPr="00FA7F94">
        <w:rPr>
          <w:color w:val="000000" w:themeColor="text1"/>
        </w:rPr>
        <w:t>to receive final grades. These items will be placed in each student’s file stored in 2084 Haley Center. The items include:</w:t>
      </w:r>
    </w:p>
    <w:p w14:paraId="5D47A101" w14:textId="77777777" w:rsidR="00305D3B" w:rsidRPr="00FA7F94" w:rsidRDefault="00305D3B" w:rsidP="00B72F6C">
      <w:pPr>
        <w:pStyle w:val="NormalWeb"/>
        <w:numPr>
          <w:ilvl w:val="1"/>
          <w:numId w:val="11"/>
        </w:numPr>
        <w:spacing w:before="0" w:beforeAutospacing="0" w:after="0" w:afterAutospacing="0"/>
        <w:ind w:left="360"/>
        <w:textAlignment w:val="baseline"/>
        <w:rPr>
          <w:rFonts w:ascii="Arial" w:hAnsi="Arial" w:cs="Arial"/>
          <w:color w:val="000000" w:themeColor="text1"/>
        </w:rPr>
      </w:pPr>
      <w:r w:rsidRPr="00FA7F94">
        <w:rPr>
          <w:color w:val="000000" w:themeColor="text1"/>
        </w:rPr>
        <w:t>Practicum Information Form</w:t>
      </w:r>
    </w:p>
    <w:p w14:paraId="1FF8805A" w14:textId="77777777" w:rsidR="00305D3B" w:rsidRPr="00FA7F94" w:rsidRDefault="00305D3B" w:rsidP="00B72F6C">
      <w:pPr>
        <w:pStyle w:val="NormalWeb"/>
        <w:numPr>
          <w:ilvl w:val="1"/>
          <w:numId w:val="11"/>
        </w:numPr>
        <w:spacing w:before="0" w:beforeAutospacing="0" w:after="0" w:afterAutospacing="0"/>
        <w:ind w:left="360"/>
        <w:textAlignment w:val="baseline"/>
        <w:rPr>
          <w:rFonts w:ascii="Arial" w:hAnsi="Arial" w:cs="Arial"/>
          <w:color w:val="000000" w:themeColor="text1"/>
        </w:rPr>
      </w:pPr>
      <w:r w:rsidRPr="00FA7F94">
        <w:rPr>
          <w:color w:val="000000" w:themeColor="text1"/>
        </w:rPr>
        <w:t>All supervisors’ evaluation forms (Site, University)</w:t>
      </w:r>
    </w:p>
    <w:p w14:paraId="1B60C022" w14:textId="77777777" w:rsidR="00305D3B" w:rsidRPr="00FA7F94" w:rsidRDefault="00305D3B" w:rsidP="00B72F6C">
      <w:pPr>
        <w:pStyle w:val="NormalWeb"/>
        <w:numPr>
          <w:ilvl w:val="1"/>
          <w:numId w:val="11"/>
        </w:numPr>
        <w:spacing w:before="0" w:beforeAutospacing="0" w:after="0" w:afterAutospacing="0"/>
        <w:ind w:left="360"/>
        <w:textAlignment w:val="baseline"/>
        <w:rPr>
          <w:rFonts w:ascii="Arial" w:hAnsi="Arial" w:cs="Arial"/>
          <w:color w:val="000000" w:themeColor="text1"/>
        </w:rPr>
      </w:pPr>
      <w:r w:rsidRPr="00FA7F94">
        <w:rPr>
          <w:color w:val="000000" w:themeColor="text1"/>
        </w:rPr>
        <w:t>Self-Evaluation Form</w:t>
      </w:r>
    </w:p>
    <w:p w14:paraId="69B79E1C" w14:textId="20100D21" w:rsidR="00305D3B" w:rsidRPr="00FA7F94" w:rsidRDefault="00305D3B" w:rsidP="00B72F6C">
      <w:pPr>
        <w:pStyle w:val="NormalWeb"/>
        <w:numPr>
          <w:ilvl w:val="1"/>
          <w:numId w:val="11"/>
        </w:numPr>
        <w:spacing w:before="1" w:beforeAutospacing="0" w:after="0" w:afterAutospacing="0"/>
        <w:ind w:left="360"/>
        <w:textAlignment w:val="baseline"/>
        <w:rPr>
          <w:rFonts w:ascii="Arial" w:hAnsi="Arial" w:cs="Arial"/>
          <w:color w:val="000000" w:themeColor="text1"/>
        </w:rPr>
      </w:pPr>
      <w:r w:rsidRPr="00FA7F94">
        <w:rPr>
          <w:color w:val="000000" w:themeColor="text1"/>
        </w:rPr>
        <w:t>Practicum Log</w:t>
      </w:r>
    </w:p>
    <w:p w14:paraId="44397622" w14:textId="77777777" w:rsidR="00305D3B" w:rsidRPr="00FA7F94" w:rsidRDefault="00305D3B" w:rsidP="00B72F6C">
      <w:pPr>
        <w:pStyle w:val="NormalWeb"/>
        <w:numPr>
          <w:ilvl w:val="1"/>
          <w:numId w:val="11"/>
        </w:numPr>
        <w:spacing w:before="0" w:beforeAutospacing="0" w:after="0" w:afterAutospacing="0"/>
        <w:ind w:left="36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03230090" w14:textId="77777777" w:rsidR="00305D3B" w:rsidRPr="00FA7F94" w:rsidRDefault="00305D3B" w:rsidP="00B72F6C">
      <w:pPr>
        <w:rPr>
          <w:color w:val="000000" w:themeColor="text1"/>
        </w:rPr>
      </w:pPr>
    </w:p>
    <w:p w14:paraId="2A82CE20" w14:textId="02D41E20" w:rsidR="00D843E7" w:rsidRPr="00FA7F94" w:rsidRDefault="0074207C" w:rsidP="00B72F6C">
      <w:pPr>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9"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10"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B72F6C">
      <w:pPr>
        <w:rPr>
          <w:color w:val="000000" w:themeColor="text1"/>
          <w:shd w:val="clear" w:color="auto" w:fill="FFFFFF"/>
        </w:rPr>
      </w:pPr>
    </w:p>
    <w:p w14:paraId="5660EC13" w14:textId="4525891B" w:rsidR="00F2657E" w:rsidRPr="00FA7F94" w:rsidRDefault="002D36EA" w:rsidP="00B72F6C">
      <w:pPr>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11"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B72F6C">
      <w:pPr>
        <w:rPr>
          <w:b/>
          <w:bCs/>
          <w:color w:val="000000" w:themeColor="text1"/>
        </w:rPr>
      </w:pPr>
    </w:p>
    <w:p w14:paraId="749B49FB" w14:textId="74D80B09" w:rsidR="00943205" w:rsidRPr="00FA7F94" w:rsidRDefault="00943205" w:rsidP="00B72F6C">
      <w:pPr>
        <w:rPr>
          <w:color w:val="000000" w:themeColor="text1"/>
          <w:shd w:val="clear" w:color="auto" w:fill="FFFFFF"/>
        </w:rPr>
      </w:pPr>
      <w:r w:rsidRPr="00FA7F94">
        <w:rPr>
          <w:b/>
          <w:bCs/>
          <w:color w:val="000000" w:themeColor="text1"/>
        </w:rPr>
        <w:lastRenderedPageBreak/>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B72F6C">
      <w:pPr>
        <w:numPr>
          <w:ilvl w:val="0"/>
          <w:numId w:val="2"/>
        </w:numPr>
        <w:autoSpaceDE w:val="0"/>
        <w:autoSpaceDN w:val="0"/>
        <w:adjustRightInd w:val="0"/>
        <w:ind w:hanging="360"/>
        <w:rPr>
          <w:b/>
          <w:bCs/>
          <w:color w:val="000000" w:themeColor="text1"/>
        </w:rPr>
      </w:pPr>
    </w:p>
    <w:p w14:paraId="12B99322" w14:textId="15C6F926" w:rsidR="00943205" w:rsidRPr="00FA7F94" w:rsidRDefault="00943205" w:rsidP="00B72F6C">
      <w:pPr>
        <w:autoSpaceDE w:val="0"/>
        <w:autoSpaceDN w:val="0"/>
        <w:adjustRightInd w:val="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Student EPolicy Handbook</w:t>
      </w:r>
      <w:r w:rsidRPr="00FA7F94">
        <w:rPr>
          <w:color w:val="000000" w:themeColor="text1"/>
        </w:rPr>
        <w:t xml:space="preserve"> at </w:t>
      </w:r>
      <w:hyperlink r:id="rId12"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3"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B72F6C">
      <w:pPr>
        <w:autoSpaceDE w:val="0"/>
        <w:autoSpaceDN w:val="0"/>
        <w:adjustRightInd w:val="0"/>
        <w:rPr>
          <w:color w:val="000000" w:themeColor="text1"/>
        </w:rPr>
      </w:pPr>
    </w:p>
    <w:p w14:paraId="79ACE1E8" w14:textId="77777777" w:rsidR="00943205" w:rsidRPr="00FA7F94" w:rsidRDefault="00943205" w:rsidP="00B72F6C">
      <w:pPr>
        <w:autoSpaceDE w:val="0"/>
        <w:autoSpaceDN w:val="0"/>
        <w:adjustRightInd w:val="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B72F6C">
      <w:pPr>
        <w:autoSpaceDE w:val="0"/>
        <w:autoSpaceDN w:val="0"/>
        <w:adjustRightInd w:val="0"/>
        <w:rPr>
          <w:color w:val="000000" w:themeColor="text1"/>
        </w:rPr>
      </w:pPr>
    </w:p>
    <w:p w14:paraId="19186A14" w14:textId="1C883050" w:rsidR="00943205" w:rsidRPr="00FA7F94" w:rsidRDefault="00943205" w:rsidP="00B72F6C">
      <w:pPr>
        <w:autoSpaceDE w:val="0"/>
        <w:autoSpaceDN w:val="0"/>
        <w:adjustRightInd w:val="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4"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B72F6C">
      <w:pPr>
        <w:autoSpaceDE w:val="0"/>
        <w:autoSpaceDN w:val="0"/>
        <w:adjustRightInd w:val="0"/>
        <w:rPr>
          <w:color w:val="000000" w:themeColor="text1"/>
        </w:rPr>
      </w:pPr>
    </w:p>
    <w:p w14:paraId="49FD06A5" w14:textId="77777777" w:rsidR="00B803F1" w:rsidRPr="00B803F1" w:rsidRDefault="00D065EC" w:rsidP="00B803F1">
      <w:pPr>
        <w:rPr>
          <w:color w:val="000000" w:themeColor="text1"/>
          <w:u w:val="single"/>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w:t>
      </w:r>
      <w:r w:rsidRPr="00FA7F94">
        <w:rPr>
          <w:color w:val="000000" w:themeColor="text1"/>
        </w:rPr>
        <w:lastRenderedPageBreak/>
        <w:t>and other online platforms are inherently public behavior and thus also fall under the purview of this policy</w:t>
      </w:r>
      <w:r w:rsidRPr="00B803F1">
        <w:rPr>
          <w:color w:val="000000" w:themeColor="text1"/>
        </w:rPr>
        <w:t>.</w:t>
      </w:r>
      <w:r w:rsidR="00B803F1">
        <w:rPr>
          <w:color w:val="000000" w:themeColor="text1"/>
        </w:rPr>
        <w:t xml:space="preserve"> </w:t>
      </w:r>
      <w:r w:rsidR="00B803F1" w:rsidRPr="00B803F1">
        <w:rPr>
          <w:b/>
          <w:bCs/>
          <w:color w:val="000000" w:themeColor="text1"/>
          <w:u w:val="single"/>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B72F6C">
      <w:pPr>
        <w:shd w:val="clear" w:color="auto" w:fill="FFFFFF"/>
        <w:rPr>
          <w:color w:val="000000" w:themeColor="text1"/>
        </w:rPr>
      </w:pPr>
    </w:p>
    <w:p w14:paraId="4632F522" w14:textId="28120107" w:rsidR="00D065EC" w:rsidRPr="00FA7F94" w:rsidRDefault="00D065EC" w:rsidP="00B72F6C">
      <w:pPr>
        <w:shd w:val="clear" w:color="auto" w:fill="FFFFFF"/>
        <w:rPr>
          <w:rFonts w:ascii="-webkit-standard" w:hAnsi="-webkit-standard"/>
          <w:color w:val="000000" w:themeColor="text1"/>
        </w:rPr>
      </w:pPr>
      <w:r w:rsidRPr="00FA7F94">
        <w:rPr>
          <w:color w:val="000000" w:themeColor="text1"/>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72F6C">
      <w:pPr>
        <w:shd w:val="clear" w:color="auto" w:fill="FFFFFF"/>
        <w:rPr>
          <w:rFonts w:ascii="-webkit-standard" w:hAnsi="-webkit-standard"/>
          <w:color w:val="000000" w:themeColor="text1"/>
        </w:rPr>
      </w:pPr>
    </w:p>
    <w:p w14:paraId="58AA338B" w14:textId="6106B95B" w:rsidR="00943205" w:rsidRDefault="00D065EC" w:rsidP="00B72F6C">
      <w:pPr>
        <w:shd w:val="clear" w:color="auto" w:fill="FFFFFF"/>
        <w:spacing w:after="2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13201C08" w14:textId="77777777" w:rsidR="00376D75" w:rsidRPr="001F0856" w:rsidRDefault="00376D75" w:rsidP="00376D75">
      <w:pPr>
        <w:rPr>
          <w:b/>
          <w:bCs/>
          <w:color w:val="000000" w:themeColor="text1"/>
        </w:rPr>
      </w:pPr>
      <w:r w:rsidRPr="001F0856">
        <w:rPr>
          <w:b/>
          <w:bCs/>
          <w:color w:val="000000" w:themeColor="text1"/>
          <w:spacing w:val="20"/>
        </w:rPr>
        <w:t>COVID Related Policies</w:t>
      </w:r>
    </w:p>
    <w:p w14:paraId="51E02B42"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distancing</w:t>
      </w:r>
    </w:p>
    <w:p w14:paraId="1FE86057"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color w:val="000000" w:themeColor="text1"/>
        </w:rPr>
        <w:t> </w:t>
      </w:r>
    </w:p>
    <w:p w14:paraId="30C4A98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3A82AD6"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65800D36"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C87B6AB"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14:paraId="7D77A71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lastRenderedPageBreak/>
        <w:t>Possibility of going remote</w:t>
      </w:r>
    </w:p>
    <w:p w14:paraId="72522FFD" w14:textId="77777777" w:rsidR="00376D75" w:rsidRPr="001F0856" w:rsidRDefault="00376D75" w:rsidP="00376D75">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07E8E1" w14:textId="77777777" w:rsidR="00376D75" w:rsidRPr="001F0856" w:rsidRDefault="00376D75" w:rsidP="00376D75">
      <w:pPr>
        <w:rPr>
          <w:color w:val="000000" w:themeColor="text1"/>
          <w:shd w:val="clear" w:color="auto" w:fill="FFFFFF"/>
        </w:rPr>
      </w:pPr>
    </w:p>
    <w:p w14:paraId="087DF634"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14:paraId="635AE308"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0C4A850"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a student in class tests positive</w:t>
      </w:r>
    </w:p>
    <w:p w14:paraId="0379C8F4" w14:textId="77777777" w:rsidR="00376D75" w:rsidRPr="001F0856" w:rsidRDefault="00376D75" w:rsidP="00376D75">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color w:val="000000" w:themeColor="text1"/>
        </w:rPr>
        <w:t> </w:t>
      </w:r>
      <w:hyperlink r:id="rId15" w:tgtFrame="_blank" w:history="1">
        <w:r w:rsidRPr="001F0856">
          <w:rPr>
            <w:rStyle w:val="Hyperlink"/>
            <w:color w:val="000000" w:themeColor="text1"/>
          </w:rPr>
          <w:t>CDC guidelines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color w:val="000000" w:themeColor="text1"/>
        </w:rPr>
        <w:t> </w:t>
      </w:r>
      <w:hyperlink r:id="rId16" w:tgtFrame="_blank" w:history="1">
        <w:r w:rsidRPr="001F0856">
          <w:rPr>
            <w:rStyle w:val="Hyperlink"/>
            <w:color w:val="000000" w:themeColor="text1"/>
          </w:rPr>
          <w:t>Student Health Center</w:t>
        </w:r>
        <w:r w:rsidRPr="001F0856">
          <w:rPr>
            <w:rStyle w:val="screenreader-only"/>
            <w:rFonts w:eastAsiaTheme="majorEastAsia"/>
            <w:color w:val="000000" w:themeColor="text1"/>
            <w:u w:val="single"/>
            <w:bdr w:val="none" w:sz="0" w:space="0" w:color="auto" w:frame="1"/>
          </w:rPr>
          <w:t> (Links to an external site.)</w:t>
        </w:r>
      </w:hyperlink>
      <w:r w:rsidRPr="001F0856">
        <w:rPr>
          <w:rStyle w:val="apple-converted-space"/>
          <w:color w:val="000000" w:themeColor="text1"/>
        </w:rPr>
        <w:t> </w:t>
      </w:r>
      <w:r w:rsidRPr="001F0856">
        <w:rPr>
          <w:color w:val="000000" w:themeColor="text1"/>
        </w:rPr>
        <w:t xml:space="preserve">or their health care provider to receive care and who can provide the latest direction on quarantine and self-isolation. Contact </w:t>
      </w:r>
      <w:r>
        <w:rPr>
          <w:color w:val="000000" w:themeColor="text1"/>
        </w:rPr>
        <w:t>me</w:t>
      </w:r>
      <w:r w:rsidRPr="001F0856">
        <w:rPr>
          <w:color w:val="000000" w:themeColor="text1"/>
        </w:rPr>
        <w:t xml:space="preserve"> immediately to make instructional and learning arrangements.</w:t>
      </w:r>
    </w:p>
    <w:p w14:paraId="721EDB7B" w14:textId="77777777" w:rsidR="00376D75" w:rsidRPr="001F0856" w:rsidRDefault="00376D75" w:rsidP="00376D75">
      <w:pPr>
        <w:rPr>
          <w:b/>
          <w:color w:val="000000" w:themeColor="text1"/>
        </w:rPr>
      </w:pPr>
    </w:p>
    <w:p w14:paraId="24D6E94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63C042B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1CBBB2C"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5FD8614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w:t>
      </w:r>
      <w:r w:rsidRPr="001F0856">
        <w:rPr>
          <w:color w:val="000000" w:themeColor="text1"/>
        </w:rPr>
        <w:lastRenderedPageBreak/>
        <w:t>Zoom please notify me via email in the first week of class. I’m happy to consider and provide accommodations, but you will need to be in communication with me.</w:t>
      </w:r>
    </w:p>
    <w:p w14:paraId="0B188F8D"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4847D4E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BED8F1"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2954C2C"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in advance of your absence if possible</w:t>
      </w:r>
    </w:p>
    <w:p w14:paraId="14981DC9"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14:paraId="2ABB6DC8"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736F4940"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0F5A13EA" w14:textId="77777777" w:rsidR="00376D75" w:rsidRPr="00F63136" w:rsidRDefault="00376D75" w:rsidP="00376D75">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142AC0E0" w14:textId="77777777" w:rsidR="00376D75" w:rsidRPr="001F0856" w:rsidRDefault="00376D75" w:rsidP="00376D75">
      <w:pPr>
        <w:rPr>
          <w:b/>
          <w:color w:val="000000" w:themeColor="text1"/>
        </w:rPr>
      </w:pPr>
      <w:r w:rsidRPr="001F0856">
        <w:rPr>
          <w:b/>
          <w:color w:val="000000" w:themeColor="text1"/>
        </w:rPr>
        <w:t xml:space="preserve">Justification for Graduate Credit:  </w:t>
      </w:r>
    </w:p>
    <w:p w14:paraId="47360DD8" w14:textId="77777777" w:rsidR="00376D75" w:rsidRPr="001F0856" w:rsidRDefault="00376D75" w:rsidP="00376D75">
      <w:pPr>
        <w:rPr>
          <w:b/>
          <w:color w:val="000000" w:themeColor="text1"/>
        </w:rPr>
      </w:pPr>
    </w:p>
    <w:p w14:paraId="7FBDE158"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27AF0EB"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31793C44"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2C17DA">
          <w:headerReference w:type="even" r:id="rId17"/>
          <w:headerReference w:type="default" r:id="rId18"/>
          <w:pgSz w:w="12240" w:h="15840"/>
          <w:pgMar w:top="1440" w:right="1440" w:bottom="1440" w:left="1440" w:header="720" w:footer="720" w:gutter="0"/>
          <w:cols w:space="720"/>
          <w:docGrid w:linePitch="326"/>
        </w:sectPr>
      </w:pPr>
    </w:p>
    <w:p w14:paraId="47C39DCE" w14:textId="6F3C7B27" w:rsidR="00943205" w:rsidRPr="002C17DA" w:rsidRDefault="002B0999" w:rsidP="002C17DA">
      <w:pPr>
        <w:autoSpaceDE w:val="0"/>
        <w:autoSpaceDN w:val="0"/>
        <w:adjustRightInd w:val="0"/>
        <w:spacing w:after="80"/>
        <w:jc w:val="center"/>
        <w:outlineLvl w:val="0"/>
        <w:rPr>
          <w:b/>
          <w:color w:val="000000" w:themeColor="text1"/>
        </w:rPr>
      </w:pPr>
      <w:r w:rsidRPr="00FA7F94">
        <w:rPr>
          <w:b/>
          <w:color w:val="000000" w:themeColor="text1"/>
        </w:rPr>
        <w:lastRenderedPageBreak/>
        <w:t>Readings</w:t>
      </w:r>
    </w:p>
    <w:p w14:paraId="39840F4C" w14:textId="6EF54BB6" w:rsidR="00F272ED" w:rsidRPr="00FA7F94" w:rsidRDefault="00F272ED" w:rsidP="002C17DA">
      <w:pPr>
        <w:autoSpaceDE w:val="0"/>
        <w:autoSpaceDN w:val="0"/>
        <w:adjustRightInd w:val="0"/>
        <w:spacing w:after="80"/>
        <w:ind w:left="720" w:hanging="720"/>
        <w:rPr>
          <w:color w:val="000000" w:themeColor="text1"/>
        </w:rPr>
      </w:pPr>
      <w:r w:rsidRPr="00FA7F94">
        <w:rPr>
          <w:color w:val="000000" w:themeColor="text1"/>
        </w:rPr>
        <w:t xml:space="preserve">Ameli, M., &amp; Dattilio, F. M. (2013). Enhancing cognitive behavior therapy with logotherapy: Techniques for clinical practice. </w:t>
      </w:r>
      <w:r w:rsidRPr="00FA7F94">
        <w:rPr>
          <w:i/>
          <w:color w:val="000000" w:themeColor="text1"/>
        </w:rPr>
        <w:t>Psychotherapy, 50</w:t>
      </w:r>
      <w:r w:rsidRPr="00FA7F94">
        <w:rPr>
          <w:color w:val="000000" w:themeColor="text1"/>
        </w:rPr>
        <w:t>(3), 387-391. doi:10.1037/a0033394</w:t>
      </w:r>
    </w:p>
    <w:p w14:paraId="63C38939" w14:textId="6FA41810" w:rsidR="00424BD0" w:rsidRPr="00FA7F94" w:rsidRDefault="00424BD0" w:rsidP="002C17DA">
      <w:pPr>
        <w:autoSpaceDE w:val="0"/>
        <w:autoSpaceDN w:val="0"/>
        <w:adjustRightInd w:val="0"/>
        <w:spacing w:after="80"/>
        <w:ind w:left="720" w:hanging="720"/>
        <w:rPr>
          <w:color w:val="000000" w:themeColor="text1"/>
        </w:rPr>
      </w:pPr>
      <w:r w:rsidRPr="00FA7F94">
        <w:rPr>
          <w:color w:val="000000" w:themeColor="text1"/>
        </w:rPr>
        <w:t>Ametrano, I. M. (2014). Teaching ethical decision making: Helping students reconcile personal</w:t>
      </w:r>
      <w:r w:rsidR="002C17DA">
        <w:rPr>
          <w:color w:val="000000" w:themeColor="text1"/>
        </w:rPr>
        <w:t xml:space="preserve"> </w:t>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(2), 154-161.</w:t>
      </w:r>
      <w:r w:rsidR="002C17DA">
        <w:rPr>
          <w:color w:val="000000" w:themeColor="text1"/>
        </w:rPr>
        <w:t xml:space="preserve"> </w:t>
      </w:r>
      <w:r w:rsidRPr="00FA7F94">
        <w:rPr>
          <w:color w:val="000000" w:themeColor="text1"/>
        </w:rPr>
        <w:t>doi:10.1002/j.1556-6676.2014.00143.x</w:t>
      </w:r>
    </w:p>
    <w:p w14:paraId="10E8D163" w14:textId="4AE8A214" w:rsidR="002C7973" w:rsidRPr="00FA7F94" w:rsidRDefault="002C7973" w:rsidP="002C17DA">
      <w:pPr>
        <w:autoSpaceDE w:val="0"/>
        <w:autoSpaceDN w:val="0"/>
        <w:adjustRightInd w:val="0"/>
        <w:spacing w:after="80"/>
        <w:ind w:left="720" w:hanging="720"/>
        <w:rPr>
          <w:color w:val="000000" w:themeColor="text1"/>
        </w:rPr>
      </w:pPr>
      <w:r w:rsidRPr="00FA7F94">
        <w:rPr>
          <w:color w:val="000000" w:themeColor="text1"/>
        </w:rPr>
        <w:t>Boswell, J. F., Castonguay, L. G., &amp; Pincus, A. L. (2009). Trainee theoretical orientation:</w:t>
      </w:r>
      <w:r w:rsidR="002C17DA">
        <w:rPr>
          <w:color w:val="000000" w:themeColor="text1"/>
        </w:rPr>
        <w:t xml:space="preserve"> </w:t>
      </w:r>
      <w:r w:rsidRPr="00FA7F94">
        <w:rPr>
          <w:color w:val="000000" w:themeColor="text1"/>
        </w:rPr>
        <w:t xml:space="preserve">Profiles and potential predictors. </w:t>
      </w:r>
      <w:r w:rsidRPr="00FA7F94">
        <w:rPr>
          <w:i/>
          <w:color w:val="000000" w:themeColor="text1"/>
        </w:rPr>
        <w:t>Journal of Psychotherapy Integration, 19</w:t>
      </w:r>
      <w:r w:rsidRPr="00FA7F94">
        <w:rPr>
          <w:color w:val="000000" w:themeColor="text1"/>
        </w:rPr>
        <w:t xml:space="preserve">(3), 291-312. </w:t>
      </w:r>
      <w:r w:rsidR="002C17DA">
        <w:rPr>
          <w:color w:val="000000" w:themeColor="text1"/>
        </w:rPr>
        <w:t>d</w:t>
      </w:r>
      <w:r w:rsidRPr="00FA7F94">
        <w:rPr>
          <w:color w:val="000000" w:themeColor="text1"/>
        </w:rPr>
        <w:t>oi:10.1037/a0017068</w:t>
      </w:r>
    </w:p>
    <w:p w14:paraId="7FB55194" w14:textId="39CDF306" w:rsidR="0032487E" w:rsidRPr="002C17DA" w:rsidRDefault="00943205" w:rsidP="002C17DA">
      <w:pPr>
        <w:autoSpaceDE w:val="0"/>
        <w:autoSpaceDN w:val="0"/>
        <w:adjustRightInd w:val="0"/>
        <w:spacing w:after="80"/>
        <w:ind w:left="720" w:hanging="720"/>
        <w:rPr>
          <w:i/>
          <w:color w:val="000000" w:themeColor="text1"/>
        </w:rPr>
      </w:pPr>
      <w:r w:rsidRPr="00FA7F94">
        <w:rPr>
          <w:color w:val="000000" w:themeColor="text1"/>
        </w:rPr>
        <w:t xml:space="preserve">Cameron, S., &amp; Turtle-Song, I. (2002). Learning to write notes using the SOAP format. </w:t>
      </w:r>
      <w:r w:rsidRPr="00FA7F94">
        <w:rPr>
          <w:i/>
          <w:color w:val="000000" w:themeColor="text1"/>
        </w:rPr>
        <w:t xml:space="preserve">Journal of Counseling &amp; Development, </w:t>
      </w:r>
      <w:r w:rsidRPr="00FA7F94">
        <w:rPr>
          <w:color w:val="000000" w:themeColor="text1"/>
        </w:rPr>
        <w:t xml:space="preserve">80, 286-292. </w:t>
      </w:r>
    </w:p>
    <w:p w14:paraId="5579C5FC" w14:textId="56D0CABC" w:rsidR="00943205" w:rsidRPr="00FA7F94" w:rsidRDefault="00401234" w:rsidP="002C17DA">
      <w:pPr>
        <w:autoSpaceDE w:val="0"/>
        <w:autoSpaceDN w:val="0"/>
        <w:adjustRightInd w:val="0"/>
        <w:spacing w:after="80"/>
        <w:ind w:left="720" w:hanging="720"/>
        <w:outlineLvl w:val="0"/>
        <w:rPr>
          <w:color w:val="000000" w:themeColor="text1"/>
        </w:rPr>
      </w:pPr>
      <w:r w:rsidRPr="00FA7F94">
        <w:rPr>
          <w:color w:val="000000" w:themeColor="text1"/>
        </w:rPr>
        <w:t>Barrio Minton, C. A., &amp; Myers, J. E. (2008). Cognitive style and theoretical orientation: Factors</w:t>
      </w:r>
      <w:r w:rsidR="002C17DA">
        <w:rPr>
          <w:color w:val="000000" w:themeColor="text1"/>
        </w:rPr>
        <w:t xml:space="preserve"> </w:t>
      </w: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w:t>
      </w:r>
      <w:r w:rsidR="002C17DA">
        <w:rPr>
          <w:color w:val="000000" w:themeColor="text1"/>
        </w:rPr>
        <w:t xml:space="preserve"> </w:t>
      </w:r>
      <w:r w:rsidRPr="00FA7F94">
        <w:rPr>
          <w:color w:val="000000" w:themeColor="text1"/>
        </w:rPr>
        <w:t>344.</w:t>
      </w:r>
    </w:p>
    <w:p w14:paraId="7FA6ABCB" w14:textId="13D951BE" w:rsidR="003D7FE0" w:rsidRPr="00FA7F94" w:rsidRDefault="003D7FE0" w:rsidP="002C17DA">
      <w:pPr>
        <w:autoSpaceDE w:val="0"/>
        <w:autoSpaceDN w:val="0"/>
        <w:adjustRightInd w:val="0"/>
        <w:spacing w:after="80"/>
        <w:ind w:left="720" w:hanging="720"/>
        <w:outlineLvl w:val="0"/>
        <w:rPr>
          <w:color w:val="000000" w:themeColor="text1"/>
        </w:rPr>
      </w:pPr>
      <w:r w:rsidRPr="00FA7F94">
        <w:rPr>
          <w:color w:val="000000" w:themeColor="text1"/>
        </w:rPr>
        <w:t xml:space="preserve">George, H. P. (2018). Introduction to the special issue of behavioral disorders: Positive behavior </w:t>
      </w:r>
      <w:r w:rsidR="002C17DA">
        <w:rPr>
          <w:color w:val="000000" w:themeColor="text1"/>
        </w:rPr>
        <w:t xml:space="preserve"> </w:t>
      </w: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w:t>
      </w:r>
      <w:r w:rsidR="002C17DA">
        <w:rPr>
          <w:color w:val="000000" w:themeColor="text1"/>
        </w:rPr>
        <w:t xml:space="preserve"> </w:t>
      </w:r>
      <w:r w:rsidRPr="00FA7F94">
        <w:rPr>
          <w:color w:val="000000" w:themeColor="text1"/>
        </w:rPr>
        <w:t>doi:10.1177/0198742918763951</w:t>
      </w:r>
    </w:p>
    <w:p w14:paraId="59D62475" w14:textId="16341CF4" w:rsidR="00173078" w:rsidRPr="002C17DA" w:rsidRDefault="00173078" w:rsidP="002C17DA">
      <w:pPr>
        <w:autoSpaceDE w:val="0"/>
        <w:autoSpaceDN w:val="0"/>
        <w:adjustRightInd w:val="0"/>
        <w:spacing w:after="80"/>
        <w:ind w:left="720" w:hanging="72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Journal</w:t>
      </w:r>
      <w:r w:rsidR="002C17DA">
        <w:rPr>
          <w:i/>
          <w:color w:val="000000" w:themeColor="text1"/>
        </w:rPr>
        <w:t xml:space="preserve"> </w:t>
      </w:r>
      <w:r w:rsidRPr="00FA7F94">
        <w:rPr>
          <w:i/>
          <w:color w:val="000000" w:themeColor="text1"/>
        </w:rPr>
        <w:t>of Counseling &amp; Development, 88</w:t>
      </w:r>
      <w:r w:rsidRPr="00FA7F94">
        <w:rPr>
          <w:color w:val="000000" w:themeColor="text1"/>
        </w:rPr>
        <w:t>(3), 363-371.</w:t>
      </w:r>
    </w:p>
    <w:p w14:paraId="6A64691D" w14:textId="276FC3CD" w:rsidR="00744AB0" w:rsidRPr="00FA7F94" w:rsidRDefault="00744AB0" w:rsidP="002C17DA">
      <w:pPr>
        <w:autoSpaceDE w:val="0"/>
        <w:autoSpaceDN w:val="0"/>
        <w:adjustRightInd w:val="0"/>
        <w:spacing w:after="80"/>
        <w:ind w:left="720" w:hanging="720"/>
        <w:outlineLvl w:val="0"/>
        <w:rPr>
          <w:color w:val="000000" w:themeColor="text1"/>
        </w:rPr>
      </w:pPr>
      <w:r w:rsidRPr="00FA7F94">
        <w:rPr>
          <w:color w:val="000000" w:themeColor="text1"/>
        </w:rPr>
        <w:t>Harris, S. E., &amp; Robinson Kurpius, S. E. (2014). Social networking and professional ethics:</w:t>
      </w:r>
      <w:r w:rsidR="002C17DA">
        <w:rPr>
          <w:color w:val="000000" w:themeColor="text1"/>
        </w:rPr>
        <w:t xml:space="preserve"> </w:t>
      </w:r>
      <w:r w:rsidRPr="00FA7F94">
        <w:rPr>
          <w:color w:val="000000" w:themeColor="text1"/>
        </w:rPr>
        <w:t xml:space="preserve">Client searches, informed consent, and disclosure. </w:t>
      </w:r>
      <w:r w:rsidRPr="00FA7F94">
        <w:rPr>
          <w:i/>
          <w:color w:val="000000" w:themeColor="text1"/>
        </w:rPr>
        <w:t>Professional Psychology: Research and Practice, 45</w:t>
      </w:r>
      <w:r w:rsidRPr="00FA7F94">
        <w:rPr>
          <w:color w:val="000000" w:themeColor="text1"/>
        </w:rPr>
        <w:t>(1), 11-19. doi:10.1037/a0033478</w:t>
      </w:r>
    </w:p>
    <w:p w14:paraId="066238B2" w14:textId="5B4B66A7" w:rsidR="00AD2638" w:rsidRPr="00FA7F94" w:rsidRDefault="00AD2638" w:rsidP="002C17DA">
      <w:pPr>
        <w:autoSpaceDE w:val="0"/>
        <w:autoSpaceDN w:val="0"/>
        <w:adjustRightInd w:val="0"/>
        <w:spacing w:after="80"/>
        <w:ind w:left="720" w:hanging="720"/>
        <w:outlineLvl w:val="0"/>
        <w:rPr>
          <w:color w:val="000000" w:themeColor="text1"/>
        </w:rPr>
      </w:pPr>
      <w:r w:rsidRPr="00FA7F94">
        <w:rPr>
          <w:color w:val="000000" w:themeColor="text1"/>
        </w:rPr>
        <w:t>Healey, A. C., &amp; Hays, D. G. (2012). A discriminant analysis of gender and counselor</w:t>
      </w:r>
      <w:r w:rsidR="005439A7">
        <w:rPr>
          <w:color w:val="000000" w:themeColor="text1"/>
        </w:rPr>
        <w:t xml:space="preserve"> </w:t>
      </w:r>
      <w:r w:rsidRPr="00FA7F94">
        <w:rPr>
          <w:color w:val="000000" w:themeColor="text1"/>
        </w:rPr>
        <w:t xml:space="preserve">professional identity development. </w:t>
      </w:r>
      <w:r w:rsidRPr="00FA7F94">
        <w:rPr>
          <w:i/>
          <w:color w:val="000000" w:themeColor="text1"/>
        </w:rPr>
        <w:t>Journal of Counseling &amp; Development, 90</w:t>
      </w:r>
      <w:r w:rsidRPr="00FA7F94">
        <w:rPr>
          <w:color w:val="000000" w:themeColor="text1"/>
        </w:rPr>
        <w:t>(1), 55-62.</w:t>
      </w:r>
    </w:p>
    <w:p w14:paraId="12A0F1AF" w14:textId="56A5F7B7" w:rsidR="00E84734" w:rsidRPr="00FA7F94" w:rsidRDefault="00AC4C32" w:rsidP="002C17DA">
      <w:pPr>
        <w:autoSpaceDE w:val="0"/>
        <w:autoSpaceDN w:val="0"/>
        <w:adjustRightInd w:val="0"/>
        <w:spacing w:after="80"/>
        <w:ind w:left="720" w:hanging="720"/>
        <w:outlineLvl w:val="0"/>
        <w:rPr>
          <w:color w:val="000000" w:themeColor="text1"/>
        </w:rPr>
      </w:pPr>
      <w:r w:rsidRPr="00FA7F94">
        <w:rPr>
          <w:color w:val="000000" w:themeColor="text1"/>
        </w:rPr>
        <w:t xml:space="preserve">Jungers, C. M., &amp; Gregoire, J. (2016). Authenticity in ethical decision making: Reflections for professional counselors. </w:t>
      </w:r>
      <w:r w:rsidRPr="00FA7F94">
        <w:rPr>
          <w:i/>
          <w:color w:val="000000" w:themeColor="text1"/>
        </w:rPr>
        <w:t>Journal of Humanistic Counseling, 55</w:t>
      </w:r>
      <w:r w:rsidRPr="00FA7F94">
        <w:rPr>
          <w:color w:val="000000" w:themeColor="text1"/>
        </w:rPr>
        <w:t>(2), 99-110.</w:t>
      </w:r>
      <w:r w:rsidR="002C17DA">
        <w:rPr>
          <w:color w:val="000000" w:themeColor="text1"/>
        </w:rPr>
        <w:t xml:space="preserve"> </w:t>
      </w:r>
      <w:r w:rsidRPr="00FA7F94">
        <w:rPr>
          <w:color w:val="000000" w:themeColor="text1"/>
        </w:rPr>
        <w:t>doi:10.1002/johc.12027</w:t>
      </w:r>
    </w:p>
    <w:p w14:paraId="0DBFBF7F" w14:textId="2314E053" w:rsidR="009B73E7" w:rsidRPr="00FA7F94" w:rsidRDefault="009B73E7" w:rsidP="002C17DA">
      <w:pPr>
        <w:autoSpaceDE w:val="0"/>
        <w:autoSpaceDN w:val="0"/>
        <w:adjustRightInd w:val="0"/>
        <w:spacing w:after="80"/>
        <w:ind w:left="720" w:hanging="720"/>
        <w:rPr>
          <w:color w:val="000000" w:themeColor="text1"/>
        </w:rPr>
      </w:pPr>
      <w:r w:rsidRPr="00FA7F94">
        <w:rPr>
          <w:color w:val="000000" w:themeColor="text1"/>
        </w:rPr>
        <w:t xml:space="preserve">Kazdin, A. E. (2008). Evidence-based treatment and practice: New opportunities to bridge clinical research and practice, enhance the knowledge base, and improve patient care. </w:t>
      </w:r>
      <w:r w:rsidRPr="00FA7F94">
        <w:rPr>
          <w:i/>
          <w:color w:val="000000" w:themeColor="text1"/>
        </w:rPr>
        <w:t>American Psychologist, 63</w:t>
      </w:r>
      <w:r w:rsidRPr="00FA7F94">
        <w:rPr>
          <w:color w:val="000000" w:themeColor="text1"/>
        </w:rPr>
        <w:t>(3), 146-159. doi:10.1037/0003-066X.63.3.146</w:t>
      </w:r>
    </w:p>
    <w:p w14:paraId="670D1372" w14:textId="23CD18B6" w:rsidR="0032487E" w:rsidRPr="00FA7F94" w:rsidRDefault="009E1AFA" w:rsidP="002C17DA">
      <w:pPr>
        <w:autoSpaceDE w:val="0"/>
        <w:autoSpaceDN w:val="0"/>
        <w:adjustRightInd w:val="0"/>
        <w:spacing w:after="80"/>
        <w:ind w:left="720" w:hanging="72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J., &amp; Foster, V. A. (2017). Student counselors' moral, intellectual, an</w:t>
      </w:r>
      <w:r w:rsidR="002C17DA">
        <w:rPr>
          <w:color w:val="000000" w:themeColor="text1"/>
        </w:rPr>
        <w:t xml:space="preserve">d </w:t>
      </w:r>
      <w:r w:rsidRPr="00FA7F94">
        <w:rPr>
          <w:color w:val="000000" w:themeColor="text1"/>
        </w:rPr>
        <w:t xml:space="preserve">professional ethical identity development. </w:t>
      </w:r>
      <w:r w:rsidRPr="00FA7F94">
        <w:rPr>
          <w:i/>
          <w:color w:val="000000" w:themeColor="text1"/>
        </w:rPr>
        <w:t>Counseling &amp; Values, 62</w:t>
      </w:r>
      <w:r w:rsidRPr="00FA7F94">
        <w:rPr>
          <w:color w:val="000000" w:themeColor="text1"/>
        </w:rPr>
        <w:t>(1), 90-105. doi:10.1002/cvj.12051</w:t>
      </w:r>
    </w:p>
    <w:p w14:paraId="3D3CFCA1" w14:textId="7DA863B8" w:rsidR="00E84734" w:rsidRPr="00FA7F94" w:rsidRDefault="004E2B94" w:rsidP="002C17DA">
      <w:pPr>
        <w:autoSpaceDE w:val="0"/>
        <w:autoSpaceDN w:val="0"/>
        <w:adjustRightInd w:val="0"/>
        <w:spacing w:after="80"/>
        <w:ind w:left="720" w:hanging="720"/>
        <w:rPr>
          <w:color w:val="000000" w:themeColor="text1"/>
        </w:rPr>
      </w:pPr>
      <w:r w:rsidRPr="00FA7F94">
        <w:rPr>
          <w:color w:val="000000" w:themeColor="text1"/>
        </w:rPr>
        <w:t>Moerman, M. (2012). Working with suicidal clients: The person-centered counsellor's</w:t>
      </w:r>
      <w:r w:rsidR="002C17DA">
        <w:rPr>
          <w:color w:val="000000" w:themeColor="text1"/>
        </w:rPr>
        <w:t xml:space="preserve"> </w:t>
      </w:r>
      <w:r w:rsidRPr="00FA7F94">
        <w:rPr>
          <w:color w:val="000000" w:themeColor="text1"/>
        </w:rPr>
        <w:t xml:space="preserve">experience 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6DFCD38D" w14:textId="13845B72" w:rsidR="00330CAC" w:rsidRPr="00FA7F94" w:rsidRDefault="00330CAC" w:rsidP="002C17DA">
      <w:pPr>
        <w:autoSpaceDE w:val="0"/>
        <w:autoSpaceDN w:val="0"/>
        <w:adjustRightInd w:val="0"/>
        <w:spacing w:after="80"/>
        <w:ind w:left="720" w:hanging="720"/>
        <w:outlineLvl w:val="0"/>
        <w:rPr>
          <w:color w:val="000000" w:themeColor="text1"/>
        </w:rPr>
      </w:pPr>
      <w:r w:rsidRPr="00FA7F94">
        <w:rPr>
          <w:color w:val="000000" w:themeColor="text1"/>
        </w:rPr>
        <w:t xml:space="preserve">Moss, J. M., Gibson, D. M., &amp; Dollarhide, C. T. (2014). Professional identity development: A grounded theory of transformational tasks of counselors. </w:t>
      </w:r>
      <w:r w:rsidRPr="00FA7F94">
        <w:rPr>
          <w:i/>
          <w:color w:val="000000" w:themeColor="text1"/>
        </w:rPr>
        <w:t>Journal of Counseling &amp;</w:t>
      </w:r>
      <w:r w:rsidR="002C17DA">
        <w:rPr>
          <w:i/>
          <w:color w:val="000000" w:themeColor="text1"/>
        </w:rPr>
        <w:t xml:space="preserve"> </w:t>
      </w:r>
      <w:r w:rsidRPr="00FA7F94">
        <w:rPr>
          <w:i/>
          <w:color w:val="000000" w:themeColor="text1"/>
        </w:rPr>
        <w:t>Development, 92</w:t>
      </w:r>
      <w:r w:rsidRPr="00FA7F94">
        <w:rPr>
          <w:color w:val="000000" w:themeColor="text1"/>
        </w:rPr>
        <w:t>(1), 3-12. doi:10.1002/j.1556-6676.2014.00124.x</w:t>
      </w:r>
    </w:p>
    <w:p w14:paraId="47C14FC7" w14:textId="31B252DC" w:rsidR="00A46431" w:rsidRPr="00FA7F94" w:rsidRDefault="00A46431" w:rsidP="002C17DA">
      <w:pPr>
        <w:autoSpaceDE w:val="0"/>
        <w:autoSpaceDN w:val="0"/>
        <w:adjustRightInd w:val="0"/>
        <w:spacing w:after="80"/>
        <w:ind w:left="720" w:hanging="720"/>
        <w:outlineLvl w:val="0"/>
        <w:rPr>
          <w:color w:val="000000" w:themeColor="text1"/>
        </w:rPr>
      </w:pPr>
      <w:r w:rsidRPr="00FA7F94">
        <w:rPr>
          <w:color w:val="000000" w:themeColor="text1"/>
        </w:rPr>
        <w:t xml:space="preserve">Piazza-Bonin, E., Neimeyer, R. A., Alves, D., &amp; Smigelsky, M. (2016). Innovative moments in Humanistic therapy II: Analysis of change processes across the course of three cases of </w:t>
      </w:r>
      <w:r w:rsidRPr="00FA7F94">
        <w:rPr>
          <w:color w:val="000000" w:themeColor="text1"/>
        </w:rPr>
        <w:lastRenderedPageBreak/>
        <w:t xml:space="preserve">grief therapy. </w:t>
      </w:r>
      <w:r w:rsidRPr="00FA7F94">
        <w:rPr>
          <w:i/>
          <w:color w:val="000000" w:themeColor="text1"/>
        </w:rPr>
        <w:t>Journal of Constructivist Psychology, 29</w:t>
      </w:r>
      <w:r w:rsidRPr="00FA7F94">
        <w:rPr>
          <w:color w:val="000000" w:themeColor="text1"/>
        </w:rPr>
        <w:t>(3), 298-317. doi:10.1080/10720537.2015.1118713</w:t>
      </w:r>
    </w:p>
    <w:p w14:paraId="7B33461C" w14:textId="21218FA0" w:rsidR="00162660" w:rsidRPr="00FA7F94" w:rsidRDefault="00162660" w:rsidP="002C17DA">
      <w:pPr>
        <w:autoSpaceDE w:val="0"/>
        <w:autoSpaceDN w:val="0"/>
        <w:adjustRightInd w:val="0"/>
        <w:spacing w:after="80"/>
        <w:ind w:left="720" w:hanging="720"/>
        <w:outlineLvl w:val="0"/>
        <w:rPr>
          <w:color w:val="000000" w:themeColor="text1"/>
        </w:rPr>
      </w:pPr>
      <w:r w:rsidRPr="00FA7F94">
        <w:rPr>
          <w:color w:val="000000" w:themeColor="text1"/>
        </w:rPr>
        <w:t xml:space="preserve">Shedler, J. (2010). The efficacy of psychodynamic psychotherapy. </w:t>
      </w:r>
      <w:r w:rsidRPr="00FA7F94">
        <w:rPr>
          <w:i/>
          <w:color w:val="000000" w:themeColor="text1"/>
        </w:rPr>
        <w:t>American Psychologist, 65</w:t>
      </w:r>
      <w:r w:rsidRPr="00FA7F94">
        <w:rPr>
          <w:color w:val="000000" w:themeColor="text1"/>
        </w:rPr>
        <w:t>(2), 98-109. doi:10.1037/a0018378</w:t>
      </w:r>
    </w:p>
    <w:p w14:paraId="0447C435" w14:textId="0D57B3DD" w:rsidR="00743A3D" w:rsidRPr="00FA7F94" w:rsidRDefault="00743A3D" w:rsidP="002C17DA">
      <w:pPr>
        <w:autoSpaceDE w:val="0"/>
        <w:autoSpaceDN w:val="0"/>
        <w:adjustRightInd w:val="0"/>
        <w:spacing w:after="80"/>
        <w:ind w:left="720" w:hanging="720"/>
        <w:outlineLvl w:val="0"/>
        <w:rPr>
          <w:color w:val="000000" w:themeColor="text1"/>
        </w:rPr>
      </w:pPr>
      <w:r w:rsidRPr="00FA7F94">
        <w:rPr>
          <w:color w:val="000000" w:themeColor="text1"/>
        </w:rPr>
        <w:t xml:space="preserve">Thompson, L., Wegman, M., Muller, K., Eddleton, K., Muszynski, M., Rathore, M., &amp; ... Shenkman, E. (2016). Improving adolescent health risk assessment: A multi-method pilot study. </w:t>
      </w:r>
      <w:r w:rsidRPr="00FA7F94">
        <w:rPr>
          <w:i/>
          <w:color w:val="000000" w:themeColor="text1"/>
        </w:rPr>
        <w:t>Maternal &amp; Child Health Journal, 20</w:t>
      </w:r>
      <w:r w:rsidRPr="00FA7F94">
        <w:rPr>
          <w:color w:val="000000" w:themeColor="text1"/>
        </w:rPr>
        <w:t>(12), 2483-2493. doi:10.1007/s10995-016-2070-5</w:t>
      </w:r>
      <w:r w:rsidR="002C17DA">
        <w:rPr>
          <w:color w:val="000000" w:themeColor="text1"/>
        </w:rPr>
        <w:t xml:space="preserve">. </w:t>
      </w:r>
    </w:p>
    <w:p w14:paraId="5E1E5A90" w14:textId="6989AA22" w:rsidR="008955EC" w:rsidRPr="00FA7F94" w:rsidRDefault="00E84734" w:rsidP="002C17DA">
      <w:pPr>
        <w:autoSpaceDE w:val="0"/>
        <w:autoSpaceDN w:val="0"/>
        <w:adjustRightInd w:val="0"/>
        <w:spacing w:after="80"/>
        <w:ind w:left="720" w:hanging="72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r w:rsidR="00CB55EC" w:rsidRPr="00FA7F94">
        <w:rPr>
          <w:color w:val="000000" w:themeColor="text1"/>
        </w:rPr>
        <w:t>ethical counseling of African American c</w:t>
      </w:r>
      <w:r w:rsidRPr="00FA7F94">
        <w:rPr>
          <w:color w:val="000000" w:themeColor="text1"/>
        </w:rPr>
        <w:t xml:space="preserve">lients. </w:t>
      </w:r>
      <w:r w:rsidRPr="00FA7F94">
        <w:rPr>
          <w:i/>
          <w:color w:val="000000" w:themeColor="text1"/>
        </w:rPr>
        <w:t>Counseling &amp; Values, 59</w:t>
      </w:r>
      <w:r w:rsidRPr="00FA7F94">
        <w:rPr>
          <w:color w:val="000000" w:themeColor="text1"/>
        </w:rPr>
        <w:t>(1), 112-124. doi:10.1002/j.2161-007X.2014.00045.x</w:t>
      </w:r>
    </w:p>
    <w:p w14:paraId="6E85421C" w14:textId="434EFF1B" w:rsidR="00E84734" w:rsidRPr="00FA7F94" w:rsidRDefault="008955EC" w:rsidP="002C17DA">
      <w:pPr>
        <w:autoSpaceDE w:val="0"/>
        <w:autoSpaceDN w:val="0"/>
        <w:adjustRightInd w:val="0"/>
        <w:spacing w:after="80"/>
        <w:ind w:left="720" w:hanging="720"/>
        <w:outlineLvl w:val="0"/>
        <w:rPr>
          <w:color w:val="000000" w:themeColor="text1"/>
        </w:rPr>
      </w:pPr>
      <w:r w:rsidRPr="00FA7F94">
        <w:rPr>
          <w:color w:val="000000" w:themeColor="text1"/>
        </w:rPr>
        <w:t xml:space="preserve">Westers, N. J., &amp; Culyba, A. </w:t>
      </w:r>
      <w:r w:rsidR="00F63E78" w:rsidRPr="00FA7F94">
        <w:rPr>
          <w:color w:val="000000" w:themeColor="text1"/>
        </w:rPr>
        <w:t>J. (2018</w:t>
      </w:r>
      <w:r w:rsidRPr="00FA7F94">
        <w:rPr>
          <w:color w:val="000000" w:themeColor="text1"/>
        </w:rPr>
        <w:t>). Nonsuicidal self-injury: A neglected public health</w:t>
      </w:r>
      <w:r w:rsidR="002C17DA">
        <w:rPr>
          <w:color w:val="000000" w:themeColor="text1"/>
        </w:rPr>
        <w:t xml:space="preserve"> </w:t>
      </w:r>
      <w:r w:rsidRPr="00FA7F94">
        <w:rPr>
          <w:color w:val="000000" w:themeColor="text1"/>
        </w:rPr>
        <w:t xml:space="preserve">problem among adolescents. </w:t>
      </w:r>
      <w:r w:rsidRPr="00FA7F94">
        <w:rPr>
          <w:i/>
          <w:color w:val="000000" w:themeColor="text1"/>
        </w:rPr>
        <w:t>American Journal of Public Health</w:t>
      </w:r>
      <w:r w:rsidRPr="00FA7F94">
        <w:rPr>
          <w:color w:val="000000" w:themeColor="text1"/>
        </w:rPr>
        <w:t>. pp. 981-983.</w:t>
      </w:r>
      <w:r w:rsidR="002C17DA">
        <w:rPr>
          <w:color w:val="000000" w:themeColor="text1"/>
        </w:rPr>
        <w:t xml:space="preserve"> </w:t>
      </w:r>
      <w:r w:rsidRPr="00FA7F94">
        <w:rPr>
          <w:color w:val="000000" w:themeColor="text1"/>
        </w:rPr>
        <w:t>doi:10.2105/AJPH.2018.304550.</w:t>
      </w:r>
    </w:p>
    <w:p w14:paraId="3BD5F6FE" w14:textId="42DC2682" w:rsidR="0007038F" w:rsidRPr="00FA7F94" w:rsidRDefault="0007038F" w:rsidP="002C17DA">
      <w:pPr>
        <w:autoSpaceDE w:val="0"/>
        <w:autoSpaceDN w:val="0"/>
        <w:adjustRightInd w:val="0"/>
        <w:spacing w:after="80"/>
        <w:ind w:left="720" w:hanging="720"/>
        <w:outlineLvl w:val="0"/>
        <w:rPr>
          <w:color w:val="000000" w:themeColor="text1"/>
        </w:rPr>
      </w:pPr>
      <w:r w:rsidRPr="00FA7F94">
        <w:rPr>
          <w:color w:val="000000" w:themeColor="text1"/>
        </w:rPr>
        <w:t>Wolfe, B. E. (2016). Existential-humanistic therapy and psychotherapy integration: A</w:t>
      </w:r>
      <w:r w:rsidR="002C17DA">
        <w:rPr>
          <w:color w:val="000000" w:themeColor="text1"/>
        </w:rPr>
        <w:t xml:space="preserve"> </w:t>
      </w:r>
      <w:r w:rsidRPr="00FA7F94">
        <w:rPr>
          <w:color w:val="000000" w:themeColor="text1"/>
        </w:rPr>
        <w:t xml:space="preserve">commentary. </w:t>
      </w:r>
      <w:r w:rsidRPr="00FA7F94">
        <w:rPr>
          <w:i/>
          <w:color w:val="000000" w:themeColor="text1"/>
        </w:rPr>
        <w:t>Journal of Psychotherapy Integration, 26</w:t>
      </w:r>
      <w:r w:rsidRPr="00FA7F94">
        <w:rPr>
          <w:color w:val="000000" w:themeColor="text1"/>
        </w:rPr>
        <w:t>(1), 56-60.</w:t>
      </w:r>
      <w:r w:rsidR="002C17DA">
        <w:rPr>
          <w:color w:val="000000" w:themeColor="text1"/>
        </w:rPr>
        <w:t xml:space="preserve"> </w:t>
      </w:r>
      <w:r w:rsidRPr="00FA7F94">
        <w:rPr>
          <w:color w:val="000000" w:themeColor="text1"/>
        </w:rPr>
        <w:t>doi:10.1037/int0000023</w:t>
      </w:r>
    </w:p>
    <w:p w14:paraId="656DEFD6" w14:textId="78C66C7A" w:rsidR="002B6FF8" w:rsidRPr="00FA7F94" w:rsidRDefault="002B6FF8" w:rsidP="002C17DA">
      <w:pPr>
        <w:autoSpaceDE w:val="0"/>
        <w:autoSpaceDN w:val="0"/>
        <w:adjustRightInd w:val="0"/>
        <w:spacing w:after="80"/>
        <w:ind w:left="720" w:hanging="720"/>
        <w:outlineLvl w:val="0"/>
        <w:rPr>
          <w:color w:val="000000" w:themeColor="text1"/>
        </w:rPr>
      </w:pPr>
      <w:r w:rsidRPr="00FA7F94">
        <w:rPr>
          <w:color w:val="000000" w:themeColor="text1"/>
        </w:rPr>
        <w:t>Zhang, M., Shubina, M., Morrison, F., &amp; Turchin, A. (2013). Following the money: Copy-paste</w:t>
      </w:r>
      <w:r w:rsidR="002C17DA">
        <w:rPr>
          <w:color w:val="000000" w:themeColor="text1"/>
        </w:rPr>
        <w:t xml:space="preserve"> </w:t>
      </w:r>
      <w:r w:rsidRPr="00FA7F94">
        <w:rPr>
          <w:color w:val="000000" w:themeColor="text1"/>
        </w:rPr>
        <w:t xml:space="preserve">of lifestyle counseling documentation and provider billing. </w:t>
      </w:r>
      <w:r w:rsidRPr="00FA7F94">
        <w:rPr>
          <w:i/>
          <w:color w:val="000000" w:themeColor="text1"/>
        </w:rPr>
        <w:t>BMC Health Services</w:t>
      </w:r>
      <w:r w:rsidR="002C17DA">
        <w:rPr>
          <w:i/>
          <w:color w:val="000000" w:themeColor="text1"/>
        </w:rPr>
        <w:t xml:space="preserve"> </w:t>
      </w:r>
      <w:r w:rsidRPr="00FA7F94">
        <w:rPr>
          <w:i/>
          <w:color w:val="000000" w:themeColor="text1"/>
        </w:rPr>
        <w:t>Research, 13</w:t>
      </w:r>
      <w:r w:rsidRPr="00FA7F94">
        <w:rPr>
          <w:color w:val="000000" w:themeColor="text1"/>
        </w:rPr>
        <w:t>(1), 1-8. doi:10.1186/1472-6963-13-377</w:t>
      </w:r>
    </w:p>
    <w:p w14:paraId="5C23D34C" w14:textId="77777777" w:rsidR="002B6FF8" w:rsidRPr="00FA7F94" w:rsidRDefault="002B6FF8" w:rsidP="002C17DA">
      <w:pPr>
        <w:autoSpaceDE w:val="0"/>
        <w:autoSpaceDN w:val="0"/>
        <w:adjustRightInd w:val="0"/>
        <w:ind w:left="720" w:hanging="720"/>
        <w:rPr>
          <w:color w:val="000000" w:themeColor="text1"/>
        </w:rPr>
      </w:pPr>
    </w:p>
    <w:p w14:paraId="05A85F65" w14:textId="77777777" w:rsidR="002B6FF8" w:rsidRPr="00FA7F94" w:rsidRDefault="002B6FF8" w:rsidP="002C17DA">
      <w:pPr>
        <w:autoSpaceDE w:val="0"/>
        <w:autoSpaceDN w:val="0"/>
        <w:adjustRightInd w:val="0"/>
        <w:ind w:left="720" w:hanging="720"/>
        <w:rPr>
          <w:color w:val="000000" w:themeColor="text1"/>
        </w:rPr>
      </w:pPr>
    </w:p>
    <w:p w14:paraId="3BAD457B" w14:textId="014F58DA" w:rsidR="002B6FF8" w:rsidRPr="00FA7F94" w:rsidRDefault="002B6FF8" w:rsidP="002C17DA">
      <w:pPr>
        <w:autoSpaceDE w:val="0"/>
        <w:autoSpaceDN w:val="0"/>
        <w:adjustRightInd w:val="0"/>
        <w:ind w:left="720"/>
        <w:rPr>
          <w:color w:val="000000" w:themeColor="text1"/>
        </w:rPr>
      </w:pPr>
    </w:p>
    <w:p w14:paraId="5C105C84" w14:textId="77777777" w:rsidR="002B6FF8" w:rsidRPr="00FA7F94" w:rsidRDefault="002B6FF8" w:rsidP="002C17DA">
      <w:pPr>
        <w:autoSpaceDE w:val="0"/>
        <w:autoSpaceDN w:val="0"/>
        <w:adjustRightInd w:val="0"/>
        <w:ind w:left="720"/>
        <w:rPr>
          <w:color w:val="000000" w:themeColor="text1"/>
        </w:rPr>
      </w:pPr>
    </w:p>
    <w:p w14:paraId="63C7F66A" w14:textId="77777777" w:rsidR="00345490" w:rsidRPr="00FA7F94" w:rsidRDefault="00345490" w:rsidP="002C17DA">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34176" w14:textId="77777777" w:rsidR="000E5395" w:rsidRDefault="000E5395" w:rsidP="00B803F1">
      <w:r>
        <w:separator/>
      </w:r>
    </w:p>
  </w:endnote>
  <w:endnote w:type="continuationSeparator" w:id="0">
    <w:p w14:paraId="4811F47A" w14:textId="77777777" w:rsidR="000E5395" w:rsidRDefault="000E5395" w:rsidP="00B8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EDB4A" w14:textId="77777777" w:rsidR="000E5395" w:rsidRDefault="000E5395" w:rsidP="00B803F1">
      <w:r>
        <w:separator/>
      </w:r>
    </w:p>
  </w:footnote>
  <w:footnote w:type="continuationSeparator" w:id="0">
    <w:p w14:paraId="61016FBF" w14:textId="77777777" w:rsidR="000E5395" w:rsidRDefault="000E5395" w:rsidP="00B8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8126875"/>
      <w:docPartObj>
        <w:docPartGallery w:val="Page Numbers (Top of Page)"/>
        <w:docPartUnique/>
      </w:docPartObj>
    </w:sdtPr>
    <w:sdtContent>
      <w:p w14:paraId="70D6066E" w14:textId="6A59370A" w:rsidR="00B803F1" w:rsidRDefault="00B803F1" w:rsidP="005850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F3A46" w14:textId="77777777" w:rsidR="00B803F1" w:rsidRDefault="00B803F1" w:rsidP="00B803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5809825"/>
      <w:docPartObj>
        <w:docPartGallery w:val="Page Numbers (Top of Page)"/>
        <w:docPartUnique/>
      </w:docPartObj>
    </w:sdtPr>
    <w:sdtContent>
      <w:p w14:paraId="7E5F41BA" w14:textId="3EB0C671" w:rsidR="00B803F1" w:rsidRDefault="00B803F1" w:rsidP="005850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0FEDFCFC" w14:textId="77777777" w:rsidR="00B803F1" w:rsidRDefault="00B803F1" w:rsidP="00B803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1"/>
  </w:num>
  <w:num w:numId="6">
    <w:abstractNumId w:val="10"/>
  </w:num>
  <w:num w:numId="7">
    <w:abstractNumId w:val="1"/>
  </w:num>
  <w:num w:numId="8">
    <w:abstractNumId w:val="2"/>
  </w:num>
  <w:num w:numId="9">
    <w:abstractNumId w:val="6"/>
  </w:num>
  <w:num w:numId="10">
    <w:abstractNumId w:val="7"/>
    <w:lvlOverride w:ilvl="0">
      <w:lvl w:ilvl="0">
        <w:numFmt w:val="upperRoman"/>
        <w:lvlText w:val="%1."/>
        <w:lvlJc w:val="right"/>
      </w:lvl>
    </w:lvlOverride>
  </w:num>
  <w:num w:numId="11">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7038F"/>
    <w:rsid w:val="00077675"/>
    <w:rsid w:val="00081E0E"/>
    <w:rsid w:val="000B2994"/>
    <w:rsid w:val="000B3468"/>
    <w:rsid w:val="000D68F7"/>
    <w:rsid w:val="000E5395"/>
    <w:rsid w:val="000E79B6"/>
    <w:rsid w:val="000F676D"/>
    <w:rsid w:val="00100207"/>
    <w:rsid w:val="00115CFB"/>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17DA"/>
    <w:rsid w:val="002C2DC3"/>
    <w:rsid w:val="002C4FC7"/>
    <w:rsid w:val="002C7973"/>
    <w:rsid w:val="002D36EA"/>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5A90"/>
    <w:rsid w:val="00416596"/>
    <w:rsid w:val="00424BD0"/>
    <w:rsid w:val="00473248"/>
    <w:rsid w:val="0048024A"/>
    <w:rsid w:val="004851CD"/>
    <w:rsid w:val="00485A55"/>
    <w:rsid w:val="00485AA1"/>
    <w:rsid w:val="004E2B94"/>
    <w:rsid w:val="004E64D1"/>
    <w:rsid w:val="004F2CAF"/>
    <w:rsid w:val="00501887"/>
    <w:rsid w:val="005269D6"/>
    <w:rsid w:val="00535938"/>
    <w:rsid w:val="005439A7"/>
    <w:rsid w:val="00552BD7"/>
    <w:rsid w:val="00583DD2"/>
    <w:rsid w:val="005B61F3"/>
    <w:rsid w:val="005D5968"/>
    <w:rsid w:val="00624121"/>
    <w:rsid w:val="00634EBC"/>
    <w:rsid w:val="00695077"/>
    <w:rsid w:val="00696703"/>
    <w:rsid w:val="006D061D"/>
    <w:rsid w:val="006F42F7"/>
    <w:rsid w:val="00731BD8"/>
    <w:rsid w:val="00731FA7"/>
    <w:rsid w:val="0074207C"/>
    <w:rsid w:val="00743A3D"/>
    <w:rsid w:val="0074446C"/>
    <w:rsid w:val="00744AB0"/>
    <w:rsid w:val="007539DA"/>
    <w:rsid w:val="0075552C"/>
    <w:rsid w:val="0076432C"/>
    <w:rsid w:val="00773049"/>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359B3"/>
    <w:rsid w:val="00A46431"/>
    <w:rsid w:val="00A647F3"/>
    <w:rsid w:val="00A6776B"/>
    <w:rsid w:val="00A92F99"/>
    <w:rsid w:val="00AB406F"/>
    <w:rsid w:val="00AB7B2C"/>
    <w:rsid w:val="00AC4C32"/>
    <w:rsid w:val="00AD2638"/>
    <w:rsid w:val="00AE6765"/>
    <w:rsid w:val="00AF7580"/>
    <w:rsid w:val="00B0116F"/>
    <w:rsid w:val="00B2183D"/>
    <w:rsid w:val="00B30A5E"/>
    <w:rsid w:val="00B72F6C"/>
    <w:rsid w:val="00B803F1"/>
    <w:rsid w:val="00BB31A8"/>
    <w:rsid w:val="00BB33A0"/>
    <w:rsid w:val="00BE4F0D"/>
    <w:rsid w:val="00C01CEB"/>
    <w:rsid w:val="00C63446"/>
    <w:rsid w:val="00C66353"/>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658B2"/>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63E78"/>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 w:type="paragraph" w:styleId="BodyText">
    <w:name w:val="Body Text"/>
    <w:basedOn w:val="Normal"/>
    <w:link w:val="BodyTextChar"/>
    <w:uiPriority w:val="1"/>
    <w:qFormat/>
    <w:rsid w:val="002C17DA"/>
    <w:pPr>
      <w:widowControl w:val="0"/>
      <w:ind w:left="1182" w:hanging="360"/>
    </w:pPr>
    <w:rPr>
      <w:rFonts w:cstheme="minorBidi"/>
      <w:sz w:val="21"/>
      <w:szCs w:val="21"/>
    </w:rPr>
  </w:style>
  <w:style w:type="character" w:customStyle="1" w:styleId="BodyTextChar">
    <w:name w:val="Body Text Char"/>
    <w:basedOn w:val="DefaultParagraphFont"/>
    <w:link w:val="BodyText"/>
    <w:uiPriority w:val="1"/>
    <w:rsid w:val="002C17DA"/>
    <w:rPr>
      <w:rFonts w:ascii="Times New Roman" w:eastAsia="Times New Roman" w:hAnsi="Times New Roman"/>
      <w:sz w:val="21"/>
      <w:szCs w:val="21"/>
    </w:rPr>
  </w:style>
  <w:style w:type="paragraph" w:styleId="Header">
    <w:name w:val="header"/>
    <w:basedOn w:val="Normal"/>
    <w:link w:val="HeaderChar"/>
    <w:uiPriority w:val="99"/>
    <w:unhideWhenUsed/>
    <w:rsid w:val="00B803F1"/>
    <w:pPr>
      <w:tabs>
        <w:tab w:val="center" w:pos="4680"/>
        <w:tab w:val="right" w:pos="9360"/>
      </w:tabs>
    </w:pPr>
  </w:style>
  <w:style w:type="character" w:customStyle="1" w:styleId="HeaderChar">
    <w:name w:val="Header Char"/>
    <w:basedOn w:val="DefaultParagraphFont"/>
    <w:link w:val="Header"/>
    <w:uiPriority w:val="99"/>
    <w:rsid w:val="00B803F1"/>
    <w:rPr>
      <w:rFonts w:ascii="Times New Roman" w:eastAsia="Times New Roman" w:hAnsi="Times New Roman" w:cs="Times New Roman"/>
    </w:rPr>
  </w:style>
  <w:style w:type="paragraph" w:styleId="Footer">
    <w:name w:val="footer"/>
    <w:basedOn w:val="Normal"/>
    <w:link w:val="FooterChar"/>
    <w:uiPriority w:val="99"/>
    <w:unhideWhenUsed/>
    <w:rsid w:val="00B803F1"/>
    <w:pPr>
      <w:tabs>
        <w:tab w:val="center" w:pos="4680"/>
        <w:tab w:val="right" w:pos="9360"/>
      </w:tabs>
    </w:pPr>
  </w:style>
  <w:style w:type="character" w:customStyle="1" w:styleId="FooterChar">
    <w:name w:val="Footer Char"/>
    <w:basedOn w:val="DefaultParagraphFont"/>
    <w:link w:val="Footer"/>
    <w:uiPriority w:val="99"/>
    <w:rsid w:val="00B803F1"/>
    <w:rPr>
      <w:rFonts w:ascii="Times New Roman" w:eastAsia="Times New Roman" w:hAnsi="Times New Roman" w:cs="Times New Roman"/>
    </w:rPr>
  </w:style>
  <w:style w:type="character" w:styleId="PageNumber">
    <w:name w:val="page number"/>
    <w:basedOn w:val="DefaultParagraphFont"/>
    <w:uiPriority w:val="99"/>
    <w:semiHidden/>
    <w:unhideWhenUsed/>
    <w:rsid w:val="00B8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4902266387" TargetMode="External"/><Relationship Id="rId13" Type="http://schemas.openxmlformats.org/officeDocument/2006/relationships/hyperlink" Target="http://www.auburn.edu/academic/disabiliti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net0013@auburn.edu" TargetMode="External"/><Relationship Id="rId12"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dhr.remote-learner.net/course/index.php" TargetMode="External"/><Relationship Id="rId5"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10" Type="http://schemas.openxmlformats.org/officeDocument/2006/relationships/hyperlink" Target="http://nbc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pso.com)" TargetMode="External"/><Relationship Id="rId14" Type="http://schemas.openxmlformats.org/officeDocument/2006/relationships/hyperlink" Target="http://www.counseling.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NET</cp:lastModifiedBy>
  <cp:revision>14</cp:revision>
  <dcterms:created xsi:type="dcterms:W3CDTF">2020-08-09T15:44:00Z</dcterms:created>
  <dcterms:modified xsi:type="dcterms:W3CDTF">2020-08-13T16:04:00Z</dcterms:modified>
</cp:coreProperties>
</file>