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4BFE2BDB" w14:textId="70CF331B" w:rsidR="005E0F1D" w:rsidRPr="00594AC8" w:rsidRDefault="00DE0CFC" w:rsidP="00CF0E50">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602AAD3B" w:rsidR="005E0F1D" w:rsidRPr="00594AC8" w:rsidRDefault="00CF0E50"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SLHS</w:t>
      </w:r>
      <w:r w:rsidR="005E0F1D" w:rsidRPr="00594AC8">
        <w:rPr>
          <w:rFonts w:ascii="Times New Roman" w:hAnsi="Times New Roman" w:cs="Times New Roman"/>
          <w:color w:val="000000" w:themeColor="text1"/>
          <w:sz w:val="24"/>
          <w:szCs w:val="24"/>
        </w:rPr>
        <w:t xml:space="preserve"> Placements:</w:t>
      </w:r>
    </w:p>
    <w:p w14:paraId="62699D44" w14:textId="52164538" w:rsidR="005E0F1D" w:rsidRPr="00594AC8" w:rsidRDefault="002540C1"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0F7E5895"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CF0E50">
        <w:rPr>
          <w:rFonts w:ascii="Times New Roman" w:hAnsi="Times New Roman" w:cs="Times New Roman"/>
          <w:color w:val="000000" w:themeColor="text1"/>
        </w:rPr>
        <w:t>0</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000000"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1BFA81CE"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4F7C14">
        <w:rPr>
          <w:rFonts w:ascii="Times New Roman" w:hAnsi="Times New Roman" w:cs="Times New Roman"/>
          <w:color w:val="000000" w:themeColor="text1"/>
        </w:rPr>
        <w:t>Fall</w:t>
      </w:r>
      <w:r w:rsidR="00E27673">
        <w:rPr>
          <w:rFonts w:ascii="Times New Roman" w:hAnsi="Times New Roman" w:cs="Times New Roman"/>
          <w:color w:val="000000" w:themeColor="text1"/>
        </w:rPr>
        <w:t xml:space="preserve"> 202</w:t>
      </w:r>
      <w:r w:rsidR="00CF0E50">
        <w:rPr>
          <w:rFonts w:ascii="Times New Roman" w:hAnsi="Times New Roman" w:cs="Times New Roman"/>
          <w:color w:val="000000" w:themeColor="text1"/>
        </w:rPr>
        <w:t>3</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72690EB0"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r w:rsidR="004F7C14">
        <w:rPr>
          <w:rFonts w:ascii="Times New Roman" w:hAnsi="Times New Roman" w:cs="Times New Roman"/>
          <w:color w:val="000000" w:themeColor="text1"/>
        </w:rPr>
        <w:t>July</w:t>
      </w:r>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w:t>
      </w:r>
      <w:r w:rsidR="00CF0E50">
        <w:rPr>
          <w:rFonts w:ascii="Times New Roman" w:hAnsi="Times New Roman" w:cs="Times New Roman"/>
          <w:color w:val="000000" w:themeColor="text1"/>
        </w:rPr>
        <w:t>3</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58819A99" w14:textId="77777777" w:rsidR="00745668" w:rsidRPr="00594AC8" w:rsidRDefault="00745668" w:rsidP="00CF0E50">
      <w:pPr>
        <w:pStyle w:val="Level1"/>
        <w:widowControl/>
        <w:ind w:left="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w:t>
      </w:r>
      <w:r w:rsidRPr="00594AC8">
        <w:rPr>
          <w:color w:val="000000" w:themeColor="text1"/>
        </w:rPr>
        <w:lastRenderedPageBreak/>
        <w:t>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228D634"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CF0E50">
        <w:rPr>
          <w:rFonts w:ascii="Times New Roman" w:hAnsi="Times New Roman" w:cs="Times New Roman"/>
          <w:color w:val="000000" w:themeColor="text1"/>
        </w:rPr>
        <w:t xml:space="preserve">7 </w:t>
      </w:r>
      <w:r w:rsidRPr="00594AC8">
        <w:rPr>
          <w:rFonts w:ascii="Times New Roman" w:hAnsi="Times New Roman" w:cs="Times New Roman"/>
          <w:color w:val="000000" w:themeColor="text1"/>
        </w:rPr>
        <w:t xml:space="preserve">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33E669BD"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7C14">
              <w:rPr>
                <w:rFonts w:ascii="Times New Roman" w:hAnsi="Times New Roman" w:cs="Times New Roman"/>
                <w:color w:val="000000" w:themeColor="text1"/>
              </w:rPr>
              <w:t>8/28</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3A429621"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4F7C14">
              <w:rPr>
                <w:rFonts w:ascii="Times New Roman" w:hAnsi="Times New Roman" w:cs="Times New Roman"/>
                <w:color w:val="000000" w:themeColor="text1"/>
              </w:rPr>
              <w:t>10/2</w:t>
            </w:r>
          </w:p>
          <w:p w14:paraId="46FC5FF5" w14:textId="4B050D39"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4F7C14">
              <w:rPr>
                <w:rFonts w:ascii="Times New Roman" w:hAnsi="Times New Roman" w:cs="Times New Roman"/>
                <w:color w:val="000000" w:themeColor="text1"/>
              </w:rPr>
              <w:t>12/4</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5E947E06"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4F7C14">
              <w:rPr>
                <w:rFonts w:ascii="Times New Roman" w:hAnsi="Times New Roman" w:cs="Times New Roman"/>
                <w:color w:val="000000" w:themeColor="text1"/>
              </w:rPr>
              <w:t>9/4</w:t>
            </w:r>
            <w:r w:rsidRPr="00594AC8">
              <w:rPr>
                <w:rFonts w:ascii="Times New Roman" w:hAnsi="Times New Roman" w:cs="Times New Roman"/>
                <w:color w:val="000000" w:themeColor="text1"/>
              </w:rPr>
              <w:t xml:space="preserve"> through </w:t>
            </w:r>
            <w:r w:rsidR="004F7C14">
              <w:rPr>
                <w:rFonts w:ascii="Times New Roman" w:hAnsi="Times New Roman" w:cs="Times New Roman"/>
                <w:color w:val="000000" w:themeColor="text1"/>
              </w:rPr>
              <w:t>12/4</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32DC5DA4"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7C14">
              <w:rPr>
                <w:rFonts w:ascii="Times New Roman" w:hAnsi="Times New Roman" w:cs="Times New Roman"/>
                <w:color w:val="000000" w:themeColor="text1"/>
              </w:rPr>
              <w:t>9/4</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I can </w:t>
            </w:r>
            <w:r w:rsidRPr="00594AC8">
              <w:rPr>
                <w:rFonts w:ascii="Times New Roman" w:hAnsi="Times New Roman" w:cs="Times New Roman"/>
                <w:color w:val="000000" w:themeColor="text1"/>
              </w:rPr>
              <w:lastRenderedPageBreak/>
              <w:t>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371EBE2D"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7C14">
              <w:rPr>
                <w:rFonts w:ascii="Times New Roman" w:hAnsi="Times New Roman" w:cs="Times New Roman"/>
                <w:color w:val="000000" w:themeColor="text1"/>
              </w:rPr>
              <w:t>9/11</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60957F57"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4F7C14">
              <w:rPr>
                <w:rFonts w:ascii="Times New Roman" w:hAnsi="Times New Roman" w:cs="Times New Roman"/>
                <w:color w:val="000000" w:themeColor="text1"/>
              </w:rPr>
              <w:t>10/2</w:t>
            </w:r>
          </w:p>
          <w:p w14:paraId="6889DC20" w14:textId="2E7B0ECC"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4F7C14">
              <w:rPr>
                <w:rFonts w:ascii="Times New Roman" w:hAnsi="Times New Roman" w:cs="Times New Roman"/>
                <w:color w:val="000000" w:themeColor="text1"/>
              </w:rPr>
              <w:t>12/4</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2ED89E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CF0E50">
        <w:rPr>
          <w:rFonts w:ascii="Times New Roman" w:hAnsi="Times New Roman" w:cs="Times New Roman"/>
          <w:color w:val="000000" w:themeColor="text1"/>
        </w:rPr>
        <w:t>5</w:t>
      </w:r>
      <w:r w:rsidRPr="00594AC8">
        <w:rPr>
          <w:rFonts w:ascii="Times New Roman" w:hAnsi="Times New Roman" w:cs="Times New Roman"/>
          <w:color w:val="000000" w:themeColor="text1"/>
        </w:rPr>
        <w:t>-100%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594AC8">
        <w:rPr>
          <w:rFonts w:ascii="Times New Roman" w:hAnsi="Times New Roman" w:cs="Times New Roman"/>
          <w:color w:val="000000" w:themeColor="text1"/>
        </w:rPr>
        <w:t>University</w:t>
      </w:r>
      <w:proofErr w:type="gramEnd"/>
      <w:r w:rsidRPr="00594AC8">
        <w:rPr>
          <w:rFonts w:ascii="Times New Roman" w:hAnsi="Times New Roman" w:cs="Times New Roman"/>
          <w:color w:val="000000" w:themeColor="text1"/>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3C7E4B79" w14:textId="77777777" w:rsidR="002540C1" w:rsidRDefault="002540C1" w:rsidP="002540C1">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5FE70381" w14:textId="77777777"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6FC533A6" w14:textId="6A4FFFB2" w:rsidR="002540C1" w:rsidRPr="007A58E6" w:rsidRDefault="002540C1" w:rsidP="002540C1">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livestream services</w:t>
      </w:r>
      <w:r w:rsidRPr="007A58E6">
        <w:rPr>
          <w:rFonts w:ascii="Times New Roman" w:hAnsi="Times New Roman" w:cs="Times New Roman"/>
        </w:rPr>
        <w:t>, your attendance, attention, and participation are expected. Zoom participation requires you to keep your video on and your microphone muted when you 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/Webex</w:t>
      </w:r>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/Webex</w:t>
      </w:r>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3CF074FF"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09857467" w14:textId="77777777" w:rsidR="002540C1"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FCF58CD" w14:textId="77777777" w:rsidR="002540C1" w:rsidRPr="003D5FDB"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w:t>
      </w:r>
      <w:r w:rsidRPr="003D5FDB">
        <w:rPr>
          <w:rFonts w:ascii="Times New Roman" w:eastAsia="Times New Roman" w:hAnsi="Times New Roman" w:cs="Times New Roman"/>
        </w:rPr>
        <w:lastRenderedPageBreak/>
        <w:t>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 The pronouns someone indicates are not necessarily indicative of their gender identity.</w:t>
      </w:r>
    </w:p>
    <w:p w14:paraId="588BE2B7"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12B062FD" w14:textId="748CCC70"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w:t>
      </w:r>
      <w:r w:rsidRPr="00211DFE">
        <w:rPr>
          <w:rFonts w:ascii="Times New Roman" w:hAnsi="Times New Roman" w:cs="Times New Roman"/>
          <w:color w:val="000000"/>
        </w:rPr>
        <w:lastRenderedPageBreak/>
        <w:t xml:space="preserve">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2279FD">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713D5CFD" w14:textId="77777777" w:rsidR="002540C1" w:rsidRDefault="002540C1" w:rsidP="002540C1">
      <w:pPr>
        <w:rPr>
          <w:color w:val="000000"/>
        </w:rPr>
      </w:pPr>
      <w:r>
        <w:rPr>
          <w:color w:val="000000"/>
        </w:rPr>
        <w:t> </w:t>
      </w:r>
    </w:p>
    <w:p w14:paraId="5C296C9C" w14:textId="77777777" w:rsidR="002540C1" w:rsidRDefault="002540C1" w:rsidP="002540C1">
      <w:pPr>
        <w:rPr>
          <w:color w:val="000000"/>
        </w:rPr>
      </w:pPr>
      <w:r>
        <w:rPr>
          <w:color w:val="000000"/>
          <w:u w:val="single"/>
        </w:rPr>
        <w:t>Health and Well-Being Resources</w:t>
      </w:r>
      <w:r>
        <w:rPr>
          <w:color w:val="000000"/>
        </w:rPr>
        <w:t>:</w:t>
      </w:r>
    </w:p>
    <w:p w14:paraId="3C387DDB" w14:textId="1DB62C53" w:rsidR="002540C1" w:rsidRDefault="002540C1" w:rsidP="002540C1">
      <w:pPr>
        <w:rPr>
          <w:color w:val="000000"/>
        </w:rPr>
      </w:pPr>
      <w:r>
        <w:rPr>
          <w:color w:val="000000"/>
        </w:rPr>
        <w:t>Everyone is encouraged to take care of themselves and their peers. If you need additional support, there are several resources on campus to assist you:</w:t>
      </w:r>
    </w:p>
    <w:p w14:paraId="7F59DA03"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12" w:history="1">
        <w:r>
          <w:rPr>
            <w:rStyle w:val="Hyperlink"/>
            <w:color w:val="0563C1"/>
          </w:rPr>
          <w:t>http://wp.auburn.edu/scs/</w:t>
        </w:r>
      </w:hyperlink>
      <w:r>
        <w:rPr>
          <w:color w:val="000000"/>
        </w:rPr>
        <w:t>)</w:t>
      </w:r>
    </w:p>
    <w:p w14:paraId="350D9808"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AU Medical Clinical (</w:t>
      </w:r>
      <w:hyperlink r:id="rId13" w:history="1">
        <w:r>
          <w:rPr>
            <w:rStyle w:val="Hyperlink"/>
            <w:color w:val="0563C1"/>
          </w:rPr>
          <w:t>https://cws.auburn.edu/aumc/</w:t>
        </w:r>
      </w:hyperlink>
      <w:r>
        <w:rPr>
          <w:color w:val="000000"/>
        </w:rPr>
        <w:t>)</w:t>
      </w:r>
    </w:p>
    <w:p w14:paraId="4940999A" w14:textId="363D2606" w:rsidR="002540C1" w:rsidRP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14" w:history="1">
        <w:r>
          <w:rPr>
            <w:rStyle w:val="Hyperlink"/>
            <w:color w:val="0563C1"/>
          </w:rPr>
          <w:t>http://aucares.auburn.edu/</w:t>
        </w:r>
      </w:hyperlink>
      <w:r>
        <w:rPr>
          <w:color w:val="000000"/>
        </w:rPr>
        <w:t>)</w:t>
      </w:r>
    </w:p>
    <w:p w14:paraId="5C4A5877" w14:textId="6AFB643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46CF672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CF0E50">
        <w:rPr>
          <w:rFonts w:ascii="Times New Roman" w:hAnsi="Times New Roman"/>
          <w:b/>
          <w:color w:val="000000" w:themeColor="text1"/>
        </w:rPr>
        <w:t>SLHS</w:t>
      </w:r>
      <w:r w:rsidR="002F2C9A">
        <w:rPr>
          <w:rFonts w:ascii="Times New Roman" w:hAnsi="Times New Roman"/>
          <w:b/>
          <w:color w:val="000000" w:themeColor="text1"/>
        </w:rPr>
        <w:t xml:space="preserve">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6CA0" w14:textId="77777777" w:rsidR="007C60B5" w:rsidRDefault="007C60B5" w:rsidP="00EF0F97">
      <w:r>
        <w:separator/>
      </w:r>
    </w:p>
  </w:endnote>
  <w:endnote w:type="continuationSeparator" w:id="0">
    <w:p w14:paraId="7DA551C4" w14:textId="77777777" w:rsidR="007C60B5" w:rsidRDefault="007C60B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0C73" w14:textId="77777777" w:rsidR="007C60B5" w:rsidRDefault="007C60B5" w:rsidP="00EF0F97">
      <w:r>
        <w:separator/>
      </w:r>
    </w:p>
  </w:footnote>
  <w:footnote w:type="continuationSeparator" w:id="0">
    <w:p w14:paraId="1F3F1C2A" w14:textId="77777777" w:rsidR="007C60B5" w:rsidRDefault="007C60B5"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6616">
    <w:abstractNumId w:val="7"/>
  </w:num>
  <w:num w:numId="2" w16cid:durableId="160898401">
    <w:abstractNumId w:val="17"/>
  </w:num>
  <w:num w:numId="3" w16cid:durableId="887645073">
    <w:abstractNumId w:val="0"/>
  </w:num>
  <w:num w:numId="4" w16cid:durableId="2098475396">
    <w:abstractNumId w:val="10"/>
  </w:num>
  <w:num w:numId="5" w16cid:durableId="1680541129">
    <w:abstractNumId w:val="2"/>
  </w:num>
  <w:num w:numId="6" w16cid:durableId="1723167607">
    <w:abstractNumId w:val="19"/>
  </w:num>
  <w:num w:numId="7" w16cid:durableId="1421946853">
    <w:abstractNumId w:val="18"/>
  </w:num>
  <w:num w:numId="8" w16cid:durableId="1472942050">
    <w:abstractNumId w:val="14"/>
  </w:num>
  <w:num w:numId="9" w16cid:durableId="1861164386">
    <w:abstractNumId w:val="6"/>
  </w:num>
  <w:num w:numId="10" w16cid:durableId="290596370">
    <w:abstractNumId w:val="5"/>
  </w:num>
  <w:num w:numId="11" w16cid:durableId="1063677392">
    <w:abstractNumId w:val="8"/>
  </w:num>
  <w:num w:numId="12" w16cid:durableId="423190481">
    <w:abstractNumId w:val="21"/>
  </w:num>
  <w:num w:numId="13" w16cid:durableId="777800742">
    <w:abstractNumId w:val="13"/>
  </w:num>
  <w:num w:numId="14" w16cid:durableId="1416587419">
    <w:abstractNumId w:val="3"/>
  </w:num>
  <w:num w:numId="15" w16cid:durableId="820923844">
    <w:abstractNumId w:val="16"/>
  </w:num>
  <w:num w:numId="16" w16cid:durableId="1880052231">
    <w:abstractNumId w:val="12"/>
  </w:num>
  <w:num w:numId="17" w16cid:durableId="928928844">
    <w:abstractNumId w:val="9"/>
  </w:num>
  <w:num w:numId="18" w16cid:durableId="1497378685">
    <w:abstractNumId w:val="20"/>
  </w:num>
  <w:num w:numId="19" w16cid:durableId="907421613">
    <w:abstractNumId w:val="4"/>
  </w:num>
  <w:num w:numId="20" w16cid:durableId="1427767719">
    <w:abstractNumId w:val="1"/>
  </w:num>
  <w:num w:numId="21" w16cid:durableId="56823944">
    <w:abstractNumId w:val="11"/>
  </w:num>
  <w:num w:numId="22" w16cid:durableId="44384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C6385"/>
    <w:rsid w:val="002078A0"/>
    <w:rsid w:val="002279FD"/>
    <w:rsid w:val="002540C1"/>
    <w:rsid w:val="002B03DB"/>
    <w:rsid w:val="002C69D4"/>
    <w:rsid w:val="002D54DB"/>
    <w:rsid w:val="002E3A44"/>
    <w:rsid w:val="002E4E2F"/>
    <w:rsid w:val="002F2C9A"/>
    <w:rsid w:val="00304123"/>
    <w:rsid w:val="00322E2E"/>
    <w:rsid w:val="00345154"/>
    <w:rsid w:val="003F0FC0"/>
    <w:rsid w:val="00404DDF"/>
    <w:rsid w:val="004565FA"/>
    <w:rsid w:val="004F7C14"/>
    <w:rsid w:val="00512D82"/>
    <w:rsid w:val="00594AC8"/>
    <w:rsid w:val="005A024A"/>
    <w:rsid w:val="005C7854"/>
    <w:rsid w:val="005E0F1D"/>
    <w:rsid w:val="00690671"/>
    <w:rsid w:val="006942D3"/>
    <w:rsid w:val="006A197E"/>
    <w:rsid w:val="00701244"/>
    <w:rsid w:val="007210CF"/>
    <w:rsid w:val="00745668"/>
    <w:rsid w:val="00774A0B"/>
    <w:rsid w:val="007A44E6"/>
    <w:rsid w:val="007C60B5"/>
    <w:rsid w:val="007D3C6F"/>
    <w:rsid w:val="00803507"/>
    <w:rsid w:val="0080515F"/>
    <w:rsid w:val="00877C0F"/>
    <w:rsid w:val="00877D17"/>
    <w:rsid w:val="00886D12"/>
    <w:rsid w:val="008E4B59"/>
    <w:rsid w:val="00984404"/>
    <w:rsid w:val="00990C93"/>
    <w:rsid w:val="009A227D"/>
    <w:rsid w:val="009E2EA1"/>
    <w:rsid w:val="00AB2E05"/>
    <w:rsid w:val="00AF3CC2"/>
    <w:rsid w:val="00B511C5"/>
    <w:rsid w:val="00B65EEB"/>
    <w:rsid w:val="00BB5C3B"/>
    <w:rsid w:val="00BB632E"/>
    <w:rsid w:val="00BD6245"/>
    <w:rsid w:val="00BE5EF4"/>
    <w:rsid w:val="00BF716D"/>
    <w:rsid w:val="00C024CF"/>
    <w:rsid w:val="00C1080A"/>
    <w:rsid w:val="00C154A4"/>
    <w:rsid w:val="00C44B1D"/>
    <w:rsid w:val="00C74DA6"/>
    <w:rsid w:val="00CB3789"/>
    <w:rsid w:val="00CC37FC"/>
    <w:rsid w:val="00CF0E50"/>
    <w:rsid w:val="00D17136"/>
    <w:rsid w:val="00D24841"/>
    <w:rsid w:val="00DC6039"/>
    <w:rsid w:val="00DE0CFC"/>
    <w:rsid w:val="00DE6117"/>
    <w:rsid w:val="00E17913"/>
    <w:rsid w:val="00E23E9C"/>
    <w:rsid w:val="00E27673"/>
    <w:rsid w:val="00E37726"/>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cws.auburn.edu/aum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wp.auburn.edu/sc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aucares.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3</cp:revision>
  <cp:lastPrinted>2017-08-28T19:30:00Z</cp:lastPrinted>
  <dcterms:created xsi:type="dcterms:W3CDTF">2023-07-26T01:27:00Z</dcterms:created>
  <dcterms:modified xsi:type="dcterms:W3CDTF">2023-07-26T01:30:00Z</dcterms:modified>
</cp:coreProperties>
</file>