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732.0" w:type="dxa"/>
        <w:jc w:val="center"/>
        <w:tblLayout w:type="fixed"/>
        <w:tblLook w:val="0400"/>
      </w:tblPr>
      <w:tblGrid>
        <w:gridCol w:w="1216"/>
        <w:gridCol w:w="2516"/>
        <w:tblGridChange w:id="0">
          <w:tblGrid>
            <w:gridCol w:w="1216"/>
            <w:gridCol w:w="2516"/>
          </w:tblGrid>
        </w:tblGridChange>
      </w:tblGrid>
      <w:tr>
        <w:trPr>
          <w:cantSplit w:val="0"/>
          <w:tblHeader w:val="0"/>
        </w:trPr>
        <w:tc>
          <w:tcPr/>
          <w:p w:rsidR="00000000" w:rsidDel="00000000" w:rsidP="00000000" w:rsidRDefault="00000000" w:rsidRPr="00000000" w14:paraId="00000002">
            <w:pPr>
              <w:jc w:val="center"/>
              <w:rPr/>
            </w:pPr>
            <w:r w:rsidDel="00000000" w:rsidR="00000000" w:rsidRPr="00000000">
              <w:rPr>
                <w:rtl w:val="0"/>
              </w:rPr>
              <w:t xml:space="preserve">Instructor:</w:t>
            </w:r>
          </w:p>
        </w:tc>
        <w:tc>
          <w:tcPr/>
          <w:p w:rsidR="00000000" w:rsidDel="00000000" w:rsidP="00000000" w:rsidRDefault="00000000" w:rsidRPr="00000000" w14:paraId="00000003">
            <w:pPr>
              <w:jc w:val="center"/>
              <w:rPr/>
            </w:pPr>
            <w:r w:rsidDel="00000000" w:rsidR="00000000" w:rsidRPr="00000000">
              <w:rPr>
                <w:rtl w:val="0"/>
              </w:rPr>
              <w:t xml:space="preserve">LaKendrick Richardson</w:t>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Email:</w:t>
            </w:r>
          </w:p>
        </w:tc>
        <w:tc>
          <w:tcPr/>
          <w:p w:rsidR="00000000" w:rsidDel="00000000" w:rsidP="00000000" w:rsidRDefault="00000000" w:rsidRPr="00000000" w14:paraId="00000005">
            <w:pPr>
              <w:rPr/>
            </w:pPr>
            <w:hyperlink r:id="rId7">
              <w:r w:rsidDel="00000000" w:rsidR="00000000" w:rsidRPr="00000000">
                <w:rPr>
                  <w:color w:val="467886"/>
                  <w:u w:val="single"/>
                  <w:rtl w:val="0"/>
                </w:rPr>
                <w:t xml:space="preserve">ldr0002@auburn.edu</w:t>
              </w:r>
            </w:hyperlink>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2"/>
        <w:tblW w:w="9360.0" w:type="dxa"/>
        <w:jc w:val="left"/>
        <w:tblLayout w:type="fixed"/>
        <w:tblLook w:val="0400"/>
      </w:tblPr>
      <w:tblGrid>
        <w:gridCol w:w="1612"/>
        <w:gridCol w:w="7748"/>
        <w:tblGridChange w:id="0">
          <w:tblGrid>
            <w:gridCol w:w="1612"/>
            <w:gridCol w:w="7748"/>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t xml:space="preserve">Required Text: </w:t>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b w:val="1"/>
                <w:rtl w:val="0"/>
              </w:rPr>
              <w:t xml:space="preserve">Gollnick, D. M., &amp; Chinn, P. C. (2024</w:t>
            </w:r>
            <w:r w:rsidDel="00000000" w:rsidR="00000000" w:rsidRPr="00000000">
              <w:rPr>
                <w:rtl w:val="0"/>
              </w:rPr>
              <w:t xml:space="preserve">). </w:t>
            </w:r>
            <w:r w:rsidDel="00000000" w:rsidR="00000000" w:rsidRPr="00000000">
              <w:rPr>
                <w:i w:val="1"/>
                <w:rtl w:val="0"/>
              </w:rPr>
              <w:t xml:space="preserve">Multicultural education in a pluralistic society</w:t>
            </w:r>
            <w:r w:rsidDel="00000000" w:rsidR="00000000" w:rsidRPr="00000000">
              <w:rPr>
                <w:rtl w:val="0"/>
              </w:rPr>
              <w:t xml:space="preserve">. (12</w:t>
            </w:r>
            <w:r w:rsidDel="00000000" w:rsidR="00000000" w:rsidRPr="00000000">
              <w:rPr>
                <w:vertAlign w:val="superscript"/>
                <w:rtl w:val="0"/>
              </w:rPr>
              <w:t xml:space="preserve">th</w:t>
            </w:r>
            <w:r w:rsidDel="00000000" w:rsidR="00000000" w:rsidRPr="00000000">
              <w:rPr>
                <w:rtl w:val="0"/>
              </w:rPr>
              <w:t xml:space="preserve"> ed.) New York: Pearson.</w:t>
            </w:r>
          </w:p>
        </w:tc>
      </w:tr>
      <w:tr>
        <w:trPr>
          <w:cantSplit w:val="0"/>
          <w:tblHeader w:val="0"/>
        </w:trPr>
        <w:tc>
          <w:tcPr/>
          <w:p w:rsidR="00000000" w:rsidDel="00000000" w:rsidP="00000000" w:rsidRDefault="00000000" w:rsidRPr="00000000" w14:paraId="0000000B">
            <w:pPr>
              <w:rPr/>
            </w:pPr>
            <w:r w:rsidDel="00000000" w:rsidR="00000000" w:rsidRPr="00000000">
              <w:rPr>
                <w:b w:val="1"/>
                <w:rtl w:val="0"/>
              </w:rPr>
              <w:t xml:space="preserve">Course Description:</w:t>
            </w:r>
            <w:r w:rsidDel="00000000" w:rsidR="00000000" w:rsidRPr="00000000">
              <w:rPr>
                <w:rtl w:val="0"/>
              </w:rPr>
            </w:r>
          </w:p>
        </w:tc>
        <w:tc>
          <w:tcPr/>
          <w:p w:rsidR="00000000" w:rsidDel="00000000" w:rsidP="00000000" w:rsidRDefault="00000000" w:rsidRPr="00000000" w14:paraId="0000000C">
            <w:pPr>
              <w:tabs>
                <w:tab w:val="left" w:leader="none" w:pos="580"/>
              </w:tabs>
              <w:spacing w:before="227" w:lineRule="auto"/>
              <w:ind w:right="1407"/>
              <w:rPr/>
            </w:pPr>
            <w:r w:rsidDel="00000000" w:rsidR="00000000" w:rsidRPr="00000000">
              <w:rPr>
                <w:rtl w:val="0"/>
              </w:rPr>
              <w:t xml:space="preserve">Exploration of socio-cultural and individual differences; understanding diversity and communicating with students with differing cultural backgrounds, abilities, and values; this class combines class-based as well as community- based discovery learning, known as service learning, that links theory and practice and involves students in active participation in a local agency or service center.</w:t>
            </w:r>
          </w:p>
        </w:tc>
      </w:tr>
    </w:tbl>
    <w:p w:rsidR="00000000" w:rsidDel="00000000" w:rsidP="00000000" w:rsidRDefault="00000000" w:rsidRPr="00000000" w14:paraId="0000000D">
      <w:pPr>
        <w:rPr/>
      </w:pPr>
      <w:r w:rsidDel="00000000" w:rsidR="00000000" w:rsidRPr="00000000">
        <w:rPr>
          <w:rtl w:val="0"/>
        </w:rPr>
      </w:r>
    </w:p>
    <w:tbl>
      <w:tblPr>
        <w:tblStyle w:val="Table3"/>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0E">
            <w:pPr>
              <w:tabs>
                <w:tab w:val="left" w:leader="none" w:pos="940"/>
              </w:tabs>
              <w:spacing w:before="119" w:lineRule="auto"/>
              <w:ind w:right="1054"/>
              <w:rPr>
                <w:b w:val="1"/>
                <w:sz w:val="28"/>
                <w:szCs w:val="28"/>
              </w:rPr>
            </w:pPr>
            <w:r w:rsidDel="00000000" w:rsidR="00000000" w:rsidRPr="00000000">
              <w:rPr>
                <w:b w:val="1"/>
                <w:color w:val="000000"/>
                <w:sz w:val="28"/>
                <w:szCs w:val="28"/>
                <w:rtl w:val="0"/>
              </w:rPr>
              <w:t xml:space="preserve">Course Goals and Objectives:</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0" w:line="242" w:lineRule="auto"/>
              <w:ind w:left="939" w:right="1389"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learn about the historical, philosophical, legal, and social issues associated with the extensive range of differences among learners.</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116" w:line="240" w:lineRule="auto"/>
              <w:ind w:left="939" w:right="1188"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119" w:line="240" w:lineRule="auto"/>
              <w:ind w:left="939" w:right="1054"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students’ motivation for seeking a career in Education and the ways in which their backgrounds and experiences affect their world view and their view of education.</w:t>
            </w:r>
          </w:p>
        </w:tc>
      </w:tr>
      <w:tr>
        <w:trPr>
          <w:cantSplit w:val="0"/>
          <w:tblHeader w:val="0"/>
        </w:trPr>
        <w:tc>
          <w:tcPr/>
          <w:p w:rsidR="00000000" w:rsidDel="00000000" w:rsidP="00000000" w:rsidRDefault="00000000" w:rsidRPr="00000000" w14:paraId="00000012">
            <w:pPr>
              <w:pStyle w:val="Heading1"/>
              <w:spacing w:before="125" w:lineRule="auto"/>
              <w:ind w:right="138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p>
          <w:p w:rsidR="00000000" w:rsidDel="00000000" w:rsidP="00000000" w:rsidRDefault="00000000" w:rsidRPr="00000000" w14:paraId="00000013">
            <w:pPr>
              <w:ind w:left="580" w:right="1054" w:firstLine="0"/>
              <w:rPr/>
            </w:pPr>
            <w:r w:rsidDel="00000000" w:rsidR="00000000" w:rsidRPr="00000000">
              <w:rPr>
                <w:rtl w:val="0"/>
              </w:rPr>
              <w:t xml:space="preserve">In addition to the items listed below, course objectives include a subset of key indicators from the Alabama Quality Teaching Standards. Indicators assigned to this course for assessment are listed in the syllabus at the end of each week’s readings.</w:t>
            </w:r>
          </w:p>
          <w:p w:rsidR="00000000" w:rsidDel="00000000" w:rsidP="00000000" w:rsidRDefault="00000000" w:rsidRPr="00000000" w14:paraId="00000014">
            <w:pPr>
              <w:ind w:left="580" w:right="1054" w:firstLine="0"/>
              <w:rPr/>
            </w:pPr>
            <w:r w:rsidDel="00000000" w:rsidR="00000000" w:rsidRPr="00000000">
              <w:rPr>
                <w:rtl w:val="0"/>
              </w:rPr>
              <w:t xml:space="preserve">These indicators pertain to organization and management; learning environment; oral and written communication; cultural, ethnic and social diversity; language diversity; general issues; and professionalism. Create appropriate, challenging and supportive learning opportunities for students through participation in service learning.</w:t>
            </w:r>
          </w:p>
        </w:tc>
      </w:tr>
    </w:tbl>
    <w:p w:rsidR="00000000" w:rsidDel="00000000" w:rsidP="00000000" w:rsidRDefault="00000000" w:rsidRPr="00000000" w14:paraId="00000015">
      <w:pPr>
        <w:rPr/>
      </w:pPr>
      <w:r w:rsidDel="00000000" w:rsidR="00000000" w:rsidRPr="00000000">
        <w:rPr>
          <w:rtl w:val="0"/>
        </w:rPr>
      </w:r>
    </w:p>
    <w:tbl>
      <w:tblPr>
        <w:tblStyle w:val="Table4"/>
        <w:tblW w:w="9035.0" w:type="dxa"/>
        <w:jc w:val="left"/>
        <w:tblLayout w:type="fixed"/>
        <w:tblLook w:val="0400"/>
      </w:tblPr>
      <w:tblGrid>
        <w:gridCol w:w="9035"/>
        <w:tblGridChange w:id="0">
          <w:tblGrid>
            <w:gridCol w:w="9035"/>
          </w:tblGrid>
        </w:tblGridChange>
      </w:tblGrid>
      <w:tr>
        <w:trPr>
          <w:cantSplit w:val="0"/>
          <w:trHeight w:val="335" w:hRule="atLeast"/>
          <w:tblHeader w:val="0"/>
        </w:trPr>
        <w:tc>
          <w:tcPr/>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Learning Outcomes:</w:t>
            </w:r>
          </w:p>
        </w:tc>
      </w:tr>
      <w:tr>
        <w:trPr>
          <w:cantSplit w:val="0"/>
          <w:trHeight w:val="870" w:hRule="atLeast"/>
          <w:tblHeader w:val="0"/>
        </w:trPr>
        <w:tc>
          <w:tcPr/>
          <w:p w:rsidR="00000000" w:rsidDel="00000000" w:rsidP="00000000" w:rsidRDefault="00000000" w:rsidRPr="00000000" w14:paraId="00000017">
            <w:pPr>
              <w:rPr/>
            </w:pPr>
            <w:r w:rsidDel="00000000" w:rsidR="00000000" w:rsidRPr="00000000">
              <w:rPr>
                <w:b w:val="1"/>
                <w:rtl w:val="0"/>
              </w:rPr>
              <w:t xml:space="preserve">Cognitive development:</w:t>
            </w:r>
            <w:r w:rsidDel="00000000" w:rsidR="00000000" w:rsidRPr="00000000">
              <w:rPr>
                <w:rtl w:val="0"/>
              </w:rPr>
              <w:t xml:space="preserve"> viewing knowledge and knowing with greater complexity and considering multiple perspectives. The key question is: </w:t>
            </w:r>
            <w:r w:rsidDel="00000000" w:rsidR="00000000" w:rsidRPr="00000000">
              <w:rPr>
                <w:i w:val="1"/>
                <w:rtl w:val="0"/>
              </w:rPr>
              <w:t xml:space="preserve">How do I know?</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9">
            <w:pPr>
              <w:rPr/>
            </w:pPr>
            <w:r w:rsidDel="00000000" w:rsidR="00000000" w:rsidRPr="00000000">
              <w:rPr>
                <w:b w:val="1"/>
                <w:rtl w:val="0"/>
              </w:rPr>
              <w:t xml:space="preserve">Intrapersonal development: </w:t>
            </w:r>
            <w:r w:rsidDel="00000000" w:rsidR="00000000" w:rsidRPr="00000000">
              <w:rPr>
                <w:rtl w:val="0"/>
              </w:rPr>
              <w:t xml:space="preserve">increasing awareness of one’s own values and self-identity and integrating these into one’s sense of personhood. The key question is: </w:t>
            </w:r>
            <w:r w:rsidDel="00000000" w:rsidR="00000000" w:rsidRPr="00000000">
              <w:rPr>
                <w:i w:val="1"/>
                <w:rtl w:val="0"/>
              </w:rPr>
              <w:t xml:space="preserve">Who am I?</w:t>
            </w:r>
            <w:r w:rsidDel="00000000" w:rsidR="00000000" w:rsidRPr="00000000">
              <w:rPr>
                <w:rtl w:val="0"/>
              </w:rPr>
              <w:t xml:space="preserve">    </w:t>
            </w:r>
          </w:p>
        </w:tc>
      </w:tr>
      <w:tr>
        <w:trPr>
          <w:cantSplit w:val="0"/>
          <w:trHeight w:val="870" w:hRule="atLeast"/>
          <w:tblHeader w:val="0"/>
        </w:trPr>
        <w:tc>
          <w:tcPr/>
          <w:p w:rsidR="00000000" w:rsidDel="00000000" w:rsidP="00000000" w:rsidRDefault="00000000" w:rsidRPr="00000000" w14:paraId="0000001A">
            <w:pPr>
              <w:rPr/>
            </w:pPr>
            <w:r w:rsidDel="00000000" w:rsidR="00000000" w:rsidRPr="00000000">
              <w:rPr>
                <w:b w:val="1"/>
                <w:rtl w:val="0"/>
              </w:rPr>
              <w:t xml:space="preserve">Interpersonal development:</w:t>
            </w:r>
            <w:r w:rsidDel="00000000" w:rsidR="00000000" w:rsidRPr="00000000">
              <w:rPr>
                <w:rtl w:val="0"/>
              </w:rPr>
              <w:t xml:space="preserve"> fostering one’s willingness to interact with persons with different social norms and cultural backgrounds, acceptance of others, and comfortability in relating to others. The key question is: </w:t>
            </w:r>
            <w:r w:rsidDel="00000000" w:rsidR="00000000" w:rsidRPr="00000000">
              <w:rPr>
                <w:i w:val="1"/>
                <w:rtl w:val="0"/>
              </w:rPr>
              <w:t xml:space="preserve">How do I relate to others?</w:t>
            </w: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01B">
            <w:pPr>
              <w:pBdr>
                <w:bottom w:color="000000" w:space="1" w:sz="12" w:val="single"/>
              </w:pBd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Course Requirements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Community-Based Service-Learning Reflections (30%)</w:t>
      </w:r>
      <w:r w:rsidDel="00000000" w:rsidR="00000000" w:rsidRPr="00000000">
        <w:rPr>
          <w:rtl w:val="0"/>
        </w:rPr>
      </w:r>
    </w:p>
    <w:p w:rsidR="00000000" w:rsidDel="00000000" w:rsidP="00000000" w:rsidRDefault="00000000" w:rsidRPr="00000000" w14:paraId="0000001F">
      <w:pPr>
        <w:numPr>
          <w:ilvl w:val="0"/>
          <w:numId w:val="2"/>
        </w:numPr>
        <w:spacing w:after="0" w:before="280" w:lineRule="auto"/>
        <w:ind w:left="720" w:hanging="360"/>
        <w:rPr/>
      </w:pPr>
      <w:r w:rsidDel="00000000" w:rsidR="00000000" w:rsidRPr="00000000">
        <w:rPr>
          <w:b w:val="1"/>
          <w:rtl w:val="0"/>
        </w:rPr>
        <w:t xml:space="preserve">Description</w:t>
      </w:r>
      <w:r w:rsidDel="00000000" w:rsidR="00000000" w:rsidRPr="00000000">
        <w:rPr>
          <w:rtl w:val="0"/>
        </w:rPr>
        <w:t xml:space="preserve">: Students will participate in a service-learning project at a local agency or service center. This hands-on experience will allow students to directly engage with individuals from diverse backgrounds and learn through practice.</w:t>
      </w:r>
    </w:p>
    <w:p w:rsidR="00000000" w:rsidDel="00000000" w:rsidP="00000000" w:rsidRDefault="00000000" w:rsidRPr="00000000" w14:paraId="00000020">
      <w:pPr>
        <w:numPr>
          <w:ilvl w:val="0"/>
          <w:numId w:val="2"/>
        </w:numPr>
        <w:spacing w:after="0" w:before="0" w:lineRule="auto"/>
        <w:ind w:left="720" w:hanging="360"/>
        <w:rPr/>
      </w:pPr>
      <w:r w:rsidDel="00000000" w:rsidR="00000000" w:rsidRPr="00000000">
        <w:rPr>
          <w:b w:val="1"/>
          <w:rtl w:val="0"/>
        </w:rPr>
        <w:t xml:space="preserve">Project Details</w:t>
      </w:r>
      <w:r w:rsidDel="00000000" w:rsidR="00000000" w:rsidRPr="00000000">
        <w:rPr>
          <w:rtl w:val="0"/>
        </w:rPr>
        <w:t xml:space="preserve">: You will be required to log 20 hours of service at an approved community site. Each student must submit a weekly reflection post discussing the experiences, challenges, and lessons learned.</w:t>
      </w:r>
    </w:p>
    <w:p w:rsidR="00000000" w:rsidDel="00000000" w:rsidP="00000000" w:rsidRDefault="00000000" w:rsidRPr="00000000" w14:paraId="00000021">
      <w:pPr>
        <w:numPr>
          <w:ilvl w:val="0"/>
          <w:numId w:val="2"/>
        </w:numPr>
        <w:spacing w:after="280" w:before="0" w:lineRule="auto"/>
        <w:ind w:left="720" w:hanging="360"/>
        <w:rPr>
          <w:b w:val="0"/>
        </w:rPr>
      </w:pPr>
      <w:r w:rsidDel="00000000" w:rsidR="00000000" w:rsidRPr="00000000">
        <w:rPr>
          <w:b w:val="1"/>
          <w:rtl w:val="0"/>
        </w:rPr>
        <w:t xml:space="preserve">Midterm and Final Reflection</w:t>
      </w:r>
      <w:r w:rsidDel="00000000" w:rsidR="00000000" w:rsidRPr="00000000">
        <w:rPr>
          <w:rtl w:val="0"/>
        </w:rPr>
        <w:t xml:space="preserve">: </w:t>
      </w:r>
      <w:r w:rsidDel="00000000" w:rsidR="00000000" w:rsidRPr="00000000">
        <w:rPr>
          <w:b w:val="1"/>
          <w:rtl w:val="0"/>
        </w:rPr>
        <w:t xml:space="preserve">Paper</w:t>
      </w:r>
      <w:r w:rsidDel="00000000" w:rsidR="00000000" w:rsidRPr="00000000">
        <w:rPr>
          <w:rtl w:val="0"/>
        </w:rPr>
        <w:t xml:space="preserve">: (1-2 pages) that synthesizes your service experience with the theories and readings covered in the course.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Reading Assignments and Discussion Posts (40%)</w:t>
      </w:r>
      <w:r w:rsidDel="00000000" w:rsidR="00000000" w:rsidRPr="00000000">
        <w:rPr>
          <w:rtl w:val="0"/>
        </w:rPr>
      </w:r>
    </w:p>
    <w:p w:rsidR="00000000" w:rsidDel="00000000" w:rsidP="00000000" w:rsidRDefault="00000000" w:rsidRPr="00000000" w14:paraId="00000023">
      <w:pPr>
        <w:numPr>
          <w:ilvl w:val="0"/>
          <w:numId w:val="5"/>
        </w:numPr>
        <w:spacing w:after="0" w:before="280" w:lineRule="auto"/>
        <w:ind w:left="720" w:hanging="360"/>
        <w:rPr/>
      </w:pPr>
      <w:r w:rsidDel="00000000" w:rsidR="00000000" w:rsidRPr="00000000">
        <w:rPr>
          <w:b w:val="1"/>
          <w:rtl w:val="0"/>
        </w:rPr>
        <w:t xml:space="preserve">Readings</w:t>
      </w:r>
      <w:r w:rsidDel="00000000" w:rsidR="00000000" w:rsidRPr="00000000">
        <w:rPr>
          <w:rtl w:val="0"/>
        </w:rPr>
        <w:t xml:space="preserve">: Weekly reading assignments will provide foundational knowledge in socio-cultural theory, diversity, and inclusion.</w:t>
      </w:r>
    </w:p>
    <w:p w:rsidR="00000000" w:rsidDel="00000000" w:rsidP="00000000" w:rsidRDefault="00000000" w:rsidRPr="00000000" w14:paraId="00000024">
      <w:pPr>
        <w:numPr>
          <w:ilvl w:val="0"/>
          <w:numId w:val="5"/>
        </w:numPr>
        <w:spacing w:after="0" w:before="0" w:lineRule="auto"/>
        <w:ind w:left="720" w:hanging="360"/>
        <w:rPr/>
      </w:pPr>
      <w:r w:rsidDel="00000000" w:rsidR="00000000" w:rsidRPr="00000000">
        <w:rPr>
          <w:b w:val="1"/>
          <w:rtl w:val="0"/>
        </w:rPr>
        <w:t xml:space="preserve">Discussion Posts</w:t>
      </w:r>
      <w:r w:rsidDel="00000000" w:rsidR="00000000" w:rsidRPr="00000000">
        <w:rPr>
          <w:rtl w:val="0"/>
        </w:rPr>
        <w:t xml:space="preserve">: For each week’s reading, students will post a 200–300-word response and engage with peers through online discussions.</w:t>
      </w:r>
    </w:p>
    <w:p w:rsidR="00000000" w:rsidDel="00000000" w:rsidP="00000000" w:rsidRDefault="00000000" w:rsidRPr="00000000" w14:paraId="00000025">
      <w:pPr>
        <w:numPr>
          <w:ilvl w:val="1"/>
          <w:numId w:val="5"/>
        </w:numPr>
        <w:spacing w:after="0" w:before="0" w:lineRule="auto"/>
        <w:ind w:left="1440" w:hanging="360"/>
        <w:rPr/>
      </w:pPr>
      <w:r w:rsidDel="00000000" w:rsidR="00000000" w:rsidRPr="00000000">
        <w:rPr>
          <w:rtl w:val="0"/>
        </w:rPr>
        <w:t xml:space="preserve">Responses should address key concepts from the readings, integrate personal reflections, and offer analysis or critiques.</w:t>
      </w:r>
    </w:p>
    <w:p w:rsidR="00000000" w:rsidDel="00000000" w:rsidP="00000000" w:rsidRDefault="00000000" w:rsidRPr="00000000" w14:paraId="00000026">
      <w:pPr>
        <w:numPr>
          <w:ilvl w:val="1"/>
          <w:numId w:val="5"/>
        </w:numPr>
        <w:spacing w:after="280" w:before="0" w:lineRule="auto"/>
        <w:ind w:left="1440" w:hanging="360"/>
        <w:rPr>
          <w:b w:val="0"/>
        </w:rPr>
      </w:pPr>
      <w:r w:rsidDel="00000000" w:rsidR="00000000" w:rsidRPr="00000000">
        <w:rPr>
          <w:rtl w:val="0"/>
        </w:rPr>
        <w:t xml:space="preserve">Respond to at least two peers’ posts with thoughtful comments or questions each week.</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Technology Integration and Activities (20%)</w:t>
      </w:r>
      <w:r w:rsidDel="00000000" w:rsidR="00000000" w:rsidRPr="00000000">
        <w:rPr>
          <w:rtl w:val="0"/>
        </w:rPr>
      </w:r>
    </w:p>
    <w:p w:rsidR="00000000" w:rsidDel="00000000" w:rsidP="00000000" w:rsidRDefault="00000000" w:rsidRPr="00000000" w14:paraId="00000028">
      <w:pPr>
        <w:numPr>
          <w:ilvl w:val="0"/>
          <w:numId w:val="6"/>
        </w:numPr>
        <w:spacing w:after="0" w:before="280" w:lineRule="auto"/>
        <w:ind w:left="720" w:hanging="360"/>
        <w:rPr/>
      </w:pPr>
      <w:r w:rsidDel="00000000" w:rsidR="00000000" w:rsidRPr="00000000">
        <w:rPr>
          <w:b w:val="1"/>
          <w:rtl w:val="0"/>
        </w:rPr>
        <w:t xml:space="preserve">Technology Assignments</w:t>
      </w:r>
      <w:r w:rsidDel="00000000" w:rsidR="00000000" w:rsidRPr="00000000">
        <w:rPr>
          <w:rtl w:val="0"/>
        </w:rPr>
        <w:t xml:space="preserve">: You will be required to complete interactive online activities designed to reinforce course concepts. These may include quizzes, virtual case studies, or online simulations that focus on diversity-related issues.</w:t>
      </w:r>
    </w:p>
    <w:p w:rsidR="00000000" w:rsidDel="00000000" w:rsidP="00000000" w:rsidRDefault="00000000" w:rsidRPr="00000000" w14:paraId="00000029">
      <w:pPr>
        <w:numPr>
          <w:ilvl w:val="0"/>
          <w:numId w:val="6"/>
        </w:numPr>
        <w:spacing w:after="280" w:before="0" w:lineRule="auto"/>
        <w:ind w:left="720" w:hanging="360"/>
        <w:rPr/>
      </w:pPr>
      <w:r w:rsidDel="00000000" w:rsidR="00000000" w:rsidRPr="00000000">
        <w:rPr>
          <w:b w:val="1"/>
          <w:rtl w:val="0"/>
        </w:rPr>
        <w:t xml:space="preserve">Due Weekly</w:t>
      </w:r>
      <w:r w:rsidDel="00000000" w:rsidR="00000000" w:rsidRPr="00000000">
        <w:rPr>
          <w:rtl w:val="0"/>
        </w:rPr>
        <w:t xml:space="preserve">: These assignments will be due on Fridays and will involve short-answer responses or completion of scenarios where you apply course content.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Active participation  (10%)</w:t>
      </w:r>
      <w:r w:rsidDel="00000000" w:rsidR="00000000" w:rsidRPr="00000000">
        <w:rPr>
          <w:rtl w:val="0"/>
        </w:rPr>
      </w:r>
    </w:p>
    <w:p w:rsidR="00000000" w:rsidDel="00000000" w:rsidP="00000000" w:rsidRDefault="00000000" w:rsidRPr="00000000" w14:paraId="0000002B">
      <w:pPr>
        <w:numPr>
          <w:ilvl w:val="0"/>
          <w:numId w:val="1"/>
        </w:numPr>
        <w:spacing w:after="0" w:before="280" w:lineRule="auto"/>
        <w:ind w:left="720" w:hanging="360"/>
        <w:rPr/>
      </w:pPr>
      <w:r w:rsidDel="00000000" w:rsidR="00000000" w:rsidRPr="00000000">
        <w:rPr>
          <w:b w:val="1"/>
          <w:rtl w:val="0"/>
        </w:rPr>
        <w:t xml:space="preserve">Project Overview</w:t>
      </w:r>
      <w:r w:rsidDel="00000000" w:rsidR="00000000" w:rsidRPr="00000000">
        <w:rPr>
          <w:rtl w:val="0"/>
        </w:rPr>
        <w:t xml:space="preserve">: In the final week, students will create a digital presentation (10-15 slides) summarizing their learning from both the service-learning experience and course content.</w:t>
      </w:r>
    </w:p>
    <w:p w:rsidR="00000000" w:rsidDel="00000000" w:rsidP="00000000" w:rsidRDefault="00000000" w:rsidRPr="00000000" w14:paraId="0000002C">
      <w:pPr>
        <w:numPr>
          <w:ilvl w:val="0"/>
          <w:numId w:val="1"/>
        </w:numPr>
        <w:spacing w:after="0" w:before="0" w:lineRule="auto"/>
        <w:ind w:left="720" w:hanging="360"/>
        <w:rPr/>
      </w:pPr>
      <w:r w:rsidDel="00000000" w:rsidR="00000000" w:rsidRPr="00000000">
        <w:rPr>
          <w:b w:val="1"/>
          <w:rtl w:val="0"/>
        </w:rPr>
        <w:t xml:space="preserve">Presentation Content</w:t>
      </w:r>
      <w:r w:rsidDel="00000000" w:rsidR="00000000" w:rsidRPr="00000000">
        <w:rPr>
          <w:rtl w:val="0"/>
        </w:rPr>
        <w:t xml:space="preserve">: The presentation should reflect key takeaways about diversity and communication, how theory aligns with practice, and how this learning could be applied in future professional or educational settings.</w:t>
      </w:r>
    </w:p>
    <w:p w:rsidR="00000000" w:rsidDel="00000000" w:rsidP="00000000" w:rsidRDefault="00000000" w:rsidRPr="00000000" w14:paraId="0000002D">
      <w:pPr>
        <w:numPr>
          <w:ilvl w:val="0"/>
          <w:numId w:val="1"/>
        </w:numPr>
        <w:spacing w:after="280" w:before="0" w:lineRule="auto"/>
        <w:ind w:left="720" w:hanging="360"/>
        <w:rPr/>
      </w:pPr>
      <w:r w:rsidDel="00000000" w:rsidR="00000000" w:rsidRPr="00000000">
        <w:rPr>
          <w:b w:val="1"/>
          <w:rtl w:val="0"/>
        </w:rPr>
        <w:t xml:space="preserve">Due</w:t>
      </w:r>
      <w:r w:rsidDel="00000000" w:rsidR="00000000" w:rsidRPr="00000000">
        <w:rPr>
          <w:rtl w:val="0"/>
        </w:rPr>
        <w:t xml:space="preserve">: Last day of the course.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
        </w:tabs>
        <w:spacing w:after="0" w:before="72" w:line="240" w:lineRule="auto"/>
        <w:ind w:left="496" w:right="12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REQUIREMENTS/EVALUATION</w:t>
      </w:r>
      <w:r w:rsidDel="00000000" w:rsidR="00000000" w:rsidRPr="00000000">
        <w:rPr>
          <w:rtl w:val="0"/>
        </w:rPr>
      </w:r>
    </w:p>
    <w:p w:rsidR="00000000" w:rsidDel="00000000" w:rsidP="00000000" w:rsidRDefault="00000000" w:rsidRPr="00000000" w14:paraId="00000030">
      <w:pPr>
        <w:jc w:val="center"/>
        <w:rPr>
          <w:b w:val="1"/>
        </w:rPr>
      </w:pPr>
      <w:r w:rsidDel="00000000" w:rsidR="00000000" w:rsidRPr="00000000">
        <w:rPr>
          <w:rtl w:val="0"/>
        </w:rPr>
      </w:r>
    </w:p>
    <w:p w:rsidR="00000000" w:rsidDel="00000000" w:rsidP="00000000" w:rsidRDefault="00000000" w:rsidRPr="00000000" w14:paraId="00000031">
      <w:pPr>
        <w:spacing w:line="250" w:lineRule="auto"/>
        <w:ind w:left="220" w:right="128" w:firstLine="0"/>
        <w:rPr/>
      </w:pPr>
      <w:r w:rsidDel="00000000" w:rsidR="00000000" w:rsidRPr="00000000">
        <w:rPr>
          <w:b w:val="1"/>
          <w:rtl w:val="0"/>
        </w:rPr>
        <w:t xml:space="preserve">Lab and Service Learning</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12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These 25 service hours are part of the total number of field experience hours mandated by the Alabama State Department of Education. You will not receive credit for this course until these 25 hours have been completed.</w:t>
      </w:r>
    </w:p>
    <w:p w:rsidR="00000000" w:rsidDel="00000000" w:rsidP="00000000" w:rsidRDefault="00000000" w:rsidRPr="00000000" w14:paraId="00000033">
      <w:pPr>
        <w:spacing w:before="11" w:lineRule="auto"/>
        <w:rPr>
          <w:sz w:val="23"/>
          <w:szCs w:val="23"/>
        </w:rPr>
      </w:pPr>
      <w:r w:rsidDel="00000000" w:rsidR="00000000" w:rsidRPr="00000000">
        <w:rPr>
          <w:rtl w:val="0"/>
        </w:rPr>
      </w:r>
    </w:p>
    <w:p w:rsidR="00000000" w:rsidDel="00000000" w:rsidP="00000000" w:rsidRDefault="00000000" w:rsidRPr="00000000" w14:paraId="00000034">
      <w:pPr>
        <w:spacing w:line="242" w:lineRule="auto"/>
        <w:ind w:left="220" w:right="128" w:firstLine="0"/>
        <w:rPr/>
      </w:pPr>
      <w:r w:rsidDel="00000000" w:rsidR="00000000" w:rsidRPr="00000000">
        <w:rPr>
          <w:rtl w:val="0"/>
        </w:rPr>
        <w:t xml:space="preserve">Service Learning will be assessed as </w:t>
      </w:r>
      <w:r w:rsidDel="00000000" w:rsidR="00000000" w:rsidRPr="00000000">
        <w:rPr>
          <w:b w:val="1"/>
          <w:rtl w:val="0"/>
        </w:rPr>
        <w:t xml:space="preserve">Satisfactory </w:t>
      </w:r>
      <w:r w:rsidDel="00000000" w:rsidR="00000000" w:rsidRPr="00000000">
        <w:rPr>
          <w:rtl w:val="0"/>
        </w:rPr>
        <w:t xml:space="preserve">or </w:t>
      </w:r>
      <w:r w:rsidDel="00000000" w:rsidR="00000000" w:rsidRPr="00000000">
        <w:rPr>
          <w:b w:val="1"/>
          <w:rtl w:val="0"/>
        </w:rPr>
        <w:t xml:space="preserve">Unsatisfactory</w:t>
      </w:r>
      <w:r w:rsidDel="00000000" w:rsidR="00000000" w:rsidRPr="00000000">
        <w:rPr>
          <w:rtl w:val="0"/>
        </w:rPr>
        <w:t xml:space="preserve">. Students must receive an assessment of </w:t>
      </w:r>
      <w:r w:rsidDel="00000000" w:rsidR="00000000" w:rsidRPr="00000000">
        <w:rPr>
          <w:b w:val="1"/>
          <w:rtl w:val="0"/>
        </w:rPr>
        <w:t xml:space="preserve">Satisfactory </w:t>
      </w:r>
      <w:r w:rsidDel="00000000" w:rsidR="00000000" w:rsidRPr="00000000">
        <w:rPr>
          <w:rtl w:val="0"/>
        </w:rPr>
        <w:t xml:space="preserve">to complete FOUN 3000. Students must complete all assignments, fulfill a minimum of 25 hours at the service learning site, and satisfy the performance criteria set by the service learning coordinator. </w:t>
      </w:r>
      <w:r w:rsidDel="00000000" w:rsidR="00000000" w:rsidRPr="00000000">
        <w:rPr>
          <w:b w:val="1"/>
          <w:rtl w:val="0"/>
        </w:rPr>
        <w:t xml:space="preserve">Reflection papers must address the role of service learning in preparing teachers for committed service to the community in which they reside.</w:t>
      </w:r>
      <w:r w:rsidDel="00000000" w:rsidR="00000000" w:rsidRPr="00000000">
        <w:rPr>
          <w:rtl w:val="0"/>
        </w:rPr>
      </w:r>
    </w:p>
    <w:p w:rsidR="00000000" w:rsidDel="00000000" w:rsidP="00000000" w:rsidRDefault="00000000" w:rsidRPr="00000000" w14:paraId="00000035">
      <w:pPr>
        <w:spacing w:before="5" w:lineRule="auto"/>
        <w:rPr>
          <w:b w:val="1"/>
          <w:sz w:val="21"/>
          <w:szCs w:val="2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fail to complete the requirements or receive an assessment of Unsatisfactory for service learning will receive a grade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Incomplete for FOUN 3000.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receive a grade of Incomplete must again attempt service learning the next</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semester. If a student fails to receive a satisfactory assessment or fails to complete all of the requirements of service learning for a second time, he or she will receive a grade of “F” for FOUN 3000.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ind w:right="1462"/>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Alabama Certification Requirements: </w:t>
      </w:r>
    </w:p>
    <w:p w:rsidR="00000000" w:rsidDel="00000000" w:rsidP="00000000" w:rsidRDefault="00000000" w:rsidRPr="00000000" w14:paraId="00000039">
      <w:pPr>
        <w:spacing w:before="8" w:lineRule="auto"/>
        <w:rPr>
          <w:b w:val="1"/>
          <w:sz w:val="21"/>
          <w:szCs w:val="21"/>
        </w:rPr>
      </w:pPr>
      <w:r w:rsidDel="00000000" w:rsidR="00000000" w:rsidRPr="00000000">
        <w:rPr>
          <w:rtl w:val="0"/>
        </w:rPr>
      </w:r>
    </w:p>
    <w:p w:rsidR="00000000" w:rsidDel="00000000" w:rsidP="00000000" w:rsidRDefault="00000000" w:rsidRPr="00000000" w14:paraId="0000003A">
      <w:pPr>
        <w:ind w:left="280" w:right="1462" w:firstLine="0"/>
        <w:rPr/>
      </w:pPr>
      <w:r w:rsidDel="00000000" w:rsidR="00000000" w:rsidRPr="00000000">
        <w:rPr>
          <w:b w:val="1"/>
          <w:rtl w:val="0"/>
        </w:rPr>
        <w:t xml:space="preserve">Reminder</w:t>
      </w:r>
      <w:r w:rsidDel="00000000" w:rsidR="00000000" w:rsidRPr="00000000">
        <w:rPr>
          <w:rtl w:val="0"/>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Del="00000000" w:rsidR="00000000" w:rsidRPr="00000000">
        <w:rPr>
          <w:b w:val="1"/>
          <w:i w:val="1"/>
          <w:rtl w:val="0"/>
        </w:rPr>
        <w:t xml:space="preserve">Please Note</w:t>
      </w:r>
      <w:r w:rsidDel="00000000" w:rsidR="00000000" w:rsidRPr="00000000">
        <w:rPr>
          <w:b w:val="1"/>
          <w:rtl w:val="0"/>
        </w:rPr>
        <w:t xml:space="preserve">: ALL assignments and examinations must be submitted and meaningfully attempted to receive a grade of C or better for FOUN 3000.</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280" w:right="1462" w:firstLine="0"/>
        <w:rPr/>
      </w:pPr>
      <w:r w:rsidDel="00000000" w:rsidR="00000000" w:rsidRPr="00000000">
        <w:rPr>
          <w:b w:val="1"/>
          <w:rtl w:val="0"/>
        </w:rPr>
        <w:t xml:space="preserve">TURNING IN ASSIGNMENTS: All assignments are to be UPLOADED TO CANVAS</w:t>
      </w:r>
      <w:r w:rsidDel="00000000" w:rsidR="00000000" w:rsidRPr="00000000">
        <w:rPr>
          <w:rtl w:val="0"/>
        </w:rPr>
      </w:r>
    </w:p>
    <w:p w:rsidR="00000000" w:rsidDel="00000000" w:rsidP="00000000" w:rsidRDefault="00000000" w:rsidRPr="00000000" w14:paraId="0000003D">
      <w:pPr>
        <w:pBdr>
          <w:bottom w:color="000000" w:space="1" w:sz="12" w:val="single"/>
        </w:pBdr>
        <w:ind w:right="1462"/>
        <w:rPr>
          <w:b w:val="1"/>
        </w:rPr>
      </w:pPr>
      <w:r w:rsidDel="00000000" w:rsidR="00000000" w:rsidRPr="00000000">
        <w:rPr>
          <w:rtl w:val="0"/>
        </w:rPr>
      </w:r>
    </w:p>
    <w:p w:rsidR="00000000" w:rsidDel="00000000" w:rsidP="00000000" w:rsidRDefault="00000000" w:rsidRPr="00000000" w14:paraId="0000003E">
      <w:pPr>
        <w:rPr>
          <w:b w:val="1"/>
          <w:sz w:val="21"/>
          <w:szCs w:val="21"/>
        </w:rPr>
      </w:pPr>
      <w:r w:rsidDel="00000000" w:rsidR="00000000" w:rsidRPr="00000000">
        <w:rPr>
          <w:rtl w:val="0"/>
        </w:rPr>
      </w:r>
    </w:p>
    <w:p w:rsidR="00000000" w:rsidDel="00000000" w:rsidP="00000000" w:rsidRDefault="00000000" w:rsidRPr="00000000" w14:paraId="0000003F">
      <w:pPr>
        <w:ind w:left="119" w:right="160" w:firstLine="0"/>
        <w:rPr>
          <w:sz w:val="21"/>
          <w:szCs w:val="21"/>
        </w:rPr>
      </w:pPr>
      <w:r w:rsidDel="00000000" w:rsidR="00000000" w:rsidRPr="00000000">
        <w:rPr>
          <w:b w:val="1"/>
          <w:sz w:val="21"/>
          <w:szCs w:val="21"/>
          <w:rtl w:val="0"/>
        </w:rPr>
        <w:t xml:space="preserve">Make-up Assignments</w:t>
      </w:r>
      <w:r w:rsidDel="00000000" w:rsidR="00000000" w:rsidRPr="00000000">
        <w:rPr>
          <w:sz w:val="21"/>
          <w:szCs w:val="21"/>
          <w:rtl w:val="0"/>
        </w:rPr>
        <w:t xml:space="preserve">: Only at the discretion of the instructor with proper documentation will exams            be made up. Excuses are only good for the day of examination, not before or afterwards unless documentation states otherwise.</w:t>
      </w:r>
    </w:p>
    <w:p w:rsidR="00000000" w:rsidDel="00000000" w:rsidP="00000000" w:rsidRDefault="00000000" w:rsidRPr="00000000" w14:paraId="00000040">
      <w:pPr>
        <w:spacing w:before="11" w:lineRule="auto"/>
        <w:rPr>
          <w:sz w:val="20"/>
          <w:szCs w:val="20"/>
        </w:rPr>
      </w:pPr>
      <w:r w:rsidDel="00000000" w:rsidR="00000000" w:rsidRPr="00000000">
        <w:rPr>
          <w:rtl w:val="0"/>
        </w:rPr>
      </w:r>
    </w:p>
    <w:p w:rsidR="00000000" w:rsidDel="00000000" w:rsidP="00000000" w:rsidRDefault="00000000" w:rsidRPr="00000000" w14:paraId="00000041">
      <w:pPr>
        <w:ind w:left="119" w:right="160" w:firstLine="0"/>
        <w:rPr>
          <w:sz w:val="21"/>
          <w:szCs w:val="21"/>
        </w:rPr>
      </w:pPr>
      <w:r w:rsidDel="00000000" w:rsidR="00000000" w:rsidRPr="00000000">
        <w:rPr>
          <w:b w:val="1"/>
          <w:rtl w:val="0"/>
        </w:rPr>
        <w:t xml:space="preserve">Honesty Code</w:t>
      </w:r>
      <w:r w:rsidDel="00000000" w:rsidR="00000000" w:rsidRPr="00000000">
        <w:rPr>
          <w:rtl w:val="0"/>
        </w:rPr>
        <w:t xml:space="preserve">: The University Academic Honesty Code and the Tiger Cub Rules and Regulations pertaining to Cheating will apply to this class. </w:t>
      </w:r>
      <w:r w:rsidDel="00000000" w:rsidR="00000000" w:rsidRPr="00000000">
        <w:rPr>
          <w:sz w:val="21"/>
          <w:szCs w:val="21"/>
          <w:rtl w:val="0"/>
        </w:rPr>
        <w:t xml:space="preserve">See also </w:t>
      </w:r>
      <w:r w:rsidDel="00000000" w:rsidR="00000000" w:rsidRPr="00000000">
        <w:rPr>
          <w:b w:val="1"/>
          <w:sz w:val="21"/>
          <w:szCs w:val="21"/>
          <w:u w:val="single"/>
          <w:rtl w:val="0"/>
        </w:rPr>
        <w:t xml:space="preserve">Tiger Cub </w:t>
      </w:r>
      <w:r w:rsidDel="00000000" w:rsidR="00000000" w:rsidRPr="00000000">
        <w:rPr>
          <w:sz w:val="21"/>
          <w:szCs w:val="21"/>
          <w:rtl w:val="0"/>
        </w:rPr>
        <w:t xml:space="preserve">for rules on academic honesty.</w:t>
      </w:r>
    </w:p>
    <w:p w:rsidR="00000000" w:rsidDel="00000000" w:rsidP="00000000" w:rsidRDefault="00000000" w:rsidRPr="00000000" w14:paraId="00000042">
      <w:pPr>
        <w:spacing w:before="11" w:lineRule="auto"/>
        <w:rPr>
          <w:sz w:val="20"/>
          <w:szCs w:val="20"/>
        </w:rPr>
      </w:pPr>
      <w:r w:rsidDel="00000000" w:rsidR="00000000" w:rsidRPr="00000000">
        <w:rPr>
          <w:rtl w:val="0"/>
        </w:rPr>
      </w:r>
    </w:p>
    <w:p w:rsidR="00000000" w:rsidDel="00000000" w:rsidP="00000000" w:rsidRDefault="00000000" w:rsidRPr="00000000" w14:paraId="00000043">
      <w:pPr>
        <w:ind w:left="119" w:right="160" w:firstLine="0"/>
        <w:rPr>
          <w:sz w:val="21"/>
          <w:szCs w:val="21"/>
        </w:rPr>
      </w:pPr>
      <w:r w:rsidDel="00000000" w:rsidR="00000000" w:rsidRPr="00000000">
        <w:rPr>
          <w:sz w:val="21"/>
          <w:szCs w:val="21"/>
          <w:rtl w:val="0"/>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Del="00000000" w:rsidR="00000000" w:rsidRPr="00000000">
        <w:rPr>
          <w:b w:val="1"/>
          <w:sz w:val="21"/>
          <w:szCs w:val="21"/>
          <w:rtl w:val="0"/>
        </w:rPr>
        <w:t xml:space="preserve">Finally, you may not submit the work of someone else as yours or work that you have submitted</w:t>
      </w:r>
      <w:r w:rsidDel="00000000" w:rsidR="00000000" w:rsidRPr="00000000">
        <w:rPr>
          <w:b w:val="1"/>
          <w:rtl w:val="0"/>
        </w:rPr>
        <w:t xml:space="preserve"> for </w:t>
      </w:r>
      <w:r w:rsidDel="00000000" w:rsidR="00000000" w:rsidRPr="00000000">
        <w:rPr>
          <w:b w:val="1"/>
          <w:sz w:val="21"/>
          <w:szCs w:val="21"/>
          <w:rtl w:val="0"/>
        </w:rPr>
        <w:t xml:space="preserve">another class to satisfy a requirement of FOUN 3000.</w:t>
      </w:r>
      <w:r w:rsidDel="00000000" w:rsidR="00000000" w:rsidRPr="00000000">
        <w:rPr>
          <w:rtl w:val="0"/>
        </w:rPr>
      </w:r>
    </w:p>
    <w:p w:rsidR="00000000" w:rsidDel="00000000" w:rsidP="00000000" w:rsidRDefault="00000000" w:rsidRPr="00000000" w14:paraId="00000044">
      <w:pPr>
        <w:spacing w:before="11" w:lineRule="auto"/>
        <w:rPr>
          <w:b w:val="1"/>
          <w:sz w:val="20"/>
          <w:szCs w:val="20"/>
        </w:rPr>
      </w:pPr>
      <w:r w:rsidDel="00000000" w:rsidR="00000000" w:rsidRPr="00000000">
        <w:rPr>
          <w:rtl w:val="0"/>
        </w:rPr>
      </w:r>
    </w:p>
    <w:p w:rsidR="00000000" w:rsidDel="00000000" w:rsidP="00000000" w:rsidRDefault="00000000" w:rsidRPr="00000000" w14:paraId="00000045">
      <w:pPr>
        <w:ind w:left="120" w:right="160" w:firstLine="0"/>
        <w:rPr>
          <w:sz w:val="21"/>
          <w:szCs w:val="21"/>
          <w:u w:val="single"/>
        </w:rPr>
      </w:pPr>
      <w:r w:rsidDel="00000000" w:rsidR="00000000" w:rsidRPr="00000000">
        <w:rPr>
          <w:b w:val="1"/>
          <w:sz w:val="21"/>
          <w:szCs w:val="21"/>
          <w:u w:val="single"/>
          <w:rtl w:val="0"/>
        </w:rPr>
        <w:t xml:space="preserve">Civility Statement:</w:t>
      </w:r>
      <w:r w:rsidDel="00000000" w:rsidR="00000000" w:rsidRPr="00000000">
        <w:rPr>
          <w:rtl w:val="0"/>
        </w:rPr>
      </w:r>
    </w:p>
    <w:p w:rsidR="00000000" w:rsidDel="00000000" w:rsidP="00000000" w:rsidRDefault="00000000" w:rsidRPr="00000000" w14:paraId="00000046">
      <w:pPr>
        <w:spacing w:before="9" w:lineRule="auto"/>
        <w:rPr>
          <w:b w:val="1"/>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Professionalism: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251" w:right="160" w:hanging="13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responsible and ethical professional</w:t>
      </w:r>
    </w:p>
    <w:p w:rsidR="00000000" w:rsidDel="00000000" w:rsidP="00000000" w:rsidRDefault="00000000" w:rsidRPr="00000000" w14:paraId="0000004D">
      <w:pPr>
        <w:ind w:firstLine="251"/>
        <w:rPr/>
      </w:pPr>
      <w:r w:rsidDel="00000000" w:rsidR="00000000" w:rsidRPr="00000000">
        <w:rPr>
          <w:rtl w:val="0"/>
        </w:rPr>
        <w:t xml:space="preserve">practices</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3"/>
        </w:tabs>
        <w:spacing w:after="0" w:before="50" w:line="252.00000000000003" w:lineRule="auto"/>
        <w:ind w:left="252" w:right="0" w:hanging="132"/>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3"/>
        </w:tabs>
        <w:spacing w:after="0" w:before="0" w:line="252.00000000000003" w:lineRule="auto"/>
        <w:ind w:left="252" w:right="0" w:hanging="132"/>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3"/>
        </w:tabs>
        <w:spacing w:after="0" w:before="1" w:line="240" w:lineRule="auto"/>
        <w:ind w:left="252" w:right="0" w:hanging="132"/>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u w:val="single"/>
          <w:rtl w:val="0"/>
        </w:rPr>
        <w:t xml:space="preserve">Respect for Diversity:</w:t>
      </w:r>
      <w:r w:rsidDel="00000000" w:rsidR="00000000" w:rsidRPr="00000000">
        <w:rPr>
          <w:b w:val="1"/>
          <w:rtl w:val="0"/>
        </w:rPr>
        <w:t xml:space="preserve"> </w:t>
      </w:r>
      <w:r w:rsidDel="00000000" w:rsidR="00000000" w:rsidRPr="00000000">
        <w:rPr>
          <w:i w:val="1"/>
          <w:rtl w:val="0"/>
        </w:rPr>
        <w:t xml:space="preserve">Auburn University Diversity Statement</w:t>
      </w:r>
      <w:r w:rsidDel="00000000" w:rsidR="00000000" w:rsidRPr="00000000">
        <w:rPr>
          <w:rtl w:val="0"/>
        </w:rPr>
        <w:t xml:space="preserve">: 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and faculty body, local community, and national population. It is expected that all students in this course abide by and respect the AU Diversity Statement when working and interacting with classmates and the instructor.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u w:val="single"/>
          <w:rtl w:val="0"/>
        </w:rPr>
        <w:t xml:space="preserve">Syllabus:</w:t>
      </w:r>
      <w:r w:rsidDel="00000000" w:rsidR="00000000" w:rsidRPr="00000000">
        <w:rPr>
          <w:rtl w:val="0"/>
        </w:rPr>
        <w:t xml:space="preserve"> The instructor reserves the right to alter the schedule and content of this. Syllabus in order to accommodate the needs of the students and/or in light of university and academic schedule changes.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21"/>
          <w:szCs w:val="21"/>
        </w:rPr>
      </w:pPr>
      <w:r w:rsidDel="00000000" w:rsidR="00000000" w:rsidRPr="00000000">
        <w:rPr>
          <w:rtl w:val="0"/>
        </w:rPr>
      </w:r>
    </w:p>
    <w:p w:rsidR="00000000" w:rsidDel="00000000" w:rsidP="00000000" w:rsidRDefault="00000000" w:rsidRPr="00000000" w14:paraId="00000057">
      <w:pPr>
        <w:ind w:left="119" w:firstLine="0"/>
        <w:rPr>
          <w:sz w:val="21"/>
          <w:szCs w:val="21"/>
        </w:rPr>
      </w:pPr>
      <w:r w:rsidDel="00000000" w:rsidR="00000000" w:rsidRPr="00000000">
        <w:rPr>
          <w:b w:val="1"/>
          <w:sz w:val="21"/>
          <w:szCs w:val="21"/>
          <w:rtl w:val="0"/>
        </w:rPr>
        <w:t xml:space="preserve">Students with Disabilities: </w:t>
      </w:r>
      <w:r w:rsidDel="00000000" w:rsidR="00000000" w:rsidRPr="00000000">
        <w:rPr>
          <w:sz w:val="21"/>
          <w:szCs w:val="21"/>
          <w:rtl w:val="0"/>
        </w:rPr>
        <w:t xml:space="preserve">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000000" w:rsidDel="00000000" w:rsidP="00000000" w:rsidRDefault="00000000" w:rsidRPr="00000000" w14:paraId="00000058">
      <w:pPr>
        <w:spacing w:before="2" w:lineRule="auto"/>
        <w:rPr>
          <w:sz w:val="21"/>
          <w:szCs w:val="2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4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Accommodations: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000000" w:rsidDel="00000000" w:rsidP="00000000" w:rsidRDefault="00000000" w:rsidRPr="00000000" w14:paraId="0000005A">
      <w:pPr>
        <w:spacing w:before="7" w:lineRule="auto"/>
        <w:rPr>
          <w:b w:val="1"/>
          <w:sz w:val="21"/>
          <w:szCs w:val="21"/>
          <w:u w:val="single"/>
        </w:rPr>
      </w:pPr>
      <w:r w:rsidDel="00000000" w:rsidR="00000000" w:rsidRPr="00000000">
        <w:rPr>
          <w:rtl w:val="0"/>
        </w:rPr>
      </w:r>
    </w:p>
    <w:p w:rsidR="00000000" w:rsidDel="00000000" w:rsidP="00000000" w:rsidRDefault="00000000" w:rsidRPr="00000000" w14:paraId="0000005B">
      <w:pPr>
        <w:spacing w:before="7" w:lineRule="auto"/>
        <w:rPr>
          <w:sz w:val="21"/>
          <w:szCs w:val="21"/>
        </w:rPr>
      </w:pPr>
      <w:r w:rsidDel="00000000" w:rsidR="00000000" w:rsidRPr="00000000">
        <w:rPr>
          <w:b w:val="1"/>
          <w:sz w:val="21"/>
          <w:szCs w:val="21"/>
          <w:u w:val="single"/>
          <w:rtl w:val="0"/>
        </w:rPr>
        <w:t xml:space="preserve">Email Communication:</w:t>
      </w:r>
      <w:r w:rsidDel="00000000" w:rsidR="00000000" w:rsidRPr="00000000">
        <w:rPr>
          <w:sz w:val="21"/>
          <w:szCs w:val="21"/>
          <w:rtl w:val="0"/>
        </w:rPr>
        <w:t xml:space="preserve"> As a future educator, you are expected to be professional in your email communications. Your emails should use professional tone. Please use the email address on the first page to contact me. </w:t>
      </w:r>
      <w:r w:rsidDel="00000000" w:rsidR="00000000" w:rsidRPr="00000000">
        <w:rPr>
          <w:b w:val="1"/>
          <w:sz w:val="21"/>
          <w:szCs w:val="21"/>
          <w:rtl w:val="0"/>
        </w:rPr>
        <w:t xml:space="preserve">DO NOT USE CANVAS MESSAGING.</w:t>
      </w:r>
      <w:r w:rsidDel="00000000" w:rsidR="00000000" w:rsidRPr="00000000">
        <w:rPr>
          <w:sz w:val="21"/>
          <w:szCs w:val="21"/>
          <w:rtl w:val="0"/>
        </w:rPr>
        <w:t xml:space="preserve"> When you email me, please, use the appropriate for of address---</w:t>
      </w:r>
    </w:p>
    <w:p w:rsidR="00000000" w:rsidDel="00000000" w:rsidP="00000000" w:rsidRDefault="00000000" w:rsidRPr="00000000" w14:paraId="0000005C">
      <w:pPr>
        <w:ind w:left="280" w:right="1462" w:firstLine="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 3000 Diversity of Learners and Settings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Semester Hours)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Syllabus Prepared: August 2025</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251" w:hanging="131.99999999999997"/>
      </w:pPr>
      <w:rPr>
        <w:rFonts w:ascii="Times New Roman" w:cs="Times New Roman" w:eastAsia="Times New Roman" w:hAnsi="Times New Roman"/>
        <w:sz w:val="22"/>
        <w:szCs w:val="22"/>
      </w:rPr>
    </w:lvl>
    <w:lvl w:ilvl="1">
      <w:start w:val="1"/>
      <w:numFmt w:val="bullet"/>
      <w:lvlText w:val="•"/>
      <w:lvlJc w:val="left"/>
      <w:pPr>
        <w:ind w:left="1118" w:hanging="132"/>
      </w:pPr>
      <w:rPr/>
    </w:lvl>
    <w:lvl w:ilvl="2">
      <w:start w:val="1"/>
      <w:numFmt w:val="bullet"/>
      <w:lvlText w:val="•"/>
      <w:lvlJc w:val="left"/>
      <w:pPr>
        <w:ind w:left="1976" w:hanging="132"/>
      </w:pPr>
      <w:rPr/>
    </w:lvl>
    <w:lvl w:ilvl="3">
      <w:start w:val="1"/>
      <w:numFmt w:val="bullet"/>
      <w:lvlText w:val="•"/>
      <w:lvlJc w:val="left"/>
      <w:pPr>
        <w:ind w:left="2834" w:hanging="132"/>
      </w:pPr>
      <w:rPr/>
    </w:lvl>
    <w:lvl w:ilvl="4">
      <w:start w:val="1"/>
      <w:numFmt w:val="bullet"/>
      <w:lvlText w:val="•"/>
      <w:lvlJc w:val="left"/>
      <w:pPr>
        <w:ind w:left="3692" w:hanging="132"/>
      </w:pPr>
      <w:rPr/>
    </w:lvl>
    <w:lvl w:ilvl="5">
      <w:start w:val="1"/>
      <w:numFmt w:val="bullet"/>
      <w:lvlText w:val="•"/>
      <w:lvlJc w:val="left"/>
      <w:pPr>
        <w:ind w:left="4550" w:hanging="132"/>
      </w:pPr>
      <w:rPr/>
    </w:lvl>
    <w:lvl w:ilvl="6">
      <w:start w:val="1"/>
      <w:numFmt w:val="bullet"/>
      <w:lvlText w:val="•"/>
      <w:lvlJc w:val="left"/>
      <w:pPr>
        <w:ind w:left="5408" w:hanging="132.0000000000009"/>
      </w:pPr>
      <w:rPr/>
    </w:lvl>
    <w:lvl w:ilvl="7">
      <w:start w:val="1"/>
      <w:numFmt w:val="bullet"/>
      <w:lvlText w:val="•"/>
      <w:lvlJc w:val="left"/>
      <w:pPr>
        <w:ind w:left="6266" w:hanging="132"/>
      </w:pPr>
      <w:rPr/>
    </w:lvl>
    <w:lvl w:ilvl="8">
      <w:start w:val="1"/>
      <w:numFmt w:val="bullet"/>
      <w:lvlText w:val="•"/>
      <w:lvlJc w:val="left"/>
      <w:pPr>
        <w:ind w:left="7124" w:hanging="132.0000000000009"/>
      </w:pPr>
      <w:rPr/>
    </w:lvl>
  </w:abstractNum>
  <w:abstractNum w:abstractNumId="4">
    <w:lvl w:ilvl="0">
      <w:start w:val="1"/>
      <w:numFmt w:val="decimal"/>
      <w:lvlText w:val="%1."/>
      <w:lvlJc w:val="left"/>
      <w:pPr>
        <w:ind w:left="939" w:hanging="360"/>
      </w:pPr>
      <w:rPr>
        <w:rFonts w:ascii="Times New Roman" w:cs="Times New Roman" w:eastAsia="Times New Roman" w:hAnsi="Times New Roman"/>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7320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320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320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7320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7320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7320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320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320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320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320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320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320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320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7320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320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3202"/>
    <w:rPr>
      <w:i w:val="1"/>
      <w:iCs w:val="1"/>
      <w:color w:val="404040" w:themeColor="text1" w:themeTint="0000BF"/>
    </w:rPr>
  </w:style>
  <w:style w:type="paragraph" w:styleId="ListParagraph">
    <w:name w:val="List Paragraph"/>
    <w:basedOn w:val="Normal"/>
    <w:uiPriority w:val="34"/>
    <w:qFormat w:val="1"/>
    <w:rsid w:val="00A73202"/>
    <w:pPr>
      <w:ind w:left="720"/>
      <w:contextualSpacing w:val="1"/>
    </w:pPr>
  </w:style>
  <w:style w:type="character" w:styleId="IntenseEmphasis">
    <w:name w:val="Intense Emphasis"/>
    <w:basedOn w:val="DefaultParagraphFont"/>
    <w:uiPriority w:val="21"/>
    <w:qFormat w:val="1"/>
    <w:rsid w:val="00A73202"/>
    <w:rPr>
      <w:i w:val="1"/>
      <w:iCs w:val="1"/>
      <w:color w:val="0f4761" w:themeColor="accent1" w:themeShade="0000BF"/>
    </w:rPr>
  </w:style>
  <w:style w:type="paragraph" w:styleId="IntenseQuote">
    <w:name w:val="Intense Quote"/>
    <w:basedOn w:val="Normal"/>
    <w:next w:val="Normal"/>
    <w:link w:val="IntenseQuoteChar"/>
    <w:uiPriority w:val="30"/>
    <w:qFormat w:val="1"/>
    <w:rsid w:val="00A7320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3202"/>
    <w:rPr>
      <w:i w:val="1"/>
      <w:iCs w:val="1"/>
      <w:color w:val="0f4761" w:themeColor="accent1" w:themeShade="0000BF"/>
    </w:rPr>
  </w:style>
  <w:style w:type="character" w:styleId="IntenseReference">
    <w:name w:val="Intense Reference"/>
    <w:basedOn w:val="DefaultParagraphFont"/>
    <w:uiPriority w:val="32"/>
    <w:qFormat w:val="1"/>
    <w:rsid w:val="00A73202"/>
    <w:rPr>
      <w:b w:val="1"/>
      <w:bCs w:val="1"/>
      <w:smallCaps w:val="1"/>
      <w:color w:val="0f4761" w:themeColor="accent1" w:themeShade="0000BF"/>
      <w:spacing w:val="5"/>
    </w:rPr>
  </w:style>
  <w:style w:type="paragraph" w:styleId="Header">
    <w:name w:val="header"/>
    <w:basedOn w:val="Normal"/>
    <w:link w:val="HeaderChar"/>
    <w:uiPriority w:val="99"/>
    <w:unhideWhenUsed w:val="1"/>
    <w:rsid w:val="00A73202"/>
    <w:pPr>
      <w:tabs>
        <w:tab w:val="center" w:pos="4680"/>
        <w:tab w:val="right" w:pos="9360"/>
      </w:tabs>
    </w:pPr>
  </w:style>
  <w:style w:type="character" w:styleId="HeaderChar" w:customStyle="1">
    <w:name w:val="Header Char"/>
    <w:basedOn w:val="DefaultParagraphFont"/>
    <w:link w:val="Header"/>
    <w:uiPriority w:val="99"/>
    <w:rsid w:val="00A73202"/>
    <w:rPr>
      <w:kern w:val="0"/>
      <w:sz w:val="22"/>
      <w:szCs w:val="22"/>
    </w:rPr>
  </w:style>
  <w:style w:type="paragraph" w:styleId="Footer">
    <w:name w:val="footer"/>
    <w:basedOn w:val="Normal"/>
    <w:link w:val="FooterChar"/>
    <w:uiPriority w:val="99"/>
    <w:unhideWhenUsed w:val="1"/>
    <w:rsid w:val="00A73202"/>
    <w:pPr>
      <w:tabs>
        <w:tab w:val="center" w:pos="4680"/>
        <w:tab w:val="right" w:pos="9360"/>
      </w:tabs>
    </w:pPr>
  </w:style>
  <w:style w:type="character" w:styleId="FooterChar" w:customStyle="1">
    <w:name w:val="Footer Char"/>
    <w:basedOn w:val="DefaultParagraphFont"/>
    <w:link w:val="Footer"/>
    <w:uiPriority w:val="99"/>
    <w:rsid w:val="00A73202"/>
    <w:rPr>
      <w:kern w:val="0"/>
      <w:sz w:val="22"/>
      <w:szCs w:val="22"/>
    </w:rPr>
  </w:style>
  <w:style w:type="character" w:styleId="Hyperlink">
    <w:name w:val="Hyperlink"/>
    <w:basedOn w:val="DefaultParagraphFont"/>
    <w:uiPriority w:val="99"/>
    <w:unhideWhenUsed w:val="1"/>
    <w:rsid w:val="00FA2733"/>
    <w:rPr>
      <w:color w:val="467886" w:themeColor="hyperlink"/>
      <w:u w:val="single"/>
    </w:rPr>
  </w:style>
  <w:style w:type="character" w:styleId="UnresolvedMention">
    <w:name w:val="Unresolved Mention"/>
    <w:basedOn w:val="DefaultParagraphFont"/>
    <w:uiPriority w:val="99"/>
    <w:semiHidden w:val="1"/>
    <w:unhideWhenUsed w:val="1"/>
    <w:rsid w:val="00FA2733"/>
    <w:rPr>
      <w:color w:val="605e5c"/>
      <w:shd w:color="auto" w:fill="e1dfdd" w:val="clear"/>
    </w:rPr>
  </w:style>
  <w:style w:type="table" w:styleId="TableGrid">
    <w:name w:val="Table Grid"/>
    <w:basedOn w:val="TableNormal"/>
    <w:uiPriority w:val="39"/>
    <w:rsid w:val="00426B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7E0CB3"/>
    <w:rPr>
      <w:color w:val="96607d" w:themeColor="followedHyperlink"/>
      <w:u w:val="single"/>
    </w:rPr>
  </w:style>
  <w:style w:type="paragraph" w:styleId="TableParagraph" w:customStyle="1">
    <w:name w:val="Table Paragraph"/>
    <w:basedOn w:val="Normal"/>
    <w:uiPriority w:val="1"/>
    <w:qFormat w:val="1"/>
    <w:rsid w:val="00E20262"/>
  </w:style>
  <w:style w:type="paragraph" w:styleId="NormalWeb">
    <w:name w:val="Normal (Web)"/>
    <w:basedOn w:val="Normal"/>
    <w:uiPriority w:val="99"/>
    <w:unhideWhenUsed w:val="1"/>
    <w:rsid w:val="00A55528"/>
    <w:pPr>
      <w:spacing w:after="100" w:afterAutospacing="1" w:before="100" w:beforeAutospacing="1"/>
    </w:pPr>
  </w:style>
  <w:style w:type="character" w:styleId="Strong">
    <w:name w:val="Strong"/>
    <w:basedOn w:val="DefaultParagraphFont"/>
    <w:uiPriority w:val="22"/>
    <w:qFormat w:val="1"/>
    <w:rsid w:val="00A55528"/>
    <w:rPr>
      <w:b w:val="1"/>
      <w:bCs w:val="1"/>
    </w:rPr>
  </w:style>
  <w:style w:type="paragraph" w:styleId="BodyText">
    <w:name w:val="Body Text"/>
    <w:basedOn w:val="Normal"/>
    <w:link w:val="BodyTextChar"/>
    <w:uiPriority w:val="1"/>
    <w:qFormat w:val="1"/>
    <w:rsid w:val="00C61C27"/>
    <w:pPr>
      <w:widowControl w:val="0"/>
      <w:ind w:left="252"/>
    </w:pPr>
    <w:rPr>
      <w:rFonts w:cstheme="minorBidi"/>
      <w:sz w:val="22"/>
      <w:szCs w:val="22"/>
    </w:rPr>
  </w:style>
  <w:style w:type="character" w:styleId="BodyTextChar" w:customStyle="1">
    <w:name w:val="Body Text Char"/>
    <w:basedOn w:val="DefaultParagraphFont"/>
    <w:link w:val="BodyText"/>
    <w:uiPriority w:val="1"/>
    <w:rsid w:val="00C61C27"/>
    <w:rPr>
      <w:rFonts w:ascii="Times New Roman" w:eastAsia="Times New Roman" w:hAnsi="Times New Roman"/>
      <w:kern w:val="0"/>
      <w:sz w:val="22"/>
      <w:szCs w:val="22"/>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dr0002@auburn.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wdchCGjdvGeHGqCk3VJIyaEaQ==">CgMxLjA4AHIhMUkxcWtTbUNOVHduc2VmOXp5UUExN2daTmRHbXR4V0tu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2025-01-15T15:24:00Z</dcterms:created>
  <dc:creator>LaKendrick Richardson</dc:creator>
</cp:coreProperties>
</file>