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6DFBF" w14:textId="77777777" w:rsidR="00383784" w:rsidRDefault="00000000">
      <w:pPr>
        <w:spacing w:after="0" w:line="259" w:lineRule="auto"/>
        <w:ind w:left="0" w:right="13" w:firstLine="0"/>
        <w:jc w:val="center"/>
      </w:pPr>
      <w:r>
        <w:rPr>
          <w:rFonts w:cs="Calibri"/>
          <w:b/>
          <w:sz w:val="28"/>
        </w:rPr>
        <w:t xml:space="preserve">Motor Learning and Performance </w:t>
      </w:r>
    </w:p>
    <w:tbl>
      <w:tblPr>
        <w:tblStyle w:val="TableGrid"/>
        <w:tblW w:w="9418" w:type="dxa"/>
        <w:tblInd w:w="0" w:type="dxa"/>
        <w:tblCellMar>
          <w:top w:w="0" w:type="dxa"/>
          <w:left w:w="0" w:type="dxa"/>
          <w:bottom w:w="0" w:type="dxa"/>
          <w:right w:w="0" w:type="dxa"/>
        </w:tblCellMar>
        <w:tblLook w:val="04A0" w:firstRow="1" w:lastRow="0" w:firstColumn="1" w:lastColumn="0" w:noHBand="0" w:noVBand="1"/>
      </w:tblPr>
      <w:tblGrid>
        <w:gridCol w:w="2161"/>
        <w:gridCol w:w="7257"/>
      </w:tblGrid>
      <w:tr w:rsidR="00383784" w14:paraId="6074CBFD" w14:textId="77777777">
        <w:trPr>
          <w:trHeight w:val="2286"/>
        </w:trPr>
        <w:tc>
          <w:tcPr>
            <w:tcW w:w="9418" w:type="dxa"/>
            <w:gridSpan w:val="2"/>
            <w:tcBorders>
              <w:top w:val="nil"/>
              <w:left w:val="nil"/>
              <w:bottom w:val="nil"/>
              <w:right w:val="nil"/>
            </w:tcBorders>
          </w:tcPr>
          <w:p w14:paraId="01F25F4F" w14:textId="77777777" w:rsidR="00383784" w:rsidRDefault="00000000">
            <w:pPr>
              <w:tabs>
                <w:tab w:val="center" w:pos="1441"/>
                <w:tab w:val="center" w:pos="2973"/>
                <w:tab w:val="center" w:pos="4322"/>
                <w:tab w:val="center" w:pos="5042"/>
              </w:tabs>
              <w:spacing w:after="235" w:line="259" w:lineRule="auto"/>
              <w:ind w:left="0" w:right="0" w:firstLine="0"/>
              <w:jc w:val="left"/>
            </w:pPr>
            <w:r>
              <w:rPr>
                <w:b/>
              </w:rPr>
              <w:t xml:space="preserve">Instructor: </w:t>
            </w:r>
            <w:r>
              <w:rPr>
                <w:b/>
              </w:rPr>
              <w:tab/>
              <w:t xml:space="preserve"> </w:t>
            </w:r>
            <w:r>
              <w:rPr>
                <w:b/>
              </w:rPr>
              <w:tab/>
            </w:r>
            <w:r>
              <w:t xml:space="preserve">Ford Dyke, Ph.D.  </w:t>
            </w:r>
            <w:r>
              <w:tab/>
              <w:t xml:space="preserve"> </w:t>
            </w:r>
            <w:r>
              <w:tab/>
              <w:t xml:space="preserve"> </w:t>
            </w:r>
          </w:p>
          <w:p w14:paraId="4A3F00A9" w14:textId="77777777" w:rsidR="00383784" w:rsidRDefault="00000000">
            <w:pPr>
              <w:tabs>
                <w:tab w:val="center" w:pos="1441"/>
                <w:tab w:val="center" w:pos="3272"/>
              </w:tabs>
              <w:spacing w:after="219" w:line="259" w:lineRule="auto"/>
              <w:ind w:left="0" w:right="0" w:firstLine="0"/>
              <w:jc w:val="left"/>
            </w:pPr>
            <w:r>
              <w:rPr>
                <w:b/>
              </w:rPr>
              <w:t xml:space="preserve">E-mail:  </w:t>
            </w:r>
            <w:r>
              <w:rPr>
                <w:b/>
              </w:rPr>
              <w:tab/>
              <w:t xml:space="preserve"> </w:t>
            </w:r>
            <w:r>
              <w:rPr>
                <w:b/>
              </w:rPr>
              <w:tab/>
            </w:r>
            <w:r>
              <w:t xml:space="preserve">FBD0001@auburn.edu  </w:t>
            </w:r>
          </w:p>
          <w:p w14:paraId="6E093E9E" w14:textId="77777777" w:rsidR="00383784" w:rsidRDefault="00000000">
            <w:pPr>
              <w:spacing w:after="196" w:line="279" w:lineRule="auto"/>
              <w:ind w:left="2161" w:right="0" w:hanging="2161"/>
            </w:pPr>
            <w:r>
              <w:rPr>
                <w:b/>
              </w:rPr>
              <w:t>Course Description:</w:t>
            </w:r>
            <w:r>
              <w:t xml:space="preserve"> Understanding of the basic psychological processes in the learning and control of skillful human movement. </w:t>
            </w:r>
          </w:p>
          <w:p w14:paraId="73B42177" w14:textId="77777777" w:rsidR="00383784" w:rsidRDefault="00000000">
            <w:pPr>
              <w:spacing w:after="0" w:line="259" w:lineRule="auto"/>
              <w:ind w:left="0" w:right="0" w:firstLine="0"/>
            </w:pPr>
            <w:r>
              <w:rPr>
                <w:b/>
              </w:rPr>
              <w:t xml:space="preserve">Learning Outcomes:  </w:t>
            </w:r>
            <w:r>
              <w:t xml:space="preserve">Students will understand the fundamentals of motor learning and </w:t>
            </w:r>
          </w:p>
        </w:tc>
      </w:tr>
      <w:tr w:rsidR="00383784" w14:paraId="74FC8838" w14:textId="77777777">
        <w:trPr>
          <w:trHeight w:val="390"/>
        </w:trPr>
        <w:tc>
          <w:tcPr>
            <w:tcW w:w="2161" w:type="dxa"/>
            <w:tcBorders>
              <w:top w:val="nil"/>
              <w:left w:val="nil"/>
              <w:bottom w:val="nil"/>
              <w:right w:val="nil"/>
            </w:tcBorders>
          </w:tcPr>
          <w:p w14:paraId="7BC28931" w14:textId="77777777" w:rsidR="00383784" w:rsidRDefault="00383784">
            <w:pPr>
              <w:spacing w:after="160" w:line="259" w:lineRule="auto"/>
              <w:ind w:left="0" w:right="0" w:firstLine="0"/>
              <w:jc w:val="left"/>
            </w:pPr>
          </w:p>
        </w:tc>
        <w:tc>
          <w:tcPr>
            <w:tcW w:w="7256" w:type="dxa"/>
            <w:tcBorders>
              <w:top w:val="nil"/>
              <w:left w:val="nil"/>
              <w:bottom w:val="nil"/>
              <w:right w:val="nil"/>
            </w:tcBorders>
          </w:tcPr>
          <w:p w14:paraId="7116064C" w14:textId="77777777" w:rsidR="00383784" w:rsidRDefault="00000000">
            <w:pPr>
              <w:spacing w:after="0" w:line="259" w:lineRule="auto"/>
              <w:ind w:left="0" w:right="0" w:firstLine="0"/>
              <w:jc w:val="left"/>
            </w:pPr>
            <w:r>
              <w:t xml:space="preserve">performance. </w:t>
            </w:r>
          </w:p>
        </w:tc>
      </w:tr>
      <w:tr w:rsidR="00383784" w14:paraId="2797C479" w14:textId="77777777">
        <w:trPr>
          <w:trHeight w:val="1210"/>
        </w:trPr>
        <w:tc>
          <w:tcPr>
            <w:tcW w:w="2161" w:type="dxa"/>
            <w:tcBorders>
              <w:top w:val="nil"/>
              <w:left w:val="nil"/>
              <w:bottom w:val="nil"/>
              <w:right w:val="nil"/>
            </w:tcBorders>
          </w:tcPr>
          <w:p w14:paraId="1702BADE" w14:textId="77777777" w:rsidR="00383784" w:rsidRDefault="00000000">
            <w:pPr>
              <w:spacing w:after="0" w:line="259" w:lineRule="auto"/>
              <w:ind w:left="0" w:right="0" w:firstLine="0"/>
              <w:jc w:val="left"/>
            </w:pPr>
            <w:r>
              <w:rPr>
                <w:b/>
              </w:rPr>
              <w:t xml:space="preserve">Course Policies:  </w:t>
            </w:r>
          </w:p>
        </w:tc>
        <w:tc>
          <w:tcPr>
            <w:tcW w:w="7256" w:type="dxa"/>
            <w:tcBorders>
              <w:top w:val="nil"/>
              <w:left w:val="nil"/>
              <w:bottom w:val="nil"/>
              <w:right w:val="nil"/>
            </w:tcBorders>
            <w:vAlign w:val="center"/>
          </w:tcPr>
          <w:p w14:paraId="5EC78720" w14:textId="77777777" w:rsidR="00383784" w:rsidRDefault="00000000">
            <w:pPr>
              <w:spacing w:after="0" w:line="259" w:lineRule="auto"/>
              <w:ind w:left="0" w:right="55" w:firstLine="0"/>
            </w:pPr>
            <w:r>
              <w:t xml:space="preserve">This course will be supported by Auburn University’s Canvas platform. The course syllabus, assignments, grades, and announcements will be posted directly to the Canvas site. Check the platform for this course frequently. </w:t>
            </w:r>
          </w:p>
        </w:tc>
      </w:tr>
      <w:tr w:rsidR="00383784" w14:paraId="14AD4C11" w14:textId="77777777">
        <w:trPr>
          <w:trHeight w:val="3086"/>
        </w:trPr>
        <w:tc>
          <w:tcPr>
            <w:tcW w:w="2161" w:type="dxa"/>
            <w:tcBorders>
              <w:top w:val="nil"/>
              <w:left w:val="nil"/>
              <w:bottom w:val="nil"/>
              <w:right w:val="nil"/>
            </w:tcBorders>
          </w:tcPr>
          <w:p w14:paraId="04591460" w14:textId="77777777" w:rsidR="00383784" w:rsidRDefault="00000000">
            <w:pPr>
              <w:spacing w:after="0" w:line="259" w:lineRule="auto"/>
              <w:ind w:left="0" w:right="0" w:firstLine="0"/>
              <w:jc w:val="left"/>
            </w:pPr>
            <w:r>
              <w:t xml:space="preserve"> </w:t>
            </w:r>
          </w:p>
        </w:tc>
        <w:tc>
          <w:tcPr>
            <w:tcW w:w="7256" w:type="dxa"/>
            <w:tcBorders>
              <w:top w:val="nil"/>
              <w:left w:val="nil"/>
              <w:bottom w:val="nil"/>
              <w:right w:val="nil"/>
            </w:tcBorders>
            <w:vAlign w:val="bottom"/>
          </w:tcPr>
          <w:p w14:paraId="686F661D" w14:textId="77777777" w:rsidR="00383784" w:rsidRDefault="00000000">
            <w:pPr>
              <w:spacing w:after="0" w:line="259" w:lineRule="auto"/>
              <w:ind w:left="0" w:right="50" w:firstLine="0"/>
            </w:pPr>
            <w:r>
              <w:t xml:space="preserve">It is very important that students submit work on time, or they will find it very difficult to catch up. All coursework (quiz, assessment, etc.) is due by </w:t>
            </w:r>
            <w:r>
              <w:rPr>
                <w:b/>
              </w:rPr>
              <w:t>11:59PM CT</w:t>
            </w:r>
            <w:r>
              <w:t xml:space="preserve">. Any assignment that is submitted after the due date will </w:t>
            </w:r>
            <w:r>
              <w:rPr>
                <w:b/>
              </w:rPr>
              <w:t>not be accepted</w:t>
            </w:r>
            <w:r>
              <w:t xml:space="preserve">. Students should reach out to their instructor immediately to discuss any concerns. In situations where you are experiencing technical difficulties submitting your assignment near the deadline, </w:t>
            </w:r>
            <w:r>
              <w:rPr>
                <w:b/>
              </w:rPr>
              <w:t>please consult the Canvas help desk</w:t>
            </w:r>
            <w:r>
              <w:t xml:space="preserve">. Work to avoid encountering technical difficulties near the assignment due dates by completing your work ahead of deadlines. </w:t>
            </w:r>
          </w:p>
        </w:tc>
      </w:tr>
    </w:tbl>
    <w:p w14:paraId="574BE05F" w14:textId="77777777" w:rsidR="00383784" w:rsidRDefault="00000000">
      <w:pPr>
        <w:pStyle w:val="Heading1"/>
        <w:spacing w:after="214"/>
        <w:ind w:left="-5"/>
      </w:pPr>
      <w:r>
        <w:t>Evaluation</w:t>
      </w:r>
      <w:r>
        <w:rPr>
          <w:b w:val="0"/>
        </w:rPr>
        <w:t xml:space="preserve"> </w:t>
      </w:r>
    </w:p>
    <w:p w14:paraId="14EB7F32" w14:textId="77777777" w:rsidR="00383784" w:rsidRDefault="00000000">
      <w:pPr>
        <w:pStyle w:val="Heading2"/>
        <w:ind w:left="-5"/>
      </w:pPr>
      <w:r>
        <w:t>Quizzes</w:t>
      </w:r>
      <w:r>
        <w:rPr>
          <w:u w:val="none"/>
        </w:rPr>
        <w:t xml:space="preserve"> </w:t>
      </w:r>
    </w:p>
    <w:p w14:paraId="297B5D1C" w14:textId="77777777" w:rsidR="00383784" w:rsidRDefault="00000000">
      <w:pPr>
        <w:ind w:left="-5" w:right="0"/>
      </w:pPr>
      <w:r>
        <w:rPr>
          <w:rFonts w:cs="Calibri"/>
          <w:noProof/>
          <w:sz w:val="22"/>
        </w:rPr>
        <mc:AlternateContent>
          <mc:Choice Requires="wpg">
            <w:drawing>
              <wp:anchor distT="0" distB="0" distL="114300" distR="114300" simplePos="0" relativeHeight="251658240" behindDoc="1" locked="0" layoutInCell="1" allowOverlap="1" wp14:anchorId="2389F3E2" wp14:editId="7E5DE6F6">
                <wp:simplePos x="0" y="0"/>
                <wp:positionH relativeFrom="column">
                  <wp:posOffset>3827463</wp:posOffset>
                </wp:positionH>
                <wp:positionV relativeFrom="paragraph">
                  <wp:posOffset>-32066</wp:posOffset>
                </wp:positionV>
                <wp:extent cx="2118741" cy="187643"/>
                <wp:effectExtent l="0" t="0" r="0" b="0"/>
                <wp:wrapNone/>
                <wp:docPr id="3656" name="Group 3656"/>
                <wp:cNvGraphicFramePr/>
                <a:graphic xmlns:a="http://schemas.openxmlformats.org/drawingml/2006/main">
                  <a:graphicData uri="http://schemas.microsoft.com/office/word/2010/wordprocessingGroup">
                    <wpg:wgp>
                      <wpg:cNvGrpSpPr/>
                      <wpg:grpSpPr>
                        <a:xfrm>
                          <a:off x="0" y="0"/>
                          <a:ext cx="2118741" cy="187643"/>
                          <a:chOff x="0" y="0"/>
                          <a:chExt cx="2118741" cy="187643"/>
                        </a:xfrm>
                      </wpg:grpSpPr>
                      <wps:wsp>
                        <wps:cNvPr id="4672" name="Shape 4672"/>
                        <wps:cNvSpPr/>
                        <wps:spPr>
                          <a:xfrm>
                            <a:off x="0" y="0"/>
                            <a:ext cx="2118741" cy="187643"/>
                          </a:xfrm>
                          <a:custGeom>
                            <a:avLst/>
                            <a:gdLst/>
                            <a:ahLst/>
                            <a:cxnLst/>
                            <a:rect l="0" t="0" r="0" b="0"/>
                            <a:pathLst>
                              <a:path w="2118741" h="187643">
                                <a:moveTo>
                                  <a:pt x="0" y="0"/>
                                </a:moveTo>
                                <a:lnTo>
                                  <a:pt x="2118741" y="0"/>
                                </a:lnTo>
                                <a:lnTo>
                                  <a:pt x="2118741" y="187643"/>
                                </a:lnTo>
                                <a:lnTo>
                                  <a:pt x="0" y="18764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656" style="width:166.83pt;height:14.775pt;position:absolute;z-index:-2147483564;mso-position-horizontal-relative:text;mso-position-horizontal:absolute;margin-left:301.375pt;mso-position-vertical-relative:text;margin-top:-2.52496pt;" coordsize="21187,1876">
                <v:shape id="Shape 4673" style="position:absolute;width:21187;height:1876;left:0;top:0;" coordsize="2118741,187643" path="m0,0l2118741,0l2118741,187643l0,187643l0,0">
                  <v:stroke weight="0pt" endcap="flat" joinstyle="miter" miterlimit="10" on="false" color="#000000" opacity="0"/>
                  <v:fill on="true" color="#ffff00"/>
                </v:shape>
              </v:group>
            </w:pict>
          </mc:Fallback>
        </mc:AlternateContent>
      </w:r>
      <w:r>
        <w:rPr>
          <w:rFonts w:cs="Calibri"/>
          <w:noProof/>
          <w:sz w:val="22"/>
        </w:rPr>
        <mc:AlternateContent>
          <mc:Choice Requires="wpg">
            <w:drawing>
              <wp:anchor distT="0" distB="0" distL="114300" distR="114300" simplePos="0" relativeHeight="251659264" behindDoc="1" locked="0" layoutInCell="1" allowOverlap="1" wp14:anchorId="73725E9B" wp14:editId="05A44817">
                <wp:simplePos x="0" y="0"/>
                <wp:positionH relativeFrom="column">
                  <wp:posOffset>0</wp:posOffset>
                </wp:positionH>
                <wp:positionV relativeFrom="paragraph">
                  <wp:posOffset>155576</wp:posOffset>
                </wp:positionV>
                <wp:extent cx="4570730" cy="187325"/>
                <wp:effectExtent l="0" t="0" r="0" b="0"/>
                <wp:wrapNone/>
                <wp:docPr id="3657" name="Group 3657"/>
                <wp:cNvGraphicFramePr/>
                <a:graphic xmlns:a="http://schemas.openxmlformats.org/drawingml/2006/main">
                  <a:graphicData uri="http://schemas.microsoft.com/office/word/2010/wordprocessingGroup">
                    <wpg:wgp>
                      <wpg:cNvGrpSpPr/>
                      <wpg:grpSpPr>
                        <a:xfrm>
                          <a:off x="0" y="0"/>
                          <a:ext cx="4570730" cy="187325"/>
                          <a:chOff x="0" y="0"/>
                          <a:chExt cx="4570730" cy="187325"/>
                        </a:xfrm>
                      </wpg:grpSpPr>
                      <wps:wsp>
                        <wps:cNvPr id="4674" name="Shape 4674"/>
                        <wps:cNvSpPr/>
                        <wps:spPr>
                          <a:xfrm>
                            <a:off x="0" y="0"/>
                            <a:ext cx="4570730" cy="187325"/>
                          </a:xfrm>
                          <a:custGeom>
                            <a:avLst/>
                            <a:gdLst/>
                            <a:ahLst/>
                            <a:cxnLst/>
                            <a:rect l="0" t="0" r="0" b="0"/>
                            <a:pathLst>
                              <a:path w="4570730" h="187325">
                                <a:moveTo>
                                  <a:pt x="0" y="0"/>
                                </a:moveTo>
                                <a:lnTo>
                                  <a:pt x="4570730" y="0"/>
                                </a:lnTo>
                                <a:lnTo>
                                  <a:pt x="4570730" y="187325"/>
                                </a:lnTo>
                                <a:lnTo>
                                  <a:pt x="0" y="1873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657" style="width:359.9pt;height:14.75pt;position:absolute;z-index:-2147483551;mso-position-horizontal-relative:text;mso-position-horizontal:absolute;margin-left:0pt;mso-position-vertical-relative:text;margin-top:12.2501pt;" coordsize="45707,1873">
                <v:shape id="Shape 4675" style="position:absolute;width:45707;height:1873;left:0;top:0;" coordsize="4570730,187325" path="m0,0l4570730,0l4570730,187325l0,187325l0,0">
                  <v:stroke weight="0pt" endcap="flat" joinstyle="miter" miterlimit="10" on="false" color="#000000" opacity="0"/>
                  <v:fill on="true" color="#ffff00"/>
                </v:shape>
              </v:group>
            </w:pict>
          </mc:Fallback>
        </mc:AlternateContent>
      </w:r>
      <w:r>
        <w:t xml:space="preserve">There are 11 online quizzes online (via Canvas Assignments). Quizzes will </w:t>
      </w:r>
      <w:r>
        <w:rPr>
          <w:rFonts w:cs="Calibri"/>
          <w:b/>
          <w:u w:val="single" w:color="000000"/>
        </w:rPr>
        <w:t>ONLY</w:t>
      </w:r>
      <w:r>
        <w:t xml:space="preserve"> be available for completion from 12:00AM </w:t>
      </w:r>
      <w:r>
        <w:rPr>
          <w:rFonts w:cs="Calibri"/>
        </w:rPr>
        <w:t>–</w:t>
      </w:r>
      <w:r>
        <w:t xml:space="preserve"> 11:59PM CT on the corresponding due date; </w:t>
      </w:r>
      <w:r>
        <w:rPr>
          <w:rFonts w:cs="Calibri"/>
          <w:b/>
          <w:color w:val="FF0000"/>
        </w:rPr>
        <w:t xml:space="preserve">importantly, </w:t>
      </w:r>
      <w:r>
        <w:rPr>
          <w:rFonts w:cs="Calibri"/>
          <w:b/>
          <w:color w:val="FF0000"/>
          <w:u w:val="single" w:color="FF0000"/>
        </w:rPr>
        <w:t>quizzes</w:t>
      </w:r>
      <w:r>
        <w:rPr>
          <w:rFonts w:cs="Calibri"/>
          <w:b/>
          <w:color w:val="FF0000"/>
        </w:rPr>
        <w:t xml:space="preserve"> </w:t>
      </w:r>
      <w:r>
        <w:rPr>
          <w:rFonts w:cs="Calibri"/>
          <w:b/>
          <w:color w:val="FF0000"/>
          <w:u w:val="single" w:color="FF0000"/>
        </w:rPr>
        <w:t>MUST BE completed by 11:59PM</w:t>
      </w:r>
      <w:r>
        <w:rPr>
          <w:rFonts w:cs="Calibri"/>
          <w:b/>
        </w:rPr>
        <w:t>.</w:t>
      </w:r>
      <w:r>
        <w:t xml:space="preserve"> Quizzes are weighted based on the number of questions they contain (i.e., if Quiz 1 contains 10 questions, and Quiz 2 contains 15 questions, then each will be worth 10 and 15 points, respectively).  </w:t>
      </w:r>
    </w:p>
    <w:p w14:paraId="7CAFBAA2" w14:textId="77777777" w:rsidR="00383784" w:rsidRDefault="00000000">
      <w:pPr>
        <w:spacing w:after="0" w:line="259" w:lineRule="auto"/>
        <w:ind w:left="49" w:right="0" w:firstLine="0"/>
        <w:jc w:val="center"/>
      </w:pPr>
      <w:r>
        <w:t xml:space="preserve"> </w:t>
      </w:r>
    </w:p>
    <w:p w14:paraId="7C97D348" w14:textId="77777777" w:rsidR="00383784" w:rsidRDefault="00000000">
      <w:pPr>
        <w:pStyle w:val="Heading2"/>
        <w:ind w:left="-5"/>
      </w:pPr>
      <w:r>
        <w:t>Assessments</w:t>
      </w:r>
      <w:r>
        <w:rPr>
          <w:u w:val="none"/>
        </w:rPr>
        <w:t xml:space="preserve"> </w:t>
      </w:r>
    </w:p>
    <w:p w14:paraId="679169B7" w14:textId="77777777" w:rsidR="00383784" w:rsidRDefault="00000000">
      <w:pPr>
        <w:ind w:left="-5" w:right="0"/>
      </w:pPr>
      <w:r>
        <w:rPr>
          <w:rFonts w:cs="Calibri"/>
          <w:noProof/>
          <w:sz w:val="22"/>
        </w:rPr>
        <mc:AlternateContent>
          <mc:Choice Requires="wpg">
            <w:drawing>
              <wp:anchor distT="0" distB="0" distL="114300" distR="114300" simplePos="0" relativeHeight="251660288" behindDoc="1" locked="0" layoutInCell="1" allowOverlap="1" wp14:anchorId="0A6E3D80" wp14:editId="423A123E">
                <wp:simplePos x="0" y="0"/>
                <wp:positionH relativeFrom="column">
                  <wp:posOffset>0</wp:posOffset>
                </wp:positionH>
                <wp:positionV relativeFrom="paragraph">
                  <wp:posOffset>527051</wp:posOffset>
                </wp:positionV>
                <wp:extent cx="5946204" cy="375031"/>
                <wp:effectExtent l="0" t="0" r="0" b="0"/>
                <wp:wrapNone/>
                <wp:docPr id="3658" name="Group 3658"/>
                <wp:cNvGraphicFramePr/>
                <a:graphic xmlns:a="http://schemas.openxmlformats.org/drawingml/2006/main">
                  <a:graphicData uri="http://schemas.microsoft.com/office/word/2010/wordprocessingGroup">
                    <wpg:wgp>
                      <wpg:cNvGrpSpPr/>
                      <wpg:grpSpPr>
                        <a:xfrm>
                          <a:off x="0" y="0"/>
                          <a:ext cx="5946204" cy="375031"/>
                          <a:chOff x="0" y="0"/>
                          <a:chExt cx="5946204" cy="375031"/>
                        </a:xfrm>
                      </wpg:grpSpPr>
                      <wps:wsp>
                        <wps:cNvPr id="4676" name="Shape 4676"/>
                        <wps:cNvSpPr/>
                        <wps:spPr>
                          <a:xfrm>
                            <a:off x="1311974" y="0"/>
                            <a:ext cx="4634230" cy="187325"/>
                          </a:xfrm>
                          <a:custGeom>
                            <a:avLst/>
                            <a:gdLst/>
                            <a:ahLst/>
                            <a:cxnLst/>
                            <a:rect l="0" t="0" r="0" b="0"/>
                            <a:pathLst>
                              <a:path w="4634230" h="187325">
                                <a:moveTo>
                                  <a:pt x="0" y="0"/>
                                </a:moveTo>
                                <a:lnTo>
                                  <a:pt x="4634230" y="0"/>
                                </a:lnTo>
                                <a:lnTo>
                                  <a:pt x="4634230" y="187325"/>
                                </a:lnTo>
                                <a:lnTo>
                                  <a:pt x="0" y="1873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77" name="Shape 4677"/>
                        <wps:cNvSpPr/>
                        <wps:spPr>
                          <a:xfrm>
                            <a:off x="0" y="187389"/>
                            <a:ext cx="5250561" cy="187642"/>
                          </a:xfrm>
                          <a:custGeom>
                            <a:avLst/>
                            <a:gdLst/>
                            <a:ahLst/>
                            <a:cxnLst/>
                            <a:rect l="0" t="0" r="0" b="0"/>
                            <a:pathLst>
                              <a:path w="5250561" h="187642">
                                <a:moveTo>
                                  <a:pt x="0" y="0"/>
                                </a:moveTo>
                                <a:lnTo>
                                  <a:pt x="5250561" y="0"/>
                                </a:lnTo>
                                <a:lnTo>
                                  <a:pt x="5250561" y="187642"/>
                                </a:lnTo>
                                <a:lnTo>
                                  <a:pt x="0" y="18764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658" style="width:468.205pt;height:29.53pt;position:absolute;z-index:-2147483514;mso-position-horizontal-relative:text;mso-position-horizontal:absolute;margin-left:0pt;mso-position-vertical-relative:text;margin-top:41.5001pt;" coordsize="59462,3750">
                <v:shape id="Shape 4678" style="position:absolute;width:46342;height:1873;left:13119;top:0;" coordsize="4634230,187325" path="m0,0l4634230,0l4634230,187325l0,187325l0,0">
                  <v:stroke weight="0pt" endcap="flat" joinstyle="miter" miterlimit="10" on="false" color="#000000" opacity="0"/>
                  <v:fill on="true" color="#ffff00"/>
                </v:shape>
                <v:shape id="Shape 4679" style="position:absolute;width:52505;height:1876;left:0;top:1873;" coordsize="5250561,187642" path="m0,0l5250561,0l5250561,187642l0,187642l0,0">
                  <v:stroke weight="0pt" endcap="flat" joinstyle="miter" miterlimit="10" on="false" color="#000000" opacity="0"/>
                  <v:fill on="true" color="#ffff00"/>
                </v:shape>
              </v:group>
            </w:pict>
          </mc:Fallback>
        </mc:AlternateContent>
      </w:r>
      <w:r>
        <w:t xml:space="preserve">There are four online assessments (Assessment 1, Assessment 2, Assessment 3 and Assessment 4). The assessments are weighted based on the number of questions (i.e., if Assessment 1 contains 50 questions, Assessment 2 contains 55 questions, then each will be worth 50 and 55 points, respectively). </w:t>
      </w:r>
      <w:r>
        <w:rPr>
          <w:u w:val="single" w:color="000000"/>
        </w:rPr>
        <w:t>If you do not complete an assessment for unexcused reasons, then you may</w:t>
      </w:r>
      <w:r>
        <w:t xml:space="preserve"> </w:t>
      </w:r>
      <w:r>
        <w:rPr>
          <w:u w:val="single" w:color="000000"/>
        </w:rPr>
        <w:t>not have the opportunity to complete the assessment and will receive a grade of zero.</w:t>
      </w:r>
      <w:r>
        <w:t xml:space="preserve"> If you have </w:t>
      </w:r>
      <w:r>
        <w:rPr>
          <w:rFonts w:cs="Calibri"/>
          <w:b/>
        </w:rPr>
        <w:t>university-based documentation</w:t>
      </w:r>
      <w:r>
        <w:t xml:space="preserve"> (i.e., excused absence), then a make-up assessment can be considered. </w:t>
      </w:r>
      <w:r>
        <w:rPr>
          <w:rFonts w:cs="Calibri"/>
          <w:b/>
        </w:rPr>
        <w:t xml:space="preserve"> </w:t>
      </w:r>
    </w:p>
    <w:p w14:paraId="5091755C" w14:textId="77777777" w:rsidR="00383784" w:rsidRDefault="00000000">
      <w:pPr>
        <w:spacing w:after="0" w:line="259" w:lineRule="auto"/>
        <w:ind w:left="0" w:right="0" w:firstLine="0"/>
        <w:jc w:val="left"/>
      </w:pPr>
      <w:r>
        <w:rPr>
          <w:rFonts w:cs="Calibri"/>
          <w:b/>
        </w:rPr>
        <w:t xml:space="preserve">Grading </w:t>
      </w:r>
      <w:r>
        <w:rPr>
          <w:sz w:val="20"/>
        </w:rPr>
        <w:t>(Note: Final grades containing decimals of .5 and above are rounded up to the nearest whole number.)</w:t>
      </w:r>
      <w:r>
        <w:rPr>
          <w:rFonts w:cs="Calibri"/>
          <w:b/>
        </w:rPr>
        <w:t xml:space="preserve"> </w:t>
      </w:r>
    </w:p>
    <w:p w14:paraId="77502921" w14:textId="77777777" w:rsidR="00383784" w:rsidRDefault="00000000">
      <w:pPr>
        <w:spacing w:after="0" w:line="259" w:lineRule="auto"/>
        <w:ind w:left="0" w:right="0" w:firstLine="0"/>
        <w:jc w:val="left"/>
      </w:pPr>
      <w:r>
        <w:lastRenderedPageBreak/>
        <w:t xml:space="preserve"> </w:t>
      </w:r>
    </w:p>
    <w:p w14:paraId="5946C79B" w14:textId="77777777" w:rsidR="00383784" w:rsidRDefault="00000000">
      <w:pPr>
        <w:ind w:left="-5" w:right="0"/>
      </w:pPr>
      <w:r>
        <w:t xml:space="preserve">Assignments contribute as follows to final class grade: </w:t>
      </w:r>
    </w:p>
    <w:p w14:paraId="0B645F73" w14:textId="77777777" w:rsidR="00383784" w:rsidRDefault="00000000">
      <w:pPr>
        <w:spacing w:after="0" w:line="259" w:lineRule="auto"/>
        <w:ind w:left="0" w:right="0" w:firstLine="0"/>
        <w:jc w:val="left"/>
      </w:pPr>
      <w:r>
        <w:t xml:space="preserve"> </w:t>
      </w:r>
    </w:p>
    <w:p w14:paraId="24AE85F6" w14:textId="77777777" w:rsidR="00383784" w:rsidRDefault="00000000">
      <w:pPr>
        <w:tabs>
          <w:tab w:val="center" w:pos="2469"/>
        </w:tabs>
        <w:ind w:left="-15" w:right="0" w:firstLine="0"/>
        <w:jc w:val="left"/>
      </w:pPr>
      <w:r>
        <w:t xml:space="preserve"> </w:t>
      </w:r>
      <w:r>
        <w:tab/>
        <w:t xml:space="preserve">Quizzes = 30% | Assessments = 70%  </w:t>
      </w:r>
    </w:p>
    <w:p w14:paraId="5655F745" w14:textId="77777777" w:rsidR="00383784" w:rsidRDefault="00000000">
      <w:pPr>
        <w:spacing w:after="0" w:line="259" w:lineRule="auto"/>
        <w:ind w:left="721" w:right="0" w:firstLine="0"/>
        <w:jc w:val="left"/>
      </w:pPr>
      <w:r>
        <w:t xml:space="preserve"> </w:t>
      </w:r>
    </w:p>
    <w:p w14:paraId="3AFC0827" w14:textId="77777777" w:rsidR="00383784" w:rsidRDefault="00000000">
      <w:pPr>
        <w:ind w:left="-5" w:right="0"/>
      </w:pPr>
      <w:r>
        <w:t xml:space="preserve">Percentages are associated with the following letter grades: </w:t>
      </w:r>
    </w:p>
    <w:p w14:paraId="71D1A432" w14:textId="77777777" w:rsidR="00383784" w:rsidRDefault="00000000">
      <w:pPr>
        <w:spacing w:after="0" w:line="259" w:lineRule="auto"/>
        <w:ind w:left="0" w:right="0" w:firstLine="0"/>
        <w:jc w:val="left"/>
      </w:pPr>
      <w:r>
        <w:t xml:space="preserve"> </w:t>
      </w:r>
    </w:p>
    <w:tbl>
      <w:tblPr>
        <w:tblStyle w:val="TableGrid"/>
        <w:tblW w:w="2265" w:type="dxa"/>
        <w:tblInd w:w="0" w:type="dxa"/>
        <w:tblCellMar>
          <w:top w:w="0" w:type="dxa"/>
          <w:left w:w="0" w:type="dxa"/>
          <w:bottom w:w="0" w:type="dxa"/>
          <w:right w:w="0" w:type="dxa"/>
        </w:tblCellMar>
        <w:tblLook w:val="04A0" w:firstRow="1" w:lastRow="0" w:firstColumn="1" w:lastColumn="0" w:noHBand="0" w:noVBand="1"/>
      </w:tblPr>
      <w:tblGrid>
        <w:gridCol w:w="1255"/>
        <w:gridCol w:w="1010"/>
      </w:tblGrid>
      <w:tr w:rsidR="00383784" w14:paraId="581C4283" w14:textId="77777777">
        <w:trPr>
          <w:trHeight w:val="565"/>
        </w:trPr>
        <w:tc>
          <w:tcPr>
            <w:tcW w:w="1256" w:type="dxa"/>
            <w:tcBorders>
              <w:top w:val="nil"/>
              <w:left w:val="nil"/>
              <w:bottom w:val="nil"/>
              <w:right w:val="nil"/>
            </w:tcBorders>
          </w:tcPr>
          <w:p w14:paraId="1294FED0" w14:textId="77777777" w:rsidR="00383784" w:rsidRDefault="00000000">
            <w:pPr>
              <w:tabs>
                <w:tab w:val="center" w:pos="825"/>
              </w:tabs>
              <w:spacing w:after="0" w:line="259" w:lineRule="auto"/>
              <w:ind w:left="0" w:right="0" w:firstLine="0"/>
              <w:jc w:val="left"/>
            </w:pPr>
            <w:r>
              <w:t xml:space="preserve"> </w:t>
            </w:r>
            <w:r>
              <w:tab/>
            </w:r>
            <w:r>
              <w:rPr>
                <w:b/>
              </w:rPr>
              <w:t>A</w:t>
            </w:r>
            <w:r>
              <w:t xml:space="preserve">: </w:t>
            </w:r>
          </w:p>
          <w:p w14:paraId="79003392" w14:textId="77777777" w:rsidR="00383784" w:rsidRDefault="00000000">
            <w:pPr>
              <w:spacing w:after="0" w:line="259" w:lineRule="auto"/>
              <w:ind w:left="0" w:right="0" w:firstLine="0"/>
              <w:jc w:val="left"/>
            </w:pPr>
            <w:r>
              <w:t xml:space="preserve"> </w:t>
            </w:r>
          </w:p>
        </w:tc>
        <w:tc>
          <w:tcPr>
            <w:tcW w:w="1010" w:type="dxa"/>
            <w:tcBorders>
              <w:top w:val="nil"/>
              <w:left w:val="nil"/>
              <w:bottom w:val="nil"/>
              <w:right w:val="nil"/>
            </w:tcBorders>
          </w:tcPr>
          <w:p w14:paraId="17C76938" w14:textId="77777777" w:rsidR="00383784" w:rsidRDefault="00000000">
            <w:pPr>
              <w:spacing w:after="0" w:line="259" w:lineRule="auto"/>
              <w:ind w:left="185" w:right="0" w:firstLine="0"/>
              <w:jc w:val="left"/>
            </w:pPr>
            <w:r>
              <w:t xml:space="preserve">90.0% ≤ </w:t>
            </w:r>
          </w:p>
        </w:tc>
      </w:tr>
      <w:tr w:rsidR="00383784" w14:paraId="16DA6431" w14:textId="77777777">
        <w:trPr>
          <w:trHeight w:val="585"/>
        </w:trPr>
        <w:tc>
          <w:tcPr>
            <w:tcW w:w="1256" w:type="dxa"/>
            <w:tcBorders>
              <w:top w:val="nil"/>
              <w:left w:val="nil"/>
              <w:bottom w:val="nil"/>
              <w:right w:val="nil"/>
            </w:tcBorders>
          </w:tcPr>
          <w:p w14:paraId="4F308C22" w14:textId="77777777" w:rsidR="00383784" w:rsidRDefault="00000000">
            <w:pPr>
              <w:tabs>
                <w:tab w:val="center" w:pos="820"/>
              </w:tabs>
              <w:spacing w:after="0" w:line="259" w:lineRule="auto"/>
              <w:ind w:left="0" w:right="0" w:firstLine="0"/>
              <w:jc w:val="left"/>
            </w:pPr>
            <w:r>
              <w:t xml:space="preserve"> </w:t>
            </w:r>
            <w:r>
              <w:tab/>
            </w:r>
            <w:r>
              <w:rPr>
                <w:b/>
              </w:rPr>
              <w:t>B</w:t>
            </w:r>
            <w:r>
              <w:t xml:space="preserve">: </w:t>
            </w:r>
          </w:p>
          <w:p w14:paraId="147CC773" w14:textId="77777777" w:rsidR="00383784" w:rsidRDefault="00000000">
            <w:pPr>
              <w:spacing w:after="0" w:line="259" w:lineRule="auto"/>
              <w:ind w:left="0" w:right="0" w:firstLine="0"/>
              <w:jc w:val="left"/>
            </w:pPr>
            <w:r>
              <w:t xml:space="preserve"> </w:t>
            </w:r>
          </w:p>
        </w:tc>
        <w:tc>
          <w:tcPr>
            <w:tcW w:w="1010" w:type="dxa"/>
            <w:tcBorders>
              <w:top w:val="nil"/>
              <w:left w:val="nil"/>
              <w:bottom w:val="nil"/>
              <w:right w:val="nil"/>
            </w:tcBorders>
          </w:tcPr>
          <w:p w14:paraId="11FC4B1D" w14:textId="77777777" w:rsidR="00383784" w:rsidRDefault="00000000">
            <w:pPr>
              <w:spacing w:after="0" w:line="259" w:lineRule="auto"/>
              <w:ind w:left="185" w:right="0" w:firstLine="0"/>
              <w:jc w:val="left"/>
            </w:pPr>
            <w:r>
              <w:t xml:space="preserve">80.0% ≤ </w:t>
            </w:r>
          </w:p>
        </w:tc>
      </w:tr>
      <w:tr w:rsidR="00383784" w14:paraId="79B46D20" w14:textId="77777777">
        <w:trPr>
          <w:trHeight w:val="585"/>
        </w:trPr>
        <w:tc>
          <w:tcPr>
            <w:tcW w:w="1256" w:type="dxa"/>
            <w:tcBorders>
              <w:top w:val="nil"/>
              <w:left w:val="nil"/>
              <w:bottom w:val="nil"/>
              <w:right w:val="nil"/>
            </w:tcBorders>
          </w:tcPr>
          <w:p w14:paraId="5342584F" w14:textId="77777777" w:rsidR="00383784" w:rsidRDefault="00000000">
            <w:pPr>
              <w:tabs>
                <w:tab w:val="center" w:pos="815"/>
              </w:tabs>
              <w:spacing w:after="0" w:line="259" w:lineRule="auto"/>
              <w:ind w:left="0" w:right="0" w:firstLine="0"/>
              <w:jc w:val="left"/>
            </w:pPr>
            <w:r>
              <w:t xml:space="preserve"> </w:t>
            </w:r>
            <w:r>
              <w:tab/>
            </w:r>
            <w:r>
              <w:rPr>
                <w:b/>
              </w:rPr>
              <w:t>C</w:t>
            </w:r>
            <w:r>
              <w:t xml:space="preserve">: </w:t>
            </w:r>
          </w:p>
          <w:p w14:paraId="3342A47E" w14:textId="77777777" w:rsidR="00383784" w:rsidRDefault="00000000">
            <w:pPr>
              <w:spacing w:after="0" w:line="259" w:lineRule="auto"/>
              <w:ind w:left="0" w:right="0" w:firstLine="0"/>
              <w:jc w:val="left"/>
            </w:pPr>
            <w:r>
              <w:t xml:space="preserve"> </w:t>
            </w:r>
          </w:p>
        </w:tc>
        <w:tc>
          <w:tcPr>
            <w:tcW w:w="1010" w:type="dxa"/>
            <w:tcBorders>
              <w:top w:val="nil"/>
              <w:left w:val="nil"/>
              <w:bottom w:val="nil"/>
              <w:right w:val="nil"/>
            </w:tcBorders>
          </w:tcPr>
          <w:p w14:paraId="1EAD4ECA" w14:textId="77777777" w:rsidR="00383784" w:rsidRDefault="00000000">
            <w:pPr>
              <w:spacing w:after="0" w:line="259" w:lineRule="auto"/>
              <w:ind w:left="185" w:right="0" w:firstLine="0"/>
              <w:jc w:val="left"/>
            </w:pPr>
            <w:r>
              <w:t xml:space="preserve">70.0% ≤ </w:t>
            </w:r>
          </w:p>
        </w:tc>
      </w:tr>
      <w:tr w:rsidR="00383784" w14:paraId="67971561" w14:textId="77777777">
        <w:trPr>
          <w:trHeight w:val="588"/>
        </w:trPr>
        <w:tc>
          <w:tcPr>
            <w:tcW w:w="1256" w:type="dxa"/>
            <w:tcBorders>
              <w:top w:val="nil"/>
              <w:left w:val="nil"/>
              <w:bottom w:val="nil"/>
              <w:right w:val="nil"/>
            </w:tcBorders>
          </w:tcPr>
          <w:p w14:paraId="19CB6B59" w14:textId="77777777" w:rsidR="00383784" w:rsidRDefault="00000000">
            <w:pPr>
              <w:tabs>
                <w:tab w:val="center" w:pos="828"/>
              </w:tabs>
              <w:spacing w:after="0" w:line="259" w:lineRule="auto"/>
              <w:ind w:left="0" w:right="0" w:firstLine="0"/>
              <w:jc w:val="left"/>
            </w:pPr>
            <w:r>
              <w:t xml:space="preserve"> </w:t>
            </w:r>
            <w:r>
              <w:tab/>
            </w:r>
            <w:r>
              <w:rPr>
                <w:b/>
              </w:rPr>
              <w:t>D</w:t>
            </w:r>
            <w:r>
              <w:t xml:space="preserve">: </w:t>
            </w:r>
          </w:p>
          <w:p w14:paraId="2BE1FF70" w14:textId="77777777" w:rsidR="00383784" w:rsidRDefault="00000000">
            <w:pPr>
              <w:spacing w:after="0" w:line="259" w:lineRule="auto"/>
              <w:ind w:left="0" w:right="0" w:firstLine="0"/>
              <w:jc w:val="left"/>
            </w:pPr>
            <w:r>
              <w:t xml:space="preserve"> </w:t>
            </w:r>
          </w:p>
        </w:tc>
        <w:tc>
          <w:tcPr>
            <w:tcW w:w="1010" w:type="dxa"/>
            <w:tcBorders>
              <w:top w:val="nil"/>
              <w:left w:val="nil"/>
              <w:bottom w:val="nil"/>
              <w:right w:val="nil"/>
            </w:tcBorders>
          </w:tcPr>
          <w:p w14:paraId="181137D1" w14:textId="77777777" w:rsidR="00383784" w:rsidRDefault="00000000">
            <w:pPr>
              <w:spacing w:after="0" w:line="259" w:lineRule="auto"/>
              <w:ind w:left="185" w:right="0" w:firstLine="0"/>
              <w:jc w:val="left"/>
            </w:pPr>
            <w:r>
              <w:t xml:space="preserve">60.0% ≤ </w:t>
            </w:r>
          </w:p>
        </w:tc>
      </w:tr>
      <w:tr w:rsidR="00383784" w14:paraId="18CD6E64" w14:textId="77777777">
        <w:trPr>
          <w:trHeight w:val="267"/>
        </w:trPr>
        <w:tc>
          <w:tcPr>
            <w:tcW w:w="1256" w:type="dxa"/>
            <w:tcBorders>
              <w:top w:val="nil"/>
              <w:left w:val="nil"/>
              <w:bottom w:val="nil"/>
              <w:right w:val="nil"/>
            </w:tcBorders>
          </w:tcPr>
          <w:p w14:paraId="2A1C1CE1" w14:textId="77777777" w:rsidR="00383784" w:rsidRDefault="00000000">
            <w:pPr>
              <w:tabs>
                <w:tab w:val="center" w:pos="808"/>
              </w:tabs>
              <w:spacing w:after="0" w:line="259" w:lineRule="auto"/>
              <w:ind w:left="0" w:right="0" w:firstLine="0"/>
              <w:jc w:val="left"/>
            </w:pPr>
            <w:r>
              <w:t xml:space="preserve"> </w:t>
            </w:r>
            <w:r>
              <w:tab/>
            </w:r>
            <w:r>
              <w:rPr>
                <w:b/>
              </w:rPr>
              <w:t>F</w:t>
            </w:r>
            <w:r>
              <w:t xml:space="preserve">: </w:t>
            </w:r>
          </w:p>
        </w:tc>
        <w:tc>
          <w:tcPr>
            <w:tcW w:w="1010" w:type="dxa"/>
            <w:tcBorders>
              <w:top w:val="nil"/>
              <w:left w:val="nil"/>
              <w:bottom w:val="nil"/>
              <w:right w:val="nil"/>
            </w:tcBorders>
          </w:tcPr>
          <w:p w14:paraId="138CBA22" w14:textId="77777777" w:rsidR="00383784" w:rsidRDefault="00000000">
            <w:pPr>
              <w:spacing w:after="0" w:line="259" w:lineRule="auto"/>
              <w:ind w:left="185" w:right="0" w:firstLine="0"/>
              <w:jc w:val="left"/>
            </w:pPr>
            <w:r>
              <w:t xml:space="preserve">60.0% &gt; </w:t>
            </w:r>
          </w:p>
        </w:tc>
      </w:tr>
    </w:tbl>
    <w:p w14:paraId="1C10A31C" w14:textId="77777777" w:rsidR="00383784" w:rsidRDefault="00000000">
      <w:pPr>
        <w:spacing w:after="0" w:line="259" w:lineRule="auto"/>
        <w:ind w:left="0" w:right="0" w:firstLine="0"/>
        <w:jc w:val="left"/>
      </w:pPr>
      <w:r>
        <w:rPr>
          <w:rFonts w:cs="Calibri"/>
          <w:b/>
        </w:rPr>
        <w:t xml:space="preserve"> </w:t>
      </w:r>
    </w:p>
    <w:p w14:paraId="454E262A" w14:textId="77777777" w:rsidR="00383784" w:rsidRDefault="00000000">
      <w:pPr>
        <w:pStyle w:val="Heading1"/>
        <w:ind w:left="-5"/>
      </w:pPr>
      <w:r>
        <w:t>E-mail Correspondence</w:t>
      </w:r>
      <w:r>
        <w:rPr>
          <w:b w:val="0"/>
        </w:rPr>
        <w:t xml:space="preserve"> </w:t>
      </w:r>
    </w:p>
    <w:p w14:paraId="621AED8D" w14:textId="77777777" w:rsidR="00383784" w:rsidRDefault="00000000">
      <w:pPr>
        <w:spacing w:after="0" w:line="259" w:lineRule="auto"/>
        <w:ind w:left="0" w:right="0" w:firstLine="0"/>
        <w:jc w:val="left"/>
      </w:pPr>
      <w:r>
        <w:t xml:space="preserve"> </w:t>
      </w:r>
    </w:p>
    <w:p w14:paraId="3E182153" w14:textId="77777777" w:rsidR="00383784" w:rsidRDefault="00000000">
      <w:pPr>
        <w:ind w:left="-5" w:right="0"/>
      </w:pPr>
      <w:r>
        <w:rPr>
          <w:rFonts w:cs="Calibri"/>
          <w:noProof/>
          <w:sz w:val="22"/>
        </w:rPr>
        <mc:AlternateContent>
          <mc:Choice Requires="wpg">
            <w:drawing>
              <wp:anchor distT="0" distB="0" distL="114300" distR="114300" simplePos="0" relativeHeight="251661312" behindDoc="1" locked="0" layoutInCell="1" allowOverlap="1" wp14:anchorId="48DABDF3" wp14:editId="0AB5DC90">
                <wp:simplePos x="0" y="0"/>
                <wp:positionH relativeFrom="column">
                  <wp:posOffset>0</wp:posOffset>
                </wp:positionH>
                <wp:positionV relativeFrom="paragraph">
                  <wp:posOffset>155575</wp:posOffset>
                </wp:positionV>
                <wp:extent cx="5946204" cy="374650"/>
                <wp:effectExtent l="0" t="0" r="0" b="0"/>
                <wp:wrapNone/>
                <wp:docPr id="3418" name="Group 3418"/>
                <wp:cNvGraphicFramePr/>
                <a:graphic xmlns:a="http://schemas.openxmlformats.org/drawingml/2006/main">
                  <a:graphicData uri="http://schemas.microsoft.com/office/word/2010/wordprocessingGroup">
                    <wpg:wgp>
                      <wpg:cNvGrpSpPr/>
                      <wpg:grpSpPr>
                        <a:xfrm>
                          <a:off x="0" y="0"/>
                          <a:ext cx="5946204" cy="374650"/>
                          <a:chOff x="0" y="0"/>
                          <a:chExt cx="5946204" cy="374650"/>
                        </a:xfrm>
                      </wpg:grpSpPr>
                      <wps:wsp>
                        <wps:cNvPr id="4680" name="Shape 4680"/>
                        <wps:cNvSpPr/>
                        <wps:spPr>
                          <a:xfrm>
                            <a:off x="3656013" y="0"/>
                            <a:ext cx="2290191" cy="187325"/>
                          </a:xfrm>
                          <a:custGeom>
                            <a:avLst/>
                            <a:gdLst/>
                            <a:ahLst/>
                            <a:cxnLst/>
                            <a:rect l="0" t="0" r="0" b="0"/>
                            <a:pathLst>
                              <a:path w="2290191" h="187325">
                                <a:moveTo>
                                  <a:pt x="0" y="0"/>
                                </a:moveTo>
                                <a:lnTo>
                                  <a:pt x="2290191" y="0"/>
                                </a:lnTo>
                                <a:lnTo>
                                  <a:pt x="2290191" y="187325"/>
                                </a:lnTo>
                                <a:lnTo>
                                  <a:pt x="0" y="1873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4681" name="Shape 4681"/>
                        <wps:cNvSpPr/>
                        <wps:spPr>
                          <a:xfrm>
                            <a:off x="0" y="187325"/>
                            <a:ext cx="3995801" cy="187325"/>
                          </a:xfrm>
                          <a:custGeom>
                            <a:avLst/>
                            <a:gdLst/>
                            <a:ahLst/>
                            <a:cxnLst/>
                            <a:rect l="0" t="0" r="0" b="0"/>
                            <a:pathLst>
                              <a:path w="3995801" h="187325">
                                <a:moveTo>
                                  <a:pt x="0" y="0"/>
                                </a:moveTo>
                                <a:lnTo>
                                  <a:pt x="3995801" y="0"/>
                                </a:lnTo>
                                <a:lnTo>
                                  <a:pt x="3995801" y="187325"/>
                                </a:lnTo>
                                <a:lnTo>
                                  <a:pt x="0" y="18732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418" style="width:468.205pt;height:29.5pt;position:absolute;z-index:-2147483571;mso-position-horizontal-relative:text;mso-position-horizontal:absolute;margin-left:0pt;mso-position-vertical-relative:text;margin-top:12.25pt;" coordsize="59462,3746">
                <v:shape id="Shape 4682" style="position:absolute;width:22901;height:1873;left:36560;top:0;" coordsize="2290191,187325" path="m0,0l2290191,0l2290191,187325l0,187325l0,0">
                  <v:stroke weight="0pt" endcap="flat" joinstyle="miter" miterlimit="10" on="false" color="#000000" opacity="0"/>
                  <v:fill on="true" color="#ffff00"/>
                </v:shape>
                <v:shape id="Shape 4683" style="position:absolute;width:39958;height:1873;left:0;top:1873;" coordsize="3995801,187325" path="m0,0l3995801,0l3995801,187325l0,187325l0,0">
                  <v:stroke weight="0pt" endcap="flat" joinstyle="miter" miterlimit="10" on="false" color="#000000" opacity="0"/>
                  <v:fill on="true" color="#ffff00"/>
                </v:shape>
              </v:group>
            </w:pict>
          </mc:Fallback>
        </mc:AlternateContent>
      </w:r>
      <w:r>
        <w:t xml:space="preserve">The E-mail address listed above is the best way to contact the instructor and/or the TA. E-mail sent by other modalities (e.g., Canvas) will </w:t>
      </w:r>
      <w:r>
        <w:rPr>
          <w:u w:val="single" w:color="000000"/>
        </w:rPr>
        <w:t>not be received</w:t>
      </w:r>
      <w:r>
        <w:t xml:space="preserve">. Students must use Auburn University Tigermail when communicating with the instructor and/or the TA; DO NOT send E-mail from your personal account (e.g., iCloud, Gmail, Yahoo, Hotmail, etc.). </w:t>
      </w:r>
      <w:r>
        <w:rPr>
          <w:rFonts w:cs="Calibri"/>
          <w:b/>
        </w:rPr>
        <w:t>Additionally, please include the course section in the subject line (i.e., KINE 3650)</w:t>
      </w:r>
      <w:r>
        <w:t xml:space="preserve">; </w:t>
      </w:r>
      <w:r>
        <w:rPr>
          <w:u w:val="single" w:color="000000"/>
        </w:rPr>
        <w:t xml:space="preserve">as the instructor and/or TA will </w:t>
      </w:r>
      <w:r>
        <w:rPr>
          <w:rFonts w:cs="Calibri"/>
          <w:b/>
          <w:u w:val="single" w:color="000000"/>
        </w:rPr>
        <w:t>NOT</w:t>
      </w:r>
      <w:r>
        <w:rPr>
          <w:u w:val="single" w:color="000000"/>
        </w:rPr>
        <w:t xml:space="preserve"> reply</w:t>
      </w:r>
      <w:r>
        <w:t xml:space="preserve"> </w:t>
      </w:r>
      <w:r>
        <w:rPr>
          <w:u w:val="single" w:color="000000"/>
        </w:rPr>
        <w:t>without this information</w:t>
      </w:r>
      <w:r>
        <w:t xml:space="preserve">. </w:t>
      </w:r>
      <w:r>
        <w:rPr>
          <w:shd w:val="clear" w:color="auto" w:fill="FFFF00"/>
        </w:rPr>
        <w:t>Please allow a 24-hr response period.</w:t>
      </w:r>
      <w:r>
        <w:t xml:space="preserve">  </w:t>
      </w:r>
    </w:p>
    <w:p w14:paraId="3EC34498" w14:textId="77777777" w:rsidR="00383784" w:rsidRDefault="00000000">
      <w:pPr>
        <w:spacing w:after="0" w:line="259" w:lineRule="auto"/>
        <w:ind w:left="0" w:right="0" w:firstLine="0"/>
        <w:jc w:val="left"/>
      </w:pPr>
      <w:r>
        <w:rPr>
          <w:rFonts w:cs="Calibri"/>
          <w:b/>
        </w:rPr>
        <w:t xml:space="preserve"> </w:t>
      </w:r>
    </w:p>
    <w:p w14:paraId="642B5415" w14:textId="77777777" w:rsidR="00383784" w:rsidRDefault="00000000">
      <w:pPr>
        <w:pStyle w:val="Heading1"/>
        <w:ind w:left="-5"/>
      </w:pPr>
      <w:r>
        <w:t xml:space="preserve">Make-Up Policy </w:t>
      </w:r>
    </w:p>
    <w:p w14:paraId="6D4593CD" w14:textId="77777777" w:rsidR="00383784" w:rsidRDefault="00000000">
      <w:pPr>
        <w:spacing w:after="0" w:line="259" w:lineRule="auto"/>
        <w:ind w:left="0" w:right="0" w:firstLine="0"/>
        <w:jc w:val="left"/>
      </w:pPr>
      <w:r>
        <w:t xml:space="preserve"> </w:t>
      </w:r>
    </w:p>
    <w:p w14:paraId="21440813" w14:textId="77777777" w:rsidR="00383784" w:rsidRDefault="00000000">
      <w:pPr>
        <w:ind w:left="-5" w:right="0"/>
      </w:pPr>
      <w:r>
        <w:t xml:space="preserve">Students are only offered the opportunity to make up assignments due to excused absences (i.e., students are not guaranteed the opportunity to make up assignments due to unexcused absences). Arrangement to make up assignments due to properly authorized excused absences </w:t>
      </w:r>
      <w:r>
        <w:rPr>
          <w:u w:val="single" w:color="000000"/>
        </w:rPr>
        <w:t xml:space="preserve">must be initiated </w:t>
      </w:r>
      <w:r>
        <w:rPr>
          <w:rFonts w:cs="Calibri"/>
          <w:i/>
          <w:u w:val="single" w:color="000000"/>
        </w:rPr>
        <w:t>by the student</w:t>
      </w:r>
      <w:r>
        <w:rPr>
          <w:u w:val="single" w:color="000000"/>
        </w:rPr>
        <w:t xml:space="preserve"> within </w:t>
      </w:r>
      <w:r>
        <w:rPr>
          <w:rFonts w:cs="Calibri"/>
          <w:b/>
          <w:u w:val="single" w:color="000000"/>
        </w:rPr>
        <w:t>one-week</w:t>
      </w:r>
      <w:r>
        <w:rPr>
          <w:u w:val="single" w:color="000000"/>
        </w:rPr>
        <w:t xml:space="preserve"> of the end of the period of the excused</w:t>
      </w:r>
      <w:r>
        <w:t xml:space="preserve"> </w:t>
      </w:r>
      <w:r>
        <w:rPr>
          <w:u w:val="single" w:color="000000"/>
        </w:rPr>
        <w:t>absences(s)</w:t>
      </w:r>
      <w:r>
        <w:t xml:space="preserve">. Except in unusual circumstances, such as the continued absence of the student or the advent of university holidays, a make-up assignment will take place within two weeks of the date that the student initiates arrangements for it.  </w:t>
      </w:r>
    </w:p>
    <w:p w14:paraId="49F68A42" w14:textId="77777777" w:rsidR="00383784" w:rsidRDefault="00000000">
      <w:pPr>
        <w:spacing w:after="0" w:line="259" w:lineRule="auto"/>
        <w:ind w:left="0" w:right="0" w:firstLine="0"/>
        <w:jc w:val="left"/>
      </w:pPr>
      <w:r>
        <w:rPr>
          <w:rFonts w:cs="Calibri"/>
          <w:b/>
        </w:rPr>
        <w:t xml:space="preserve"> </w:t>
      </w:r>
    </w:p>
    <w:p w14:paraId="1222D926" w14:textId="77777777" w:rsidR="00383784" w:rsidRDefault="00000000">
      <w:pPr>
        <w:pStyle w:val="Heading1"/>
        <w:ind w:left="-5"/>
      </w:pPr>
      <w:r>
        <w:t xml:space="preserve">Academic Integrity  </w:t>
      </w:r>
    </w:p>
    <w:p w14:paraId="5DF1521B" w14:textId="77777777" w:rsidR="00383784" w:rsidRDefault="00000000">
      <w:pPr>
        <w:spacing w:after="0" w:line="259" w:lineRule="auto"/>
        <w:ind w:left="0" w:right="0" w:firstLine="0"/>
        <w:jc w:val="left"/>
      </w:pPr>
      <w:r>
        <w:rPr>
          <w:rFonts w:cs="Calibri"/>
          <w:b/>
        </w:rPr>
        <w:t xml:space="preserve"> </w:t>
      </w:r>
    </w:p>
    <w:p w14:paraId="0DE7C4B5" w14:textId="77777777" w:rsidR="00383784" w:rsidRDefault="00000000">
      <w:pPr>
        <w:ind w:left="-5" w:right="0"/>
      </w:pPr>
      <w:r>
        <w:t xml:space="preserve">Auburn University has adopted an Honor System proposed by its students and faculty to promote academic integrity and has enacted the following code: </w:t>
      </w:r>
    </w:p>
    <w:p w14:paraId="0F7200A4" w14:textId="77777777" w:rsidR="00383784" w:rsidRDefault="00000000">
      <w:pPr>
        <w:spacing w:after="0" w:line="259" w:lineRule="auto"/>
        <w:ind w:left="0" w:right="0" w:firstLine="0"/>
        <w:jc w:val="left"/>
      </w:pPr>
      <w:r>
        <w:t xml:space="preserve"> </w:t>
      </w:r>
    </w:p>
    <w:p w14:paraId="238F3F7D" w14:textId="77777777" w:rsidR="00383784" w:rsidRDefault="00000000">
      <w:pPr>
        <w:spacing w:after="0" w:line="238" w:lineRule="auto"/>
        <w:ind w:left="0" w:right="0" w:firstLine="0"/>
      </w:pPr>
      <w:r>
        <w:rPr>
          <w:rFonts w:cs="Calibri"/>
          <w:i/>
        </w:rPr>
        <w:lastRenderedPageBreak/>
        <w:t xml:space="preserve">“We,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 </w:t>
      </w:r>
    </w:p>
    <w:p w14:paraId="498362D2" w14:textId="77777777" w:rsidR="00383784" w:rsidRDefault="00000000">
      <w:pPr>
        <w:spacing w:after="0" w:line="259" w:lineRule="auto"/>
        <w:ind w:left="0" w:right="0" w:firstLine="0"/>
        <w:jc w:val="left"/>
      </w:pPr>
      <w:r>
        <w:t xml:space="preserve"> </w:t>
      </w:r>
    </w:p>
    <w:p w14:paraId="5072E5E9" w14:textId="77777777" w:rsidR="00383784" w:rsidRDefault="00000000">
      <w:pPr>
        <w:ind w:left="-5" w:right="0"/>
      </w:pPr>
      <w:r>
        <w:t xml:space="preserve">Academic dishonesty is an offense that will be reported to the Academic Honesty Committee. </w:t>
      </w:r>
    </w:p>
    <w:p w14:paraId="62EAEA64" w14:textId="77777777" w:rsidR="00383784" w:rsidRDefault="00000000">
      <w:pPr>
        <w:ind w:left="-5" w:right="0"/>
      </w:pPr>
      <w:r>
        <w:t xml:space="preserve">Please refer to the following document for further information regarding academic honesty: </w:t>
      </w:r>
      <w:hyperlink r:id="rId4">
        <w:r>
          <w:rPr>
            <w:color w:val="0563C1"/>
            <w:u w:val="single" w:color="0563C1"/>
          </w:rPr>
          <w:t>Auburn University Student Academic Honesty Code</w:t>
        </w:r>
      </w:hyperlink>
      <w:hyperlink r:id="rId5">
        <w:r>
          <w:t>.</w:t>
        </w:r>
      </w:hyperlink>
      <w:r>
        <w:t xml:space="preserve">  </w:t>
      </w:r>
    </w:p>
    <w:p w14:paraId="692EFADB" w14:textId="77777777" w:rsidR="00383784" w:rsidRDefault="00000000">
      <w:pPr>
        <w:spacing w:after="0" w:line="259" w:lineRule="auto"/>
        <w:ind w:left="0" w:right="0" w:firstLine="0"/>
        <w:jc w:val="left"/>
      </w:pPr>
      <w:r>
        <w:t xml:space="preserve"> </w:t>
      </w:r>
    </w:p>
    <w:p w14:paraId="4A5A9F6A" w14:textId="77777777" w:rsidR="00383784" w:rsidRDefault="00000000">
      <w:pPr>
        <w:pStyle w:val="Heading1"/>
        <w:ind w:left="-5"/>
      </w:pPr>
      <w:r>
        <w:t xml:space="preserve">Accessibility </w:t>
      </w:r>
    </w:p>
    <w:p w14:paraId="11A28904" w14:textId="77777777" w:rsidR="00383784" w:rsidRDefault="00000000">
      <w:pPr>
        <w:spacing w:after="0" w:line="259" w:lineRule="auto"/>
        <w:ind w:left="0" w:right="0" w:firstLine="0"/>
        <w:jc w:val="left"/>
      </w:pPr>
      <w:r>
        <w:t xml:space="preserve"> </w:t>
      </w:r>
    </w:p>
    <w:p w14:paraId="236F1A53" w14:textId="77777777" w:rsidR="00383784" w:rsidRDefault="00000000">
      <w:pPr>
        <w:ind w:left="-5" w:right="0"/>
      </w:pPr>
      <w:r>
        <w:t xml:space="preserve">Students who need accommodations are asked to electronically submit their approved accommodations through AU Access and to arrange a meeting during office hours the first week of classes, or as soon as possible if accommodations are immediately needed. If you need accommodations but have not established them, make an appointment with the Office of Accessibility, 1228 Haley Center, 334-844-2096. </w:t>
      </w:r>
    </w:p>
    <w:p w14:paraId="78519AA5" w14:textId="77777777" w:rsidR="00383784" w:rsidRDefault="00000000">
      <w:pPr>
        <w:spacing w:after="0" w:line="259" w:lineRule="auto"/>
        <w:ind w:left="0" w:right="0" w:firstLine="0"/>
        <w:jc w:val="left"/>
      </w:pPr>
      <w:r>
        <w:rPr>
          <w:rFonts w:cs="Calibri"/>
          <w:b/>
        </w:rPr>
        <w:t xml:space="preserve"> </w:t>
      </w:r>
    </w:p>
    <w:p w14:paraId="6DA6AA7E" w14:textId="77777777" w:rsidR="00383784" w:rsidRDefault="00000000">
      <w:pPr>
        <w:pStyle w:val="Heading1"/>
        <w:ind w:left="-5"/>
      </w:pPr>
      <w:r>
        <w:t xml:space="preserve">Professionalism </w:t>
      </w:r>
    </w:p>
    <w:p w14:paraId="2DE79C09" w14:textId="77777777" w:rsidR="00383784" w:rsidRDefault="00000000">
      <w:pPr>
        <w:spacing w:after="0" w:line="259" w:lineRule="auto"/>
        <w:ind w:left="0" w:right="0" w:firstLine="0"/>
        <w:jc w:val="left"/>
      </w:pPr>
      <w:r>
        <w:t xml:space="preserve"> </w:t>
      </w:r>
    </w:p>
    <w:p w14:paraId="2959CD47" w14:textId="77777777" w:rsidR="00383784" w:rsidRDefault="00000000">
      <w:pPr>
        <w:ind w:left="-5" w:right="0"/>
      </w:pPr>
      <w:r>
        <w:t xml:space="preserve">As faculty, staff, and students interact in professional settings, we are expected to demonstrate </w:t>
      </w:r>
      <w:r>
        <w:rPr>
          <w:rFonts w:cs="Calibri"/>
        </w:rPr>
        <w:t>professional behaviors as defined in the College’s conceptual framework.</w:t>
      </w:r>
      <w:r>
        <w:t xml:space="preserve"> </w:t>
      </w:r>
    </w:p>
    <w:p w14:paraId="7524E59F" w14:textId="77777777" w:rsidR="00383784" w:rsidRDefault="00000000">
      <w:pPr>
        <w:spacing w:after="0" w:line="259" w:lineRule="auto"/>
        <w:ind w:left="0" w:right="0" w:firstLine="0"/>
        <w:jc w:val="left"/>
      </w:pPr>
      <w:r>
        <w:t xml:space="preserve"> </w:t>
      </w:r>
    </w:p>
    <w:sectPr w:rsidR="00383784">
      <w:pgSz w:w="12240" w:h="15840"/>
      <w:pgMar w:top="1491" w:right="1430" w:bottom="1506"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784"/>
    <w:rsid w:val="00383784"/>
    <w:rsid w:val="00AE6962"/>
    <w:rsid w:val="00B72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BD31060"/>
  <w15:docId w15:val="{1AC1BD84-1CB5-1C49-BB2D-A4E97B86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10" w:right="3" w:hanging="10"/>
      <w:jc w:val="both"/>
    </w:pPr>
    <w:rPr>
      <w:rFonts w:ascii="Calibri" w:eastAsia="Calibri" w:hAnsi="Calibri" w:cs="Times New Roman"/>
      <w:color w:val="000000"/>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ites.auburn.edu/admin/universitypolicies/policies/academichonestycode.pdf" TargetMode="External"/><Relationship Id="rId4" Type="http://schemas.openxmlformats.org/officeDocument/2006/relationships/hyperlink" Target="https://sites.auburn.edu/admin/universitypolicies/policies/academichonestycod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808</Words>
  <Characters>4611</Characters>
  <Application>Microsoft Office Word</Application>
  <DocSecurity>0</DocSecurity>
  <Lines>38</Lines>
  <Paragraphs>10</Paragraphs>
  <ScaleCrop>false</ScaleCrop>
  <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 Dyke, Ph.D.</dc:creator>
  <cp:keywords/>
  <cp:lastModifiedBy>Ford Dyke</cp:lastModifiedBy>
  <cp:revision>2</cp:revision>
  <dcterms:created xsi:type="dcterms:W3CDTF">2025-10-28T19:40:00Z</dcterms:created>
  <dcterms:modified xsi:type="dcterms:W3CDTF">2025-10-28T19:40:00Z</dcterms:modified>
</cp:coreProperties>
</file>