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sz w:val="22"/>
          <w:szCs w:val="22"/>
        </w:rPr>
      </w:pPr>
    </w:p>
    <w:p>
      <w:pPr>
        <w:pStyle w:val="Heading"/>
        <w:rPr>
          <w:color w:val="000000"/>
          <w:u w:color="000000"/>
        </w:rPr>
      </w:pPr>
      <w:r>
        <w:rPr>
          <w:color w:val="000000"/>
          <w:u w:color="000000"/>
          <w:rtl w:val="0"/>
          <w:lang w:val="en-US"/>
        </w:rPr>
        <w:t>Course Information</w:t>
      </w:r>
    </w:p>
    <w:p>
      <w:pPr>
        <w:pStyle w:val="Body"/>
        <w:tabs>
          <w:tab w:val="left" w:pos="3600"/>
        </w:tabs>
        <w:ind w:left="720" w:hanging="720"/>
        <w:rPr>
          <w:sz w:val="22"/>
          <w:szCs w:val="22"/>
        </w:rPr>
      </w:pPr>
      <w:r>
        <w:rPr>
          <w:b w:val="1"/>
          <w:bCs w:val="1"/>
          <w:sz w:val="22"/>
          <w:szCs w:val="22"/>
          <w:rtl w:val="0"/>
        </w:rPr>
        <w:tab/>
        <w:t>Course Number:</w:t>
        <w:tab/>
      </w:r>
      <w:r>
        <w:rPr>
          <w:sz w:val="22"/>
          <w:szCs w:val="22"/>
          <w:rtl w:val="0"/>
        </w:rPr>
        <w:t>EDMD 3300-003  CRN 10026</w:t>
      </w:r>
      <w:r>
        <w:rPr>
          <w:rFonts w:ascii="Arial Unicode MS" w:cs="Arial Unicode MS" w:hAnsi="Arial Unicode MS" w:eastAsia="Arial Unicode MS"/>
          <w:sz w:val="22"/>
          <w:szCs w:val="22"/>
        </w:rPr>
        <w:br w:type="textWrapping"/>
      </w:r>
      <w:r>
        <w:rPr>
          <w:b w:val="1"/>
          <w:bCs w:val="1"/>
          <w:sz w:val="22"/>
          <w:szCs w:val="22"/>
          <w:rtl w:val="0"/>
          <w:lang w:val="en-US"/>
        </w:rPr>
        <w:t>Course Title:</w:t>
        <w:tab/>
      </w:r>
      <w:r>
        <w:rPr>
          <w:sz w:val="22"/>
          <w:szCs w:val="22"/>
          <w:rtl w:val="0"/>
          <w:lang w:val="en-US"/>
        </w:rPr>
        <w:t>Utilization of Instructional Technology for Educators</w:t>
      </w:r>
    </w:p>
    <w:p>
      <w:pPr>
        <w:pStyle w:val="Body"/>
        <w:tabs>
          <w:tab w:val="left" w:pos="3600"/>
        </w:tabs>
        <w:ind w:left="720" w:hanging="720"/>
        <w:rPr>
          <w:sz w:val="22"/>
          <w:szCs w:val="22"/>
        </w:rPr>
      </w:pPr>
      <w:r>
        <w:rPr>
          <w:sz w:val="22"/>
          <w:szCs w:val="22"/>
        </w:rPr>
        <w:tab/>
      </w:r>
      <w:r>
        <w:rPr>
          <w:b w:val="1"/>
          <w:bCs w:val="1"/>
          <w:sz w:val="22"/>
          <w:szCs w:val="22"/>
          <w:rtl w:val="0"/>
          <w:lang w:val="en-US"/>
        </w:rPr>
        <w:t>Course Location:</w:t>
        <w:tab/>
      </w:r>
      <w:r>
        <w:rPr>
          <w:sz w:val="22"/>
          <w:szCs w:val="22"/>
          <w:rtl w:val="0"/>
        </w:rPr>
        <w:t>3442 Haley</w:t>
      </w:r>
    </w:p>
    <w:p>
      <w:pPr>
        <w:pStyle w:val="Body"/>
        <w:tabs>
          <w:tab w:val="left" w:pos="3600"/>
        </w:tabs>
        <w:ind w:left="720" w:hanging="720"/>
        <w:rPr>
          <w:sz w:val="22"/>
          <w:szCs w:val="22"/>
        </w:rPr>
      </w:pPr>
      <w:r>
        <w:rPr>
          <w:sz w:val="22"/>
          <w:szCs w:val="22"/>
        </w:rPr>
        <w:tab/>
      </w:r>
      <w:r>
        <w:rPr>
          <w:b w:val="1"/>
          <w:bCs w:val="1"/>
          <w:sz w:val="22"/>
          <w:szCs w:val="22"/>
          <w:rtl w:val="0"/>
          <w:lang w:val="en-US"/>
        </w:rPr>
        <w:t>Course Meeting:</w:t>
        <w:tab/>
      </w:r>
      <w:r>
        <w:rPr>
          <w:sz w:val="22"/>
          <w:szCs w:val="22"/>
          <w:rtl w:val="0"/>
          <w:lang w:val="en-US"/>
        </w:rPr>
        <w:t>Wednesdays 5:00-7:50</w:t>
      </w:r>
      <w:r>
        <w:rPr>
          <w:rFonts w:ascii="Arial Unicode MS" w:cs="Arial Unicode MS" w:hAnsi="Arial Unicode MS" w:eastAsia="Arial Unicode MS"/>
          <w:sz w:val="22"/>
          <w:szCs w:val="22"/>
        </w:rPr>
        <w:br w:type="textWrapping"/>
      </w:r>
      <w:r>
        <w:rPr>
          <w:b w:val="1"/>
          <w:bCs w:val="1"/>
          <w:sz w:val="22"/>
          <w:szCs w:val="22"/>
          <w:rtl w:val="0"/>
          <w:lang w:val="en-US"/>
        </w:rPr>
        <w:t>Credit Hours:</w:t>
        <w:tab/>
      </w:r>
      <w:r>
        <w:rPr>
          <w:sz w:val="22"/>
          <w:szCs w:val="22"/>
          <w:rtl w:val="0"/>
          <w:lang w:val="en-US"/>
        </w:rPr>
        <w:t>2 semester hours (lecture/lab)</w:t>
      </w:r>
    </w:p>
    <w:p>
      <w:pPr>
        <w:pStyle w:val="Body"/>
        <w:tabs>
          <w:tab w:val="left" w:pos="3600"/>
        </w:tabs>
        <w:ind w:left="3600" w:hanging="2880"/>
        <w:rPr>
          <w:sz w:val="22"/>
          <w:szCs w:val="22"/>
        </w:rPr>
      </w:pPr>
      <w:r>
        <w:rPr>
          <w:b w:val="1"/>
          <w:bCs w:val="1"/>
          <w:sz w:val="22"/>
          <w:szCs w:val="22"/>
          <w:rtl w:val="0"/>
          <w:lang w:val="es-ES_tradnl"/>
        </w:rPr>
        <w:t>Instructor:</w:t>
        <w:tab/>
      </w:r>
      <w:r>
        <w:rPr>
          <w:sz w:val="22"/>
          <w:szCs w:val="22"/>
          <w:rtl w:val="0"/>
        </w:rPr>
        <w:t>Mr. Jamin Ellis</w:t>
        <w:tab/>
        <w:tab/>
        <w:t>ellisjk@auburn.edu</w:t>
      </w:r>
    </w:p>
    <w:p>
      <w:pPr>
        <w:pStyle w:val="Body"/>
        <w:tabs>
          <w:tab w:val="left" w:pos="3600"/>
        </w:tabs>
        <w:ind w:left="3600" w:hanging="2880"/>
        <w:rPr>
          <w:sz w:val="22"/>
          <w:szCs w:val="22"/>
        </w:rPr>
      </w:pPr>
      <w:r>
        <w:rPr>
          <w:sz w:val="22"/>
          <w:szCs w:val="22"/>
          <w:rtl w:val="0"/>
        </w:rPr>
        <w:tab/>
        <w:t>706-442-2471</w:t>
        <w:tab/>
        <w:tab/>
        <w:t>4013 Haley</w:t>
      </w:r>
    </w:p>
    <w:p>
      <w:pPr>
        <w:pStyle w:val="Body"/>
        <w:tabs>
          <w:tab w:val="left" w:pos="3600"/>
        </w:tabs>
        <w:ind w:left="3600" w:hanging="2880"/>
        <w:rPr>
          <w:sz w:val="22"/>
          <w:szCs w:val="22"/>
        </w:rPr>
      </w:pPr>
      <w:r>
        <w:rPr>
          <w:b w:val="1"/>
          <w:bCs w:val="1"/>
          <w:sz w:val="22"/>
          <w:szCs w:val="22"/>
          <w:rtl w:val="0"/>
        </w:rPr>
        <w:t>Office Hrs:</w:t>
        <w:tab/>
      </w:r>
      <w:r>
        <w:rPr>
          <w:sz w:val="22"/>
          <w:szCs w:val="22"/>
          <w:rtl w:val="0"/>
          <w:lang w:val="en-US"/>
        </w:rPr>
        <w:t>Wednesdays 4:00-4:50 and By appointment</w:t>
      </w:r>
    </w:p>
    <w:p>
      <w:pPr>
        <w:pStyle w:val="Body"/>
        <w:ind w:left="720" w:hanging="720"/>
        <w:rPr>
          <w:sz w:val="22"/>
          <w:szCs w:val="22"/>
        </w:rPr>
      </w:pPr>
    </w:p>
    <w:p>
      <w:pPr>
        <w:pStyle w:val="Body"/>
        <w:ind w:left="720" w:hanging="720"/>
        <w:rPr>
          <w:sz w:val="22"/>
          <w:szCs w:val="22"/>
        </w:rPr>
      </w:pPr>
      <w:r>
        <w:rPr>
          <w:b w:val="1"/>
          <w:bCs w:val="1"/>
          <w:color w:val="000000"/>
          <w:sz w:val="28"/>
          <w:szCs w:val="28"/>
          <w:u w:color="000000"/>
          <w:rtl w:val="0"/>
          <w:lang w:val="en-US"/>
        </w:rPr>
        <w:t>Date Syllabus Prepared</w:t>
      </w:r>
      <w:r>
        <w:rPr>
          <w:b w:val="1"/>
          <w:bCs w:val="1"/>
          <w:sz w:val="22"/>
          <w:szCs w:val="22"/>
          <w:rtl w:val="0"/>
        </w:rPr>
        <w:t>:</w:t>
      </w:r>
      <w:r>
        <w:rPr>
          <w:sz w:val="22"/>
          <w:szCs w:val="22"/>
          <w:rtl w:val="0"/>
        </w:rPr>
        <w:t xml:space="preserve">  Aug. 2016</w:t>
      </w:r>
    </w:p>
    <w:p>
      <w:pPr>
        <w:pStyle w:val="Body"/>
        <w:ind w:left="720" w:hanging="720"/>
        <w:rPr>
          <w:sz w:val="22"/>
          <w:szCs w:val="22"/>
        </w:rPr>
      </w:pPr>
    </w:p>
    <w:p>
      <w:pPr>
        <w:pStyle w:val="Body"/>
        <w:tabs>
          <w:tab w:val="left" w:pos="720"/>
        </w:tabs>
        <w:ind w:left="1440" w:hanging="1440"/>
        <w:rPr>
          <w:b w:val="1"/>
          <w:bCs w:val="1"/>
          <w:sz w:val="22"/>
          <w:szCs w:val="22"/>
        </w:rPr>
      </w:pPr>
      <w:r>
        <w:rPr>
          <w:b w:val="1"/>
          <w:bCs w:val="1"/>
          <w:color w:val="000000"/>
          <w:sz w:val="28"/>
          <w:szCs w:val="28"/>
          <w:u w:color="000000"/>
          <w:rtl w:val="0"/>
          <w:lang w:val="de-DE"/>
        </w:rPr>
        <w:t>Text</w:t>
      </w:r>
      <w:r>
        <w:rPr>
          <w:b w:val="1"/>
          <w:bCs w:val="1"/>
          <w:sz w:val="22"/>
          <w:szCs w:val="22"/>
          <w:rtl w:val="0"/>
        </w:rPr>
        <w:t>:</w:t>
        <w:tab/>
      </w:r>
      <w:r>
        <w:rPr>
          <w:b w:val="1"/>
          <w:bCs w:val="1"/>
          <w:color w:val="ad1915"/>
          <w:sz w:val="22"/>
          <w:szCs w:val="22"/>
          <w:u w:color="ad1915"/>
          <w:rtl w:val="0"/>
          <w:lang w:val="en-US"/>
        </w:rPr>
        <w:t>Note: You do not need to purchase this text from the bookstore.  It will be available electronically through Canvas</w:t>
      </w:r>
    </w:p>
    <w:p>
      <w:pPr>
        <w:pStyle w:val="Body"/>
        <w:tabs>
          <w:tab w:val="left" w:pos="720"/>
        </w:tabs>
        <w:ind w:left="1440" w:hanging="1440"/>
        <w:rPr>
          <w:sz w:val="22"/>
          <w:szCs w:val="22"/>
        </w:rPr>
      </w:pPr>
      <w:r>
        <w:rPr>
          <w:b w:val="1"/>
          <w:bCs w:val="1"/>
          <w:sz w:val="22"/>
          <w:szCs w:val="22"/>
        </w:rPr>
        <w:tab/>
        <w:tab/>
      </w:r>
      <w:r>
        <w:rPr>
          <w:sz w:val="22"/>
          <w:szCs w:val="22"/>
          <w:rtl w:val="0"/>
          <w:lang w:val="it-IT"/>
        </w:rPr>
        <w:t xml:space="preserve">Cennamo, K.S., Ross, J.D., &amp; Ertmer P.A. (2014).  </w:t>
      </w:r>
      <w:r>
        <w:rPr>
          <w:i w:val="1"/>
          <w:iCs w:val="1"/>
          <w:sz w:val="22"/>
          <w:szCs w:val="22"/>
          <w:rtl w:val="0"/>
          <w:lang w:val="en-US"/>
        </w:rPr>
        <w:t>Technology integration for meaningful classroom use: a standards based approach</w:t>
      </w:r>
      <w:r>
        <w:rPr>
          <w:sz w:val="22"/>
          <w:szCs w:val="22"/>
          <w:rtl w:val="0"/>
          <w:lang w:val="en-US"/>
        </w:rPr>
        <w:t xml:space="preserve"> (2nd ed.).  Stamford, CT:  Wadsworth/ Cengage Learning.</w:t>
      </w:r>
    </w:p>
    <w:p>
      <w:pPr>
        <w:pStyle w:val="Body"/>
        <w:tabs>
          <w:tab w:val="left" w:pos="720"/>
          <w:tab w:val="left" w:pos="1440"/>
        </w:tabs>
        <w:ind w:left="720" w:hanging="720"/>
        <w:rPr>
          <w:sz w:val="22"/>
          <w:szCs w:val="22"/>
        </w:rPr>
      </w:pPr>
      <w:r>
        <w:rPr>
          <w:sz w:val="22"/>
          <w:szCs w:val="22"/>
          <w:rtl w:val="0"/>
        </w:rPr>
        <w:tab/>
        <w:tab/>
        <w:t>Other readings as assigned by the instructor</w:t>
      </w:r>
    </w:p>
    <w:p>
      <w:pPr>
        <w:pStyle w:val="Body"/>
        <w:tabs>
          <w:tab w:val="left" w:pos="720"/>
          <w:tab w:val="left" w:pos="1440"/>
        </w:tabs>
        <w:ind w:left="720" w:hanging="720"/>
        <w:rPr>
          <w:sz w:val="22"/>
          <w:szCs w:val="22"/>
        </w:rPr>
      </w:pPr>
      <w:r>
        <w:rPr>
          <w:sz w:val="22"/>
          <w:szCs w:val="22"/>
        </w:rPr>
        <w:tab/>
      </w:r>
      <w:r>
        <w:rPr>
          <w:b w:val="1"/>
          <w:bCs w:val="1"/>
          <w:sz w:val="22"/>
          <w:szCs w:val="22"/>
          <w:rtl w:val="0"/>
          <w:lang w:val="en-US"/>
        </w:rPr>
        <w:t>Other Materials:</w:t>
        <w:tab/>
      </w:r>
    </w:p>
    <w:p>
      <w:pPr>
        <w:pStyle w:val="Body"/>
        <w:tabs>
          <w:tab w:val="left" w:pos="1080"/>
        </w:tabs>
        <w:ind w:left="1080" w:hanging="1080"/>
        <w:rPr>
          <w:sz w:val="22"/>
          <w:szCs w:val="22"/>
        </w:rPr>
      </w:pPr>
      <w:r>
        <w:rPr>
          <w:sz w:val="22"/>
          <w:szCs w:val="22"/>
        </w:rPr>
        <w:tab/>
      </w:r>
      <w:r>
        <w:rPr>
          <w:b w:val="1"/>
          <w:bCs w:val="1"/>
          <w:i w:val="1"/>
          <w:iCs w:val="1"/>
          <w:sz w:val="22"/>
          <w:szCs w:val="22"/>
          <w:rtl w:val="0"/>
          <w:lang w:val="en-US"/>
        </w:rPr>
        <w:t>Required:</w:t>
      </w:r>
    </w:p>
    <w:p>
      <w:pPr>
        <w:pStyle w:val="Body"/>
        <w:tabs>
          <w:tab w:val="left" w:pos="1080"/>
        </w:tabs>
        <w:ind w:left="1080" w:hanging="1080"/>
        <w:rPr>
          <w:sz w:val="22"/>
          <w:szCs w:val="22"/>
        </w:rPr>
      </w:pPr>
      <w:r>
        <w:rPr>
          <w:sz w:val="22"/>
          <w:szCs w:val="22"/>
        </w:rPr>
        <w:tab/>
      </w:r>
      <w:r>
        <w:rPr>
          <w:i w:val="1"/>
          <w:iCs w:val="1"/>
          <w:sz w:val="22"/>
          <w:szCs w:val="22"/>
          <w:rtl w:val="0"/>
          <w:lang w:val="en-US"/>
        </w:rPr>
        <w:t>Google account</w:t>
      </w:r>
      <w:r>
        <w:rPr>
          <w:sz w:val="22"/>
          <w:szCs w:val="22"/>
          <w:rtl w:val="0"/>
          <w:lang w:val="en-US"/>
        </w:rPr>
        <w:t xml:space="preserve">. We will be using several tools that Google has available. </w:t>
      </w:r>
    </w:p>
    <w:p>
      <w:pPr>
        <w:pStyle w:val="Body"/>
        <w:tabs>
          <w:tab w:val="left" w:pos="1530"/>
        </w:tabs>
        <w:ind w:left="450" w:hanging="450"/>
        <w:rPr>
          <w:sz w:val="22"/>
          <w:szCs w:val="22"/>
        </w:rPr>
      </w:pPr>
    </w:p>
    <w:p>
      <w:pPr>
        <w:pStyle w:val="Body"/>
        <w:tabs>
          <w:tab w:val="left" w:pos="1530"/>
        </w:tabs>
        <w:ind w:left="450" w:hanging="450"/>
        <w:rPr>
          <w:sz w:val="22"/>
          <w:szCs w:val="22"/>
        </w:rPr>
      </w:pPr>
      <w:r>
        <w:rPr>
          <w:b w:val="1"/>
          <w:bCs w:val="1"/>
          <w:color w:val="000000"/>
          <w:sz w:val="28"/>
          <w:szCs w:val="28"/>
          <w:u w:color="000000"/>
          <w:rtl w:val="0"/>
          <w:lang w:val="fr-FR"/>
        </w:rPr>
        <w:t>Course Description</w:t>
      </w:r>
      <w:r>
        <w:rPr>
          <w:b w:val="1"/>
          <w:bCs w:val="1"/>
          <w:sz w:val="22"/>
          <w:szCs w:val="22"/>
          <w:rtl w:val="0"/>
        </w:rPr>
        <w:t>:</w:t>
      </w:r>
      <w:r>
        <w:rPr>
          <w:rFonts w:ascii="Arial Unicode MS" w:cs="Arial Unicode MS" w:hAnsi="Arial Unicode MS" w:eastAsia="Arial Unicode MS"/>
          <w:sz w:val="22"/>
          <w:szCs w:val="22"/>
        </w:rPr>
        <w:br w:type="textWrapping"/>
      </w:r>
      <w:r>
        <w:rPr>
          <w:sz w:val="22"/>
          <w:szCs w:val="22"/>
          <w:rtl w:val="0"/>
          <w:lang w:val="en-US"/>
        </w:rP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pPr>
        <w:pStyle w:val="Body"/>
        <w:tabs>
          <w:tab w:val="left" w:pos="720"/>
          <w:tab w:val="left" w:pos="1440"/>
        </w:tabs>
        <w:ind w:left="720" w:hanging="720"/>
        <w:rPr>
          <w:sz w:val="22"/>
          <w:szCs w:val="22"/>
        </w:rPr>
      </w:pPr>
    </w:p>
    <w:p>
      <w:pPr>
        <w:pStyle w:val="Expectn"/>
        <w:tabs>
          <w:tab w:val="clear" w:pos="540"/>
          <w:tab w:val="clear" w:pos="4680"/>
          <w:tab w:val="clear" w:pos="8640"/>
          <w:tab w:val="clear" w:pos="9360"/>
        </w:tabs>
        <w:spacing w:line="240" w:lineRule="auto"/>
        <w:rPr>
          <w:b w:val="1"/>
          <w:bCs w:val="1"/>
          <w:sz w:val="22"/>
          <w:szCs w:val="22"/>
        </w:rPr>
      </w:pPr>
      <w:r>
        <w:rPr>
          <w:b w:val="1"/>
          <w:bCs w:val="1"/>
          <w:color w:val="000000"/>
          <w:sz w:val="28"/>
          <w:szCs w:val="28"/>
          <w:u w:color="000000"/>
          <w:rtl w:val="0"/>
          <w:lang w:val="en-US"/>
        </w:rPr>
        <w:t>Course Objectives</w:t>
      </w:r>
      <w:r>
        <w:rPr>
          <w:b w:val="1"/>
          <w:bCs w:val="1"/>
          <w:sz w:val="22"/>
          <w:szCs w:val="22"/>
          <w:rtl w:val="0"/>
          <w:lang w:val="en-US"/>
        </w:rPr>
        <w:t>:</w:t>
      </w:r>
    </w:p>
    <w:p>
      <w:pPr>
        <w:pStyle w:val="Expectn"/>
        <w:tabs>
          <w:tab w:val="clear" w:pos="540"/>
          <w:tab w:val="clear" w:pos="4680"/>
          <w:tab w:val="clear" w:pos="8640"/>
          <w:tab w:val="clear" w:pos="9360"/>
        </w:tabs>
        <w:spacing w:line="240" w:lineRule="auto"/>
        <w:ind w:left="630" w:hanging="360"/>
        <w:rPr>
          <w:sz w:val="22"/>
          <w:szCs w:val="22"/>
        </w:rPr>
      </w:pPr>
      <w:r>
        <w:rPr>
          <w:sz w:val="22"/>
          <w:szCs w:val="22"/>
          <w:rtl w:val="0"/>
          <w:lang w:val="en-US"/>
        </w:rPr>
        <w:t xml:space="preserve">In addition to the items listed below, course objectives include a subset of key indicators from the Alabama Quality Teaching Standards. Indicators assigned to this course for assessment are in bold font in this list. These indicators pertain to </w:t>
      </w:r>
      <w:r>
        <w:rPr>
          <w:sz w:val="22"/>
          <w:szCs w:val="22"/>
          <w:rtl w:val="0"/>
          <w:lang w:val="en-US"/>
        </w:rPr>
        <w:t>“</w:t>
      </w:r>
      <w:r>
        <w:rPr>
          <w:sz w:val="22"/>
          <w:szCs w:val="22"/>
          <w:rtl w:val="0"/>
          <w:lang w:val="en-US"/>
        </w:rPr>
        <w:t>Teaching and Learning,</w:t>
      </w:r>
      <w:r>
        <w:rPr>
          <w:sz w:val="22"/>
          <w:szCs w:val="22"/>
          <w:rtl w:val="0"/>
          <w:lang w:val="en-US"/>
        </w:rPr>
        <w:t>” “</w:t>
      </w:r>
      <w:r>
        <w:rPr>
          <w:sz w:val="22"/>
          <w:szCs w:val="22"/>
          <w:rtl w:val="0"/>
          <w:lang w:val="en-US"/>
        </w:rPr>
        <w:t>Literacy,</w:t>
      </w:r>
      <w:r>
        <w:rPr>
          <w:sz w:val="22"/>
          <w:szCs w:val="22"/>
          <w:rtl w:val="0"/>
          <w:lang w:val="en-US"/>
        </w:rPr>
        <w:t>” “</w:t>
      </w:r>
      <w:r>
        <w:rPr>
          <w:sz w:val="22"/>
          <w:szCs w:val="22"/>
          <w:rtl w:val="0"/>
          <w:lang w:val="en-US"/>
        </w:rPr>
        <w:t>Technology,</w:t>
      </w:r>
      <w:r>
        <w:rPr>
          <w:sz w:val="22"/>
          <w:szCs w:val="22"/>
          <w:rtl w:val="0"/>
          <w:lang w:val="en-US"/>
        </w:rPr>
        <w:t xml:space="preserve">” </w:t>
      </w:r>
      <w:r>
        <w:rPr>
          <w:sz w:val="22"/>
          <w:szCs w:val="22"/>
          <w:rtl w:val="0"/>
          <w:lang w:val="en-US"/>
        </w:rPr>
        <w:t xml:space="preserve">and </w:t>
      </w:r>
      <w:r>
        <w:rPr>
          <w:sz w:val="22"/>
          <w:szCs w:val="22"/>
          <w:rtl w:val="0"/>
          <w:lang w:val="en-US"/>
        </w:rPr>
        <w:t>“</w:t>
      </w:r>
      <w:r>
        <w:rPr>
          <w:sz w:val="22"/>
          <w:szCs w:val="22"/>
          <w:rtl w:val="0"/>
          <w:lang w:val="en-US"/>
        </w:rPr>
        <w:t>Ethics.</w:t>
      </w:r>
      <w:r>
        <w:rPr>
          <w:sz w:val="22"/>
          <w:szCs w:val="22"/>
          <w:rtl w:val="0"/>
          <w:lang w:val="en-US"/>
        </w:rPr>
        <w:t>”</w:t>
      </w:r>
    </w:p>
    <w:p>
      <w:pPr>
        <w:pStyle w:val="Body"/>
        <w:tabs>
          <w:tab w:val="left" w:pos="720"/>
          <w:tab w:val="left" w:pos="1440"/>
        </w:tabs>
        <w:ind w:left="720" w:hanging="720"/>
        <w:rPr>
          <w:sz w:val="22"/>
          <w:szCs w:val="22"/>
        </w:rPr>
      </w:pPr>
    </w:p>
    <w:p>
      <w:pPr>
        <w:pStyle w:val="Body"/>
        <w:tabs>
          <w:tab w:val="left" w:pos="720"/>
          <w:tab w:val="left" w:pos="1440"/>
        </w:tabs>
        <w:ind w:left="720" w:hanging="720"/>
        <w:rPr>
          <w:sz w:val="22"/>
          <w:szCs w:val="22"/>
        </w:rPr>
      </w:pPr>
      <w:r>
        <w:rPr>
          <w:b w:val="1"/>
          <w:bCs w:val="1"/>
          <w:sz w:val="22"/>
          <w:szCs w:val="22"/>
        </w:rPr>
        <w:tab/>
      </w:r>
      <w:r>
        <w:rPr>
          <w:sz w:val="22"/>
          <w:szCs w:val="22"/>
          <w:rtl w:val="0"/>
        </w:rPr>
        <w:t>(</w:t>
      </w:r>
      <w:r>
        <w:rPr>
          <w:b w:val="1"/>
          <w:bCs w:val="1"/>
          <w:sz w:val="22"/>
          <w:szCs w:val="22"/>
          <w:rtl w:val="0"/>
          <w:lang w:val="de-DE"/>
        </w:rPr>
        <w:t>Note:</w:t>
      </w:r>
      <w:r>
        <w:rPr>
          <w:sz w:val="22"/>
          <w:szCs w:val="22"/>
          <w:rtl w:val="0"/>
          <w:lang w:val="en-US"/>
        </w:rPr>
        <w:t xml:space="preserve">  Bolded state objectives have been assigned for final program assessment to EDMD 3300.  All listed objectives are assessed and/or evaluated as they contribute to various projects, tests or activities within EDMD 3300.  Please see the Assessment Template for details)</w:t>
      </w:r>
    </w:p>
    <w:p>
      <w:pPr>
        <w:pStyle w:val="Body"/>
        <w:ind w:left="1440" w:hanging="720"/>
        <w:outlineLvl w:val="0"/>
        <w:rPr>
          <w:b w:val="1"/>
          <w:bCs w:val="1"/>
          <w:sz w:val="22"/>
          <w:szCs w:val="22"/>
        </w:rPr>
      </w:pPr>
      <w:r>
        <w:rPr>
          <w:b w:val="1"/>
          <w:bCs w:val="1"/>
          <w:sz w:val="22"/>
          <w:szCs w:val="22"/>
          <w:rtl w:val="0"/>
          <w:lang w:val="en-US"/>
        </w:rPr>
        <w:t>Teaching and Learning</w:t>
      </w:r>
    </w:p>
    <w:p>
      <w:pPr>
        <w:pStyle w:val="Body"/>
        <w:ind w:left="1440" w:hanging="720"/>
        <w:rPr>
          <w:i w:val="1"/>
          <w:iCs w:val="1"/>
          <w:sz w:val="22"/>
          <w:szCs w:val="22"/>
        </w:rPr>
      </w:pPr>
      <w:r>
        <w:rPr>
          <w:i w:val="1"/>
          <w:iCs w:val="1"/>
          <w:sz w:val="22"/>
          <w:szCs w:val="22"/>
          <w:rtl w:val="0"/>
          <w:lang w:val="en-US"/>
        </w:rPr>
        <w:t>Human Development(2)(c)1.</w:t>
      </w:r>
    </w:p>
    <w:p>
      <w:pPr>
        <w:pStyle w:val="Body"/>
        <w:ind w:left="1440" w:hanging="720"/>
        <w:rPr>
          <w:b w:val="1"/>
          <w:bCs w:val="1"/>
          <w:sz w:val="22"/>
          <w:szCs w:val="22"/>
        </w:rPr>
      </w:pPr>
      <w:r>
        <w:rPr>
          <w:b w:val="1"/>
          <w:bCs w:val="1"/>
          <w:sz w:val="22"/>
          <w:szCs w:val="22"/>
          <w:rtl w:val="0"/>
        </w:rPr>
        <w:t>(v)</w:t>
        <w:tab/>
        <w:t>Ability to plan and implement equitable and effective student access to available technology and other resources to enhance student learning.</w:t>
      </w:r>
    </w:p>
    <w:p>
      <w:pPr>
        <w:pStyle w:val="Body"/>
        <w:ind w:left="1440" w:hanging="720"/>
        <w:rPr>
          <w:i w:val="1"/>
          <w:iCs w:val="1"/>
          <w:sz w:val="22"/>
          <w:szCs w:val="22"/>
        </w:rPr>
      </w:pPr>
      <w:r>
        <w:rPr>
          <w:i w:val="1"/>
          <w:iCs w:val="1"/>
          <w:sz w:val="22"/>
          <w:szCs w:val="22"/>
          <w:rtl w:val="0"/>
          <w:lang w:val="en-US"/>
        </w:rPr>
        <w:t>Instructional Strategies(2)(c)4.</w:t>
      </w:r>
    </w:p>
    <w:p>
      <w:pPr>
        <w:pStyle w:val="Body"/>
        <w:numPr>
          <w:ilvl w:val="0"/>
          <w:numId w:val="2"/>
        </w:numPr>
        <w:bidi w:val="0"/>
        <w:ind w:right="0"/>
        <w:jc w:val="left"/>
        <w:rPr>
          <w:sz w:val="22"/>
          <w:szCs w:val="22"/>
          <w:rtl w:val="0"/>
          <w:lang w:val="en-US"/>
        </w:rPr>
      </w:pPr>
      <w:r>
        <w:rPr>
          <w:sz w:val="22"/>
          <w:szCs w:val="22"/>
          <w:rtl w:val="0"/>
          <w:lang w:val="en-US"/>
        </w:rPr>
        <w:t>Knowledge of research and theory underpinning effective teaching and learning.</w:t>
      </w:r>
    </w:p>
    <w:p>
      <w:pPr>
        <w:pStyle w:val="Body"/>
        <w:ind w:left="1440" w:hanging="720"/>
        <w:rPr>
          <w:sz w:val="22"/>
          <w:szCs w:val="22"/>
        </w:rPr>
      </w:pPr>
      <w:r>
        <w:rPr>
          <w:sz w:val="22"/>
          <w:szCs w:val="22"/>
          <w:rtl w:val="0"/>
        </w:rPr>
        <w:t>(v)</w:t>
        <w:tab/>
        <w:t>Ability to select and support the use of instructional and assistive technologies and to integrate these into a coherent instructional design.</w:t>
      </w:r>
    </w:p>
    <w:p>
      <w:pPr>
        <w:pStyle w:val="Body"/>
        <w:tabs>
          <w:tab w:val="left" w:pos="1440"/>
        </w:tabs>
        <w:ind w:left="1440" w:hanging="720"/>
        <w:outlineLvl w:val="0"/>
        <w:rPr>
          <w:b w:val="1"/>
          <w:bCs w:val="1"/>
          <w:sz w:val="22"/>
          <w:szCs w:val="22"/>
        </w:rPr>
      </w:pPr>
      <w:r>
        <w:rPr>
          <w:b w:val="1"/>
          <w:bCs w:val="1"/>
          <w:sz w:val="22"/>
          <w:szCs w:val="22"/>
          <w:rtl w:val="0"/>
        </w:rPr>
        <w:t>Literacy</w:t>
      </w:r>
    </w:p>
    <w:p>
      <w:pPr>
        <w:pStyle w:val="Body"/>
        <w:tabs>
          <w:tab w:val="left" w:pos="1440"/>
        </w:tabs>
        <w:ind w:left="1440" w:hanging="720"/>
        <w:rPr>
          <w:i w:val="1"/>
          <w:iCs w:val="1"/>
          <w:sz w:val="22"/>
          <w:szCs w:val="22"/>
        </w:rPr>
      </w:pPr>
      <w:r>
        <w:rPr>
          <w:i w:val="1"/>
          <w:iCs w:val="1"/>
          <w:sz w:val="22"/>
          <w:szCs w:val="22"/>
          <w:rtl w:val="0"/>
          <w:lang w:val="en-US"/>
        </w:rPr>
        <w:t>Oral and Written Communication(3)(c)1.</w:t>
      </w:r>
    </w:p>
    <w:p>
      <w:pPr>
        <w:pStyle w:val="Body"/>
        <w:tabs>
          <w:tab w:val="left" w:pos="1440"/>
        </w:tabs>
        <w:ind w:left="720" w:firstLine="0"/>
        <w:rPr>
          <w:sz w:val="22"/>
          <w:szCs w:val="22"/>
        </w:rPr>
      </w:pPr>
      <w:r>
        <w:rPr>
          <w:sz w:val="22"/>
          <w:szCs w:val="22"/>
          <w:rtl w:val="0"/>
        </w:rPr>
        <w:t>(i)</w:t>
        <w:tab/>
        <w:t>Knowledge of standard oral and written communications.</w:t>
      </w:r>
    </w:p>
    <w:p>
      <w:pPr>
        <w:pStyle w:val="Body"/>
        <w:tabs>
          <w:tab w:val="left" w:pos="1440"/>
        </w:tabs>
        <w:ind w:left="1440" w:hanging="720"/>
        <w:rPr>
          <w:b w:val="1"/>
          <w:bCs w:val="1"/>
          <w:sz w:val="22"/>
          <w:szCs w:val="22"/>
        </w:rPr>
      </w:pPr>
      <w:r>
        <w:rPr>
          <w:b w:val="1"/>
          <w:bCs w:val="1"/>
          <w:sz w:val="22"/>
          <w:szCs w:val="22"/>
          <w:rtl w:val="0"/>
        </w:rPr>
        <w:t>(iii)</w:t>
        <w:tab/>
        <w:t>Knowledge of media communication technologies that enrich learning opportunities.</w:t>
      </w:r>
    </w:p>
    <w:p>
      <w:pPr>
        <w:pStyle w:val="Body"/>
        <w:tabs>
          <w:tab w:val="left" w:pos="1440"/>
        </w:tabs>
        <w:ind w:left="1440" w:hanging="720"/>
        <w:rPr>
          <w:sz w:val="22"/>
          <w:szCs w:val="22"/>
        </w:rPr>
      </w:pPr>
      <w:r>
        <w:rPr>
          <w:sz w:val="22"/>
          <w:szCs w:val="22"/>
          <w:rtl w:val="0"/>
        </w:rPr>
        <w:t>(iv)</w:t>
        <w:tab/>
        <w:t>Ability to model appropriate oral and written communications</w:t>
      </w:r>
    </w:p>
    <w:p>
      <w:pPr>
        <w:pStyle w:val="Body"/>
        <w:tabs>
          <w:tab w:val="left" w:pos="1440"/>
        </w:tabs>
        <w:ind w:left="1440" w:hanging="720"/>
        <w:rPr>
          <w:b w:val="1"/>
          <w:bCs w:val="1"/>
          <w:i w:val="1"/>
          <w:iCs w:val="1"/>
          <w:sz w:val="22"/>
          <w:szCs w:val="22"/>
        </w:rPr>
      </w:pPr>
      <w:r>
        <w:rPr>
          <w:b w:val="1"/>
          <w:bCs w:val="1"/>
          <w:i w:val="1"/>
          <w:iCs w:val="1"/>
          <w:sz w:val="22"/>
          <w:szCs w:val="22"/>
          <w:rtl w:val="0"/>
          <w:lang w:val="en-US"/>
        </w:rPr>
        <w:t>Technology(3)(c)4.</w:t>
      </w:r>
    </w:p>
    <w:p>
      <w:pPr>
        <w:pStyle w:val="Body"/>
        <w:tabs>
          <w:tab w:val="left" w:pos="1440"/>
        </w:tabs>
        <w:ind w:left="1440" w:hanging="720"/>
        <w:rPr>
          <w:b w:val="1"/>
          <w:bCs w:val="1"/>
          <w:sz w:val="22"/>
          <w:szCs w:val="22"/>
        </w:rPr>
      </w:pPr>
      <w:r>
        <w:rPr>
          <w:b w:val="1"/>
          <w:bCs w:val="1"/>
          <w:sz w:val="22"/>
          <w:szCs w:val="22"/>
          <w:rtl w:val="0"/>
        </w:rPr>
        <w:t>(i)</w:t>
        <w:tab/>
        <w:t>Knowledge of available and emerging technologies that support the learning of all students.</w:t>
      </w:r>
    </w:p>
    <w:p>
      <w:pPr>
        <w:pStyle w:val="Body"/>
        <w:tabs>
          <w:tab w:val="left" w:pos="1440"/>
        </w:tabs>
        <w:ind w:left="1440" w:hanging="720"/>
        <w:rPr>
          <w:b w:val="1"/>
          <w:bCs w:val="1"/>
          <w:sz w:val="22"/>
          <w:szCs w:val="22"/>
        </w:rPr>
      </w:pPr>
      <w:r>
        <w:rPr>
          <w:b w:val="1"/>
          <w:bCs w:val="1"/>
          <w:sz w:val="22"/>
          <w:szCs w:val="22"/>
          <w:rtl w:val="0"/>
        </w:rPr>
        <w:t>(ii)</w:t>
        <w:tab/>
        <w:t>Knowledge of the wide range of technologies that support and enhance instruction, including classroom and school resources as well as distance learning and online learning opportunities.</w:t>
      </w:r>
    </w:p>
    <w:p>
      <w:pPr>
        <w:pStyle w:val="Body"/>
        <w:tabs>
          <w:tab w:val="left" w:pos="1440"/>
        </w:tabs>
        <w:ind w:left="1440" w:hanging="720"/>
        <w:outlineLvl w:val="0"/>
        <w:rPr>
          <w:b w:val="1"/>
          <w:bCs w:val="1"/>
          <w:sz w:val="22"/>
          <w:szCs w:val="22"/>
        </w:rPr>
      </w:pPr>
      <w:r>
        <w:rPr>
          <w:b w:val="1"/>
          <w:bCs w:val="1"/>
          <w:sz w:val="22"/>
          <w:szCs w:val="22"/>
          <w:rtl w:val="0"/>
          <w:lang w:val="en-US"/>
        </w:rPr>
        <w:t>Learning Styles(4)(c)4.</w:t>
      </w:r>
    </w:p>
    <w:p>
      <w:pPr>
        <w:pStyle w:val="Body"/>
        <w:ind w:left="1440" w:hanging="720"/>
        <w:rPr>
          <w:b w:val="1"/>
          <w:bCs w:val="1"/>
          <w:sz w:val="22"/>
          <w:szCs w:val="22"/>
        </w:rPr>
      </w:pPr>
      <w:r>
        <w:rPr>
          <w:b w:val="1"/>
          <w:bCs w:val="1"/>
          <w:sz w:val="22"/>
          <w:szCs w:val="22"/>
          <w:rtl w:val="0"/>
        </w:rPr>
        <w:t>(ii)</w:t>
        <w:tab/>
        <w:t>Knowledge of a range of curricular materials and technologies to support the cognitive development of diverse learners</w:t>
      </w:r>
    </w:p>
    <w:p>
      <w:pPr>
        <w:pStyle w:val="Body"/>
        <w:tabs>
          <w:tab w:val="left" w:pos="1440"/>
        </w:tabs>
        <w:ind w:left="1440" w:hanging="720"/>
        <w:outlineLvl w:val="0"/>
        <w:rPr>
          <w:b w:val="1"/>
          <w:bCs w:val="1"/>
          <w:sz w:val="22"/>
          <w:szCs w:val="22"/>
        </w:rPr>
      </w:pPr>
      <w:r>
        <w:rPr>
          <w:b w:val="1"/>
          <w:bCs w:val="1"/>
          <w:sz w:val="22"/>
          <w:szCs w:val="22"/>
          <w:rtl w:val="0"/>
          <w:lang w:val="en-US"/>
        </w:rPr>
        <w:t>Ethics(5)(c)5.</w:t>
      </w:r>
    </w:p>
    <w:p>
      <w:pPr>
        <w:pStyle w:val="Body"/>
        <w:tabs>
          <w:tab w:val="left" w:pos="1440"/>
        </w:tabs>
        <w:ind w:left="1440" w:hanging="720"/>
        <w:rPr>
          <w:b w:val="1"/>
          <w:bCs w:val="1"/>
          <w:sz w:val="22"/>
          <w:szCs w:val="22"/>
        </w:rPr>
      </w:pPr>
      <w:r>
        <w:rPr>
          <w:b w:val="1"/>
          <w:bCs w:val="1"/>
          <w:sz w:val="22"/>
          <w:szCs w:val="22"/>
          <w:rtl w:val="0"/>
        </w:rPr>
        <w:t>(ii)</w:t>
        <w:tab/>
        <w:t>Knowledge of safe, responsible, legal and ethical uses of technologies including fair-use and copyright guidelines and Internet-user protection policies.</w:t>
      </w:r>
    </w:p>
    <w:p>
      <w:pPr>
        <w:pStyle w:val="Body"/>
        <w:tabs>
          <w:tab w:val="left" w:pos="1440"/>
        </w:tabs>
        <w:ind w:left="1440" w:hanging="720"/>
        <w:rPr>
          <w:i w:val="1"/>
          <w:iCs w:val="1"/>
          <w:sz w:val="22"/>
          <w:szCs w:val="22"/>
        </w:rPr>
      </w:pPr>
      <w:r>
        <w:rPr>
          <w:sz w:val="22"/>
          <w:szCs w:val="22"/>
          <w:rtl w:val="0"/>
        </w:rPr>
        <w:t>(iv)</w:t>
        <w:tab/>
        <w:t>Ability to practice safe, responsible, legal and ethical use of technology and comply with school and district acceptable-use policies including fair-use and copyright guidelines and Internet-user protection policies.</w:t>
      </w:r>
      <w:r>
        <w:rPr>
          <w:i w:val="1"/>
          <w:iCs w:val="1"/>
          <w:sz w:val="22"/>
          <w:szCs w:val="22"/>
          <w:rtl w:val="0"/>
        </w:rPr>
        <w:t xml:space="preserve"> </w:t>
      </w:r>
    </w:p>
    <w:p>
      <w:pPr>
        <w:pStyle w:val="Body"/>
        <w:tabs>
          <w:tab w:val="left" w:pos="720"/>
          <w:tab w:val="left" w:pos="1440"/>
        </w:tabs>
        <w:rPr>
          <w:sz w:val="22"/>
          <w:szCs w:val="22"/>
        </w:rPr>
      </w:pPr>
    </w:p>
    <w:p>
      <w:pPr>
        <w:pStyle w:val="Body"/>
        <w:tabs>
          <w:tab w:val="left" w:pos="720"/>
          <w:tab w:val="left" w:pos="1440"/>
        </w:tabs>
        <w:ind w:left="720" w:hanging="720"/>
        <w:rPr>
          <w:b w:val="1"/>
          <w:bCs w:val="1"/>
          <w:sz w:val="22"/>
          <w:szCs w:val="22"/>
        </w:rPr>
      </w:pPr>
      <w:r>
        <w:rPr>
          <w:b w:val="1"/>
          <w:bCs w:val="1"/>
          <w:color w:val="000000"/>
          <w:sz w:val="28"/>
          <w:szCs w:val="28"/>
          <w:u w:color="000000"/>
          <w:rtl w:val="0"/>
          <w:lang w:val="en-US"/>
        </w:rPr>
        <w:t>Course Requirements</w:t>
      </w:r>
      <w:r>
        <w:rPr>
          <w:b w:val="1"/>
          <w:bCs w:val="1"/>
          <w:sz w:val="22"/>
          <w:szCs w:val="22"/>
          <w:rtl w:val="0"/>
        </w:rPr>
        <w:t>:</w:t>
      </w:r>
    </w:p>
    <w:p>
      <w:pPr>
        <w:pStyle w:val="Body"/>
        <w:numPr>
          <w:ilvl w:val="2"/>
          <w:numId w:val="4"/>
        </w:numPr>
        <w:bidi w:val="0"/>
        <w:ind w:right="0"/>
        <w:jc w:val="left"/>
        <w:rPr>
          <w:b w:val="1"/>
          <w:bCs w:val="1"/>
          <w:sz w:val="22"/>
          <w:szCs w:val="22"/>
          <w:rtl w:val="0"/>
          <w:lang w:val="en-US"/>
        </w:rPr>
      </w:pPr>
      <w:r>
        <w:rPr>
          <w:b w:val="0"/>
          <w:bCs w:val="0"/>
          <w:sz w:val="22"/>
          <w:szCs w:val="22"/>
          <w:rtl w:val="0"/>
          <w:lang w:val="en-US"/>
        </w:rPr>
        <w:t>Successfully complete all assignments and homework activities in a timely manner.</w:t>
      </w:r>
    </w:p>
    <w:p>
      <w:pPr>
        <w:pStyle w:val="Body"/>
        <w:numPr>
          <w:ilvl w:val="2"/>
          <w:numId w:val="5"/>
        </w:numPr>
        <w:bidi w:val="0"/>
        <w:ind w:right="0"/>
        <w:jc w:val="left"/>
        <w:rPr>
          <w:sz w:val="22"/>
          <w:szCs w:val="22"/>
          <w:rtl w:val="0"/>
          <w:lang w:val="en-US"/>
        </w:rPr>
      </w:pPr>
      <w:r>
        <w:rPr>
          <w:sz w:val="22"/>
          <w:szCs w:val="22"/>
          <w:rtl w:val="0"/>
          <w:lang w:val="en-US"/>
        </w:rPr>
        <w:t>Successfully master quizzes covering concepts from the textbooks &amp; online lectures/discussions.</w:t>
      </w:r>
    </w:p>
    <w:p>
      <w:pPr>
        <w:pStyle w:val="Body"/>
        <w:numPr>
          <w:ilvl w:val="2"/>
          <w:numId w:val="5"/>
        </w:numPr>
        <w:bidi w:val="0"/>
        <w:ind w:right="0"/>
        <w:jc w:val="left"/>
        <w:rPr>
          <w:sz w:val="22"/>
          <w:szCs w:val="22"/>
          <w:rtl w:val="0"/>
          <w:lang w:val="en-US"/>
        </w:rPr>
      </w:pPr>
      <w:r>
        <w:rPr>
          <w:sz w:val="22"/>
          <w:szCs w:val="22"/>
          <w:rtl w:val="0"/>
          <w:lang w:val="en-US"/>
        </w:rPr>
        <w:t>Attend each scheduled lab meeting as well as participate in activities and discussions in an active and collegial fashion.</w:t>
      </w:r>
    </w:p>
    <w:p>
      <w:pPr>
        <w:pStyle w:val="Default"/>
        <w:ind w:left="720" w:firstLine="0"/>
        <w:rPr>
          <w:rFonts w:ascii="Times New Roman" w:cs="Times New Roman" w:hAnsi="Times New Roman" w:eastAsia="Times New Roman"/>
          <w:sz w:val="22"/>
          <w:szCs w:val="22"/>
        </w:rPr>
      </w:pPr>
      <w:r>
        <w:rPr>
          <w:rFonts w:ascii="Times New Roman" w:hAnsi="Times New Roman"/>
          <w:b w:val="1"/>
          <w:bCs w:val="1"/>
          <w:i w:val="1"/>
          <w:iCs w:val="1"/>
          <w:sz w:val="22"/>
          <w:szCs w:val="22"/>
          <w:rtl w:val="0"/>
          <w:lang w:val="en-US"/>
        </w:rPr>
        <w:t>Note:</w:t>
      </w:r>
      <w:r>
        <w:rPr>
          <w:rFonts w:ascii="Times New Roman" w:hAnsi="Times New Roman"/>
          <w:i w:val="1"/>
          <w:iCs w:val="1"/>
          <w:sz w:val="22"/>
          <w:szCs w:val="22"/>
          <w:rtl w:val="0"/>
          <w:lang w:val="en-US"/>
        </w:rPr>
        <w:t xml:space="preserve">  </w:t>
      </w:r>
      <w:r>
        <w:rPr>
          <w:rFonts w:ascii="Times New Roman" w:hAnsi="Times New Roman"/>
          <w:sz w:val="22"/>
          <w:szCs w:val="22"/>
          <w:rtl w:val="0"/>
          <w:lang w:val="en-US"/>
        </w:rPr>
        <w:t xml:space="preserve">Please be aware that the university has the expectation that for each credit hour a course is worth, students should spend between </w:t>
      </w:r>
      <w:r>
        <w:rPr>
          <w:rFonts w:ascii="Times New Roman" w:hAnsi="Times New Roman"/>
          <w:b w:val="1"/>
          <w:bCs w:val="1"/>
          <w:sz w:val="22"/>
          <w:szCs w:val="22"/>
          <w:rtl w:val="0"/>
          <w:lang w:val="en-US"/>
        </w:rPr>
        <w:t>3 and 3</w:t>
      </w:r>
      <w:r>
        <w:rPr>
          <w:rFonts w:ascii="Times New Roman" w:hAnsi="Times New Roman" w:hint="default"/>
          <w:b w:val="1"/>
          <w:bCs w:val="1"/>
          <w:sz w:val="22"/>
          <w:szCs w:val="22"/>
          <w:rtl w:val="0"/>
          <w:lang w:val="en-US"/>
        </w:rPr>
        <w:t xml:space="preserve">½ </w:t>
      </w:r>
      <w:r>
        <w:rPr>
          <w:rFonts w:ascii="Times New Roman" w:hAnsi="Times New Roman"/>
          <w:sz w:val="22"/>
          <w:szCs w:val="22"/>
          <w:rtl w:val="0"/>
          <w:lang w:val="en-US"/>
        </w:rPr>
        <w:t xml:space="preserve"> total hours per week on that course.  So, for EDMD 3300 (a 2 credit hour course) students should expect to spend </w:t>
      </w:r>
      <w:r>
        <w:rPr>
          <w:rFonts w:ascii="Times New Roman" w:hAnsi="Times New Roman"/>
          <w:b w:val="1"/>
          <w:bCs w:val="1"/>
          <w:sz w:val="22"/>
          <w:szCs w:val="22"/>
          <w:rtl w:val="0"/>
          <w:lang w:val="en-US"/>
        </w:rPr>
        <w:t xml:space="preserve">6-7 hrs </w:t>
      </w:r>
      <w:r>
        <w:rPr>
          <w:rFonts w:ascii="Times New Roman" w:hAnsi="Times New Roman"/>
          <w:sz w:val="22"/>
          <w:szCs w:val="22"/>
          <w:rtl w:val="0"/>
          <w:lang w:val="en-US"/>
        </w:rPr>
        <w:t xml:space="preserve">per week working on assignments, studying for quizzes and completing other activities for the class.  These numbers are true for a regular semester-long class that does not include a lab component.  For classes that have lab components, such as EDMD 3300, the lab work is in addition to the in-class work.  As a rule, the 6-7 hr expectation is an </w:t>
      </w:r>
      <w:r>
        <w:rPr>
          <w:rFonts w:ascii="Times New Roman" w:hAnsi="Times New Roman" w:hint="default"/>
          <w:sz w:val="22"/>
          <w:szCs w:val="22"/>
          <w:rtl w:val="0"/>
          <w:lang w:val="en-US"/>
        </w:rPr>
        <w:t>“</w:t>
      </w:r>
      <w:r>
        <w:rPr>
          <w:rFonts w:ascii="Times New Roman" w:hAnsi="Times New Roman"/>
          <w:sz w:val="22"/>
          <w:szCs w:val="22"/>
          <w:rtl w:val="0"/>
          <w:lang w:val="en-US"/>
        </w:rPr>
        <w:t>average</w:t>
      </w:r>
      <w:r>
        <w:rPr>
          <w:rFonts w:ascii="Times New Roman" w:hAnsi="Times New Roman" w:hint="default"/>
          <w:sz w:val="22"/>
          <w:szCs w:val="22"/>
          <w:rtl w:val="0"/>
          <w:lang w:val="en-US"/>
        </w:rPr>
        <w:t xml:space="preserve">” </w:t>
      </w:r>
      <w:r>
        <w:rPr>
          <w:rFonts w:ascii="Times New Roman" w:hAnsi="Times New Roman"/>
          <w:sz w:val="22"/>
          <w:szCs w:val="22"/>
          <w:rtl w:val="0"/>
          <w:lang w:val="en-US"/>
        </w:rPr>
        <w:t>expectation.  Some weeks, the time required will be lighter than others.  Some weeks, it will be heavier.  Also, some students may require fewer number of hours spent in class preparation.  (Credit hour policy: https://sites.auburn.edu/admin/universitypolicies/Policies/CreditHourPolicy.pdf)</w:t>
      </w:r>
    </w:p>
    <w:p>
      <w:pPr>
        <w:pStyle w:val="Default"/>
        <w:ind w:left="720" w:firstLine="0"/>
        <w:rPr>
          <w:rFonts w:ascii="Times New Roman" w:cs="Times New Roman" w:hAnsi="Times New Roman" w:eastAsia="Times New Roman"/>
          <w:sz w:val="22"/>
          <w:szCs w:val="22"/>
        </w:rPr>
      </w:pPr>
    </w:p>
    <w:p>
      <w:pPr>
        <w:pStyle w:val="Default"/>
        <w:ind w:left="720" w:hanging="720"/>
      </w:pPr>
      <w:r>
        <w:rPr>
          <w:rFonts w:ascii="Arial Unicode MS" w:cs="Arial Unicode MS" w:hAnsi="Arial Unicode MS" w:eastAsia="Arial Unicode MS"/>
          <w:b w:val="0"/>
          <w:bCs w:val="0"/>
          <w:i w:val="0"/>
          <w:iCs w:val="0"/>
          <w:sz w:val="22"/>
          <w:szCs w:val="22"/>
        </w:rPr>
        <w:br w:type="page"/>
      </w:r>
    </w:p>
    <w:tbl>
      <w:tblPr>
        <w:tblW w:w="86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728"/>
        <w:gridCol w:w="3842"/>
        <w:gridCol w:w="1923"/>
        <w:gridCol w:w="2127"/>
      </w:tblGrid>
      <w:tr>
        <w:tblPrEx>
          <w:shd w:val="clear" w:color="auto" w:fill="ceddeb"/>
        </w:tblPrEx>
        <w:trPr>
          <w:trHeight w:val="79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7f7f7f"/>
            <w:tcMar>
              <w:top w:type="dxa" w:w="80"/>
              <w:left w:type="dxa" w:w="80"/>
              <w:bottom w:type="dxa" w:w="80"/>
              <w:right w:type="dxa" w:w="80"/>
            </w:tcMar>
            <w:vAlign w:val="bottom"/>
          </w:tcPr>
          <w:p>
            <w:pPr>
              <w:pStyle w:val="Free Form"/>
              <w:tabs>
                <w:tab w:val="left" w:pos="720"/>
                <w:tab w:val="left" w:pos="1440"/>
              </w:tabs>
              <w:spacing w:after="60"/>
            </w:pPr>
            <w:r>
              <w:rPr>
                <w:sz w:val="22"/>
                <w:szCs w:val="22"/>
                <w:rtl w:val="0"/>
                <w:lang w:val="en-US"/>
              </w:rPr>
              <w:t>Date</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7f7f7f"/>
            <w:tcMar>
              <w:top w:type="dxa" w:w="80"/>
              <w:left w:type="dxa" w:w="80"/>
              <w:bottom w:type="dxa" w:w="80"/>
              <w:right w:type="dxa" w:w="80"/>
            </w:tcMar>
            <w:vAlign w:val="bottom"/>
          </w:tcPr>
          <w:p>
            <w:pPr>
              <w:pStyle w:val="Free Form"/>
              <w:spacing w:after="60"/>
            </w:pPr>
            <w:r>
              <w:rPr>
                <w:sz w:val="22"/>
                <w:szCs w:val="22"/>
                <w:rtl w:val="0"/>
                <w:lang w:val="en-US"/>
              </w:rPr>
              <w:t>Reading Assignment Due</w:t>
            </w:r>
          </w:p>
          <w:p>
            <w:pPr>
              <w:pStyle w:val="Free Form"/>
              <w:spacing w:after="60"/>
            </w:pPr>
            <w:r>
              <w:rPr>
                <w:sz w:val="22"/>
                <w:szCs w:val="22"/>
                <w:rtl w:val="0"/>
                <w:lang w:val="en-US"/>
              </w:rPr>
              <w:t>(reading assignment should be completed prior to class meeting)</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7f7f7f"/>
            <w:tcMar>
              <w:top w:type="dxa" w:w="80"/>
              <w:left w:type="dxa" w:w="80"/>
              <w:bottom w:type="dxa" w:w="80"/>
              <w:right w:type="dxa" w:w="80"/>
            </w:tcMar>
            <w:vAlign w:val="bottom"/>
          </w:tcPr>
          <w:p>
            <w:pPr>
              <w:pStyle w:val="Free Form"/>
            </w:pPr>
            <w:r>
              <w:rPr>
                <w:sz w:val="22"/>
                <w:szCs w:val="22"/>
                <w:rtl w:val="0"/>
                <w:lang w:val="en-US"/>
              </w:rPr>
              <w:t>Portfolio Items Due (Prior to the beginning of class)</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7f7f7f"/>
            <w:tcMar>
              <w:top w:type="dxa" w:w="80"/>
              <w:left w:type="dxa" w:w="80"/>
              <w:bottom w:type="dxa" w:w="80"/>
              <w:right w:type="dxa" w:w="80"/>
            </w:tcMar>
            <w:vAlign w:val="bottom"/>
          </w:tcPr>
          <w:p>
            <w:pPr>
              <w:pStyle w:val="Free Form"/>
              <w:rPr>
                <w:sz w:val="22"/>
                <w:szCs w:val="22"/>
              </w:rPr>
            </w:pPr>
            <w:r>
              <w:rPr>
                <w:sz w:val="22"/>
                <w:szCs w:val="22"/>
                <w:rtl w:val="0"/>
                <w:lang w:val="en-US"/>
              </w:rPr>
              <w:t xml:space="preserve">Project Due </w:t>
            </w:r>
          </w:p>
          <w:p>
            <w:pPr>
              <w:pStyle w:val="Free Form"/>
            </w:pPr>
            <w:r>
              <w:rPr>
                <w:sz w:val="22"/>
                <w:szCs w:val="22"/>
                <w:rtl w:val="0"/>
                <w:lang w:val="en-US"/>
              </w:rPr>
              <w:t>(Prior to the beginning of class)</w:t>
            </w:r>
          </w:p>
        </w:tc>
      </w:tr>
      <w:tr>
        <w:tblPrEx>
          <w:shd w:val="clear" w:color="auto" w:fill="ceddeb"/>
        </w:tblPrEx>
        <w:trPr>
          <w:trHeight w:val="55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Aug 17</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Introduction to Course (Canvas)</w:t>
            </w:r>
          </w:p>
          <w:p>
            <w:pPr>
              <w:pStyle w:val="Free Form"/>
              <w:spacing w:after="60"/>
            </w:pPr>
            <w:r>
              <w:rPr>
                <w:sz w:val="22"/>
                <w:szCs w:val="22"/>
                <w:rtl w:val="0"/>
                <w:lang w:val="en-US"/>
              </w:rPr>
              <w:t>Personal Ed. Tech. Literacy</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r>
      <w:tr>
        <w:tblPrEx>
          <w:shd w:val="clear" w:color="auto" w:fill="ceddeb"/>
        </w:tblPrEx>
        <w:trPr>
          <w:trHeight w:val="73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Aug 24</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1- Technology Integration: A Standards-Based Approach</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Emerging Education Technology News Item</w:t>
            </w:r>
          </w:p>
        </w:tc>
      </w:tr>
      <w:tr>
        <w:tblPrEx>
          <w:shd w:val="clear" w:color="auto" w:fill="ceddeb"/>
        </w:tblPrEx>
        <w:trPr>
          <w:trHeight w:val="49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Aug 31</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2- Self-Directed Lifelong Learning</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r>
      <w:tr>
        <w:tblPrEx>
          <w:shd w:val="clear" w:color="auto" w:fill="ceddeb"/>
        </w:tblPrEx>
        <w:trPr>
          <w:trHeight w:val="73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Sep 7</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3- Supporting Student Creativity with Technology</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p. 51; 1,2,3</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r>
      <w:tr>
        <w:tblPrEx>
          <w:shd w:val="clear" w:color="auto" w:fill="ceddeb"/>
        </w:tblPrEx>
        <w:trPr>
          <w:trHeight w:val="49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Sep 14</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4- Digital Tools that Support Learning</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40"/>
              <w:bottom w:type="dxa" w:w="80"/>
              <w:right w:type="dxa" w:w="80"/>
            </w:tcMar>
            <w:vAlign w:val="bottom"/>
          </w:tcPr>
          <w:p>
            <w:pPr>
              <w:pStyle w:val="Free Form"/>
              <w:ind w:left="60" w:firstLine="0"/>
            </w:pPr>
            <w:r>
              <w:rPr>
                <w:sz w:val="22"/>
                <w:szCs w:val="22"/>
                <w:rtl w:val="0"/>
                <w:lang w:val="en-US"/>
              </w:rPr>
              <w:t>p. 80; 1,2</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r>
      <w:tr>
        <w:tblPrEx>
          <w:shd w:val="clear" w:color="auto" w:fill="ceddeb"/>
        </w:tblPrEx>
        <w:trPr>
          <w:trHeight w:val="73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Sep 21</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5- Developing Technology-Enriched Learning Environments and Experiences</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p. 108; 1,2,3</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Websites Bibliography (Due at beginning of class)</w:t>
            </w:r>
          </w:p>
        </w:tc>
      </w:tr>
      <w:tr>
        <w:tblPrEx>
          <w:shd w:val="clear" w:color="auto" w:fill="ceddeb"/>
        </w:tblPrEx>
        <w:trPr>
          <w:trHeight w:val="73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Sep 28</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6- Customizing Student Learning Activities</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p. 133; 1</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Technology for Diverse Learners (Due at end of class)</w:t>
            </w:r>
          </w:p>
        </w:tc>
      </w:tr>
      <w:tr>
        <w:tblPrEx>
          <w:shd w:val="clear" w:color="auto" w:fill="ceddeb"/>
        </w:tblPrEx>
        <w:trPr>
          <w:trHeight w:val="49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Oct 5</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7- Assessment and Evaluation</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p. 161; 1a, 2</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73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Oct 12</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8- Demonstrating Fluent Use of Technology</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p. 189; 1,2</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73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efe"/>
            <w:tcMar>
              <w:top w:type="dxa" w:w="80"/>
              <w:left w:type="dxa" w:w="80"/>
              <w:bottom w:type="dxa" w:w="80"/>
              <w:right w:type="dxa" w:w="80"/>
            </w:tcMar>
            <w:vAlign w:val="bottom"/>
          </w:tcPr>
          <w:p>
            <w:pPr>
              <w:pStyle w:val="Free Form"/>
            </w:pPr>
            <w:r>
              <w:rPr>
                <w:sz w:val="22"/>
                <w:szCs w:val="22"/>
                <w:rtl w:val="0"/>
                <w:lang w:val="en-US"/>
              </w:rPr>
              <w:t>Oct 19</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9- Modeling and Facilitating Use of Digital Tools</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p. 216; 1,2,3</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Lesson Plan 1</w:t>
            </w:r>
          </w:p>
        </w:tc>
      </w:tr>
      <w:tr>
        <w:tblPrEx>
          <w:shd w:val="clear" w:color="auto" w:fill="ceddeb"/>
        </w:tblPrEx>
        <w:trPr>
          <w:trHeight w:val="49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Oct 26</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10- Legal and Ethical Use</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p. 241; 1a,1b,3</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r>
      <w:tr>
        <w:tblPrEx>
          <w:shd w:val="clear" w:color="auto" w:fill="ceddeb"/>
        </w:tblPrEx>
        <w:trPr>
          <w:trHeight w:val="73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Nov 2</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11- Diversity and Cultural Understanding</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p. 268; 1</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Digital Tools Bibliography (Due at beginning of class)</w:t>
            </w:r>
          </w:p>
        </w:tc>
      </w:tr>
      <w:tr>
        <w:tblPrEx>
          <w:shd w:val="clear" w:color="auto" w:fill="ceddeb"/>
        </w:tblPrEx>
        <w:trPr>
          <w:trHeight w:val="49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Nov 9</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Chapter 12- Professional Growth and Leadership</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p. 290-291; 1,2</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r>
      <w:tr>
        <w:tblPrEx>
          <w:shd w:val="clear" w:color="auto" w:fill="ceddeb"/>
        </w:tblPrEx>
        <w:trPr>
          <w:trHeight w:val="73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Nov 16</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spacing w:after="60"/>
            </w:pPr>
            <w:r>
              <w:rPr>
                <w:sz w:val="22"/>
                <w:szCs w:val="22"/>
                <w:rtl w:val="0"/>
                <w:lang w:val="en-US"/>
              </w:rPr>
              <w:t>Cennamo, Ross, &amp; Ertmer, Supplement- Technology Integration and Lesson Planning in the Content Areas</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p. 316; 1,2</w:t>
            </w: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r>
      <w:tr>
        <w:tblPrEx>
          <w:shd w:val="clear" w:color="auto" w:fill="ceddeb"/>
        </w:tblPrEx>
        <w:trPr>
          <w:trHeight w:val="585"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fbfbf"/>
            <w:tcMar>
              <w:top w:type="dxa" w:w="80"/>
              <w:left w:type="dxa" w:w="80"/>
              <w:bottom w:type="dxa" w:w="80"/>
              <w:right w:type="dxa" w:w="80"/>
            </w:tcMar>
            <w:vAlign w:val="bottom"/>
          </w:tcPr>
          <w:p>
            <w:pPr>
              <w:pStyle w:val="Free Form"/>
            </w:pPr>
            <w:r>
              <w:rPr>
                <w:sz w:val="22"/>
                <w:szCs w:val="22"/>
                <w:rtl w:val="0"/>
                <w:lang w:val="en-US"/>
              </w:rPr>
              <w:t>Nov 23</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fbfbf"/>
            <w:tcMar>
              <w:top w:type="dxa" w:w="80"/>
              <w:left w:type="dxa" w:w="80"/>
              <w:bottom w:type="dxa" w:w="80"/>
              <w:right w:type="dxa" w:w="80"/>
            </w:tcMar>
            <w:vAlign w:val="top"/>
          </w:tcPr>
          <w:p>
            <w:pPr>
              <w:pStyle w:val="Free Form"/>
            </w:pPr>
            <w:r>
              <w:rPr>
                <w:rtl w:val="0"/>
                <w:lang w:val="en-US"/>
              </w:rPr>
              <w:t>Thanksgiving Break- No Class</w:t>
            </w: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fbfbf"/>
            <w:tcMar>
              <w:top w:type="dxa" w:w="80"/>
              <w:left w:type="dxa" w:w="80"/>
              <w:bottom w:type="dxa" w:w="80"/>
              <w:right w:type="dxa" w:w="80"/>
            </w:tcMar>
            <w:vAlign w:val="top"/>
          </w:tcP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fbfbf"/>
            <w:tcMar>
              <w:top w:type="dxa" w:w="80"/>
              <w:left w:type="dxa" w:w="80"/>
              <w:bottom w:type="dxa" w:w="80"/>
              <w:right w:type="dxa" w:w="80"/>
            </w:tcMar>
            <w:vAlign w:val="top"/>
          </w:tcPr>
          <w:p/>
        </w:tc>
      </w:tr>
      <w:tr>
        <w:tblPrEx>
          <w:shd w:val="clear" w:color="auto" w:fill="ceddeb"/>
        </w:tblPrEx>
        <w:trPr>
          <w:trHeight w:val="731" w:hRule="atLeast"/>
        </w:trPr>
        <w:tc>
          <w:tcPr>
            <w:tcW w:type="dxa" w:w="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Nov 30</w:t>
            </w:r>
          </w:p>
        </w:tc>
        <w:tc>
          <w:tcPr>
            <w:tcW w:type="dxa" w:w="384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c>
          <w:tcPr>
            <w:tcW w:type="dxa" w:w="1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c>
          <w:tcPr>
            <w:tcW w:type="dxa" w:w="21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Free Form"/>
            </w:pPr>
            <w:r>
              <w:rPr>
                <w:sz w:val="22"/>
                <w:szCs w:val="22"/>
                <w:rtl w:val="0"/>
                <w:lang w:val="en-US"/>
              </w:rPr>
              <w:t>Lesson Plan 2</w:t>
            </w:r>
          </w:p>
          <w:p>
            <w:pPr>
              <w:pStyle w:val="Free Form"/>
            </w:pPr>
            <w:r>
              <w:rPr>
                <w:sz w:val="22"/>
                <w:szCs w:val="22"/>
                <w:rtl w:val="0"/>
                <w:lang w:val="en-US"/>
              </w:rPr>
              <w:t>Wiki (Due at end of class)</w:t>
            </w:r>
          </w:p>
        </w:tc>
      </w:tr>
    </w:tbl>
    <w:p>
      <w:pPr>
        <w:pStyle w:val="Heading"/>
        <w:rPr>
          <w:color w:val="000000"/>
          <w:u w:color="000000"/>
        </w:rPr>
      </w:pPr>
      <w:r>
        <w:rPr>
          <w:color w:val="000000"/>
          <w:u w:color="000000"/>
          <w:rtl w:val="0"/>
          <w:lang w:val="en-US"/>
        </w:rPr>
        <w:t xml:space="preserve">Course Content: </w:t>
      </w:r>
    </w:p>
    <w:p>
      <w:pPr>
        <w:pStyle w:val="Body"/>
        <w:tabs>
          <w:tab w:val="left" w:pos="720"/>
          <w:tab w:val="left" w:pos="1440"/>
        </w:tabs>
      </w:pPr>
    </w:p>
    <w:p>
      <w:pPr>
        <w:pStyle w:val="Body"/>
        <w:tabs>
          <w:tab w:val="left" w:pos="720"/>
          <w:tab w:val="left" w:pos="1440"/>
        </w:tabs>
        <w:ind w:left="720" w:hanging="720"/>
        <w:rPr>
          <w:sz w:val="22"/>
          <w:szCs w:val="22"/>
        </w:rPr>
      </w:pPr>
      <w:r>
        <w:rPr>
          <w:b w:val="1"/>
          <w:bCs w:val="1"/>
          <w:color w:val="000000"/>
          <w:sz w:val="28"/>
          <w:szCs w:val="28"/>
          <w:u w:color="000000"/>
          <w:rtl w:val="0"/>
          <w:lang w:val="it-IT"/>
        </w:rPr>
        <w:t>Assessment</w:t>
      </w:r>
      <w:r>
        <w:rPr>
          <w:b w:val="1"/>
          <w:bCs w:val="1"/>
          <w:sz w:val="22"/>
          <w:szCs w:val="22"/>
          <w:rtl w:val="0"/>
        </w:rPr>
        <w:t>:</w:t>
        <w:tab/>
      </w:r>
      <w:r>
        <w:rPr>
          <w:sz w:val="22"/>
          <w:szCs w:val="22"/>
          <w:rtl w:val="0"/>
          <w:lang w:val="en-US"/>
        </w:rPr>
        <w:t>Students will receive points for assignments throughout the semester based on the following scale.  Assignment descriptions are included in the course text, along with specific grading details in Canvas.</w:t>
      </w: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2178"/>
        <w:gridCol w:w="4289"/>
        <w:gridCol w:w="3109"/>
      </w:tblGrid>
      <w:tr>
        <w:tblPrEx>
          <w:shd w:val="clear" w:color="auto" w:fill="499bc9"/>
        </w:tblPrEx>
        <w:trPr>
          <w:trHeight w:val="251" w:hRule="atLeast"/>
          <w:tblHeader/>
        </w:trPr>
        <w:tc>
          <w:tcPr>
            <w:tcW w:type="dxa" w:w="2178"/>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pPr>
              <w:pStyle w:val="Body A"/>
            </w:pPr>
            <w:r>
              <w:rPr>
                <w:rFonts w:ascii="Times New Roman" w:hAnsi="Times New Roman"/>
                <w:sz w:val="22"/>
                <w:szCs w:val="22"/>
                <w:rtl w:val="0"/>
                <w:lang w:val="de-DE"/>
              </w:rPr>
              <w:t>Graded Item</w:t>
            </w:r>
          </w:p>
        </w:tc>
        <w:tc>
          <w:tcPr>
            <w:tcW w:type="dxa" w:w="4289"/>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pPr>
              <w:pStyle w:val="Body A"/>
            </w:pPr>
            <w:r>
              <w:rPr>
                <w:rFonts w:ascii="Times New Roman" w:hAnsi="Times New Roman"/>
                <w:sz w:val="22"/>
                <w:szCs w:val="22"/>
                <w:rtl w:val="0"/>
                <w:lang w:val="en-US"/>
              </w:rPr>
              <w:t>Points Breakdown</w:t>
            </w:r>
          </w:p>
        </w:tc>
        <w:tc>
          <w:tcPr>
            <w:tcW w:type="dxa" w:w="3109"/>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pPr>
              <w:pStyle w:val="Body A"/>
            </w:pPr>
            <w:r>
              <w:rPr>
                <w:rFonts w:ascii="Times New Roman" w:hAnsi="Times New Roman"/>
                <w:sz w:val="22"/>
                <w:szCs w:val="22"/>
                <w:rtl w:val="0"/>
                <w:lang w:val="en-US"/>
              </w:rPr>
              <w:t xml:space="preserve"> Total points</w:t>
            </w:r>
          </w:p>
        </w:tc>
      </w:tr>
      <w:tr>
        <w:tblPrEx>
          <w:shd w:val="clear" w:color="auto" w:fill="ceddeb"/>
        </w:tblPrEx>
        <w:trPr>
          <w:trHeight w:val="241" w:hRule="atLeast"/>
        </w:trPr>
        <w:tc>
          <w:tcPr>
            <w:tcW w:type="dxa" w:w="2178"/>
            <w:tcBorders>
              <w:top w:val="single" w:color="000000" w:sz="8" w:space="0" w:shadow="0" w:frame="0"/>
              <w:left w:val="nil"/>
              <w:bottom w:val="nil"/>
              <w:right w:val="nil"/>
            </w:tcBorders>
            <w:shd w:val="clear" w:color="auto" w:fill="c0c0c0"/>
            <w:tcMar>
              <w:top w:type="dxa" w:w="80"/>
              <w:left w:type="dxa" w:w="80"/>
              <w:bottom w:type="dxa" w:w="80"/>
              <w:right w:type="dxa" w:w="80"/>
            </w:tcMar>
            <w:vAlign w:val="top"/>
          </w:tcPr>
          <w:p>
            <w:pPr>
              <w:pStyle w:val="Body A"/>
            </w:pPr>
            <w:r>
              <w:rPr>
                <w:rFonts w:ascii="Times New Roman" w:hAnsi="Times New Roman"/>
                <w:b w:val="1"/>
                <w:bCs w:val="1"/>
                <w:sz w:val="22"/>
                <w:szCs w:val="22"/>
                <w:rtl w:val="0"/>
                <w:lang w:val="en-US"/>
              </w:rPr>
              <w:t>Portfolio</w:t>
            </w:r>
          </w:p>
        </w:tc>
        <w:tc>
          <w:tcPr>
            <w:tcW w:type="dxa" w:w="4289"/>
            <w:tcBorders>
              <w:top w:val="single" w:color="000000" w:sz="8" w:space="0" w:shadow="0" w:frame="0"/>
              <w:left w:val="nil"/>
              <w:bottom w:val="nil"/>
              <w:right w:val="nil"/>
            </w:tcBorders>
            <w:shd w:val="clear" w:color="auto" w:fill="c0c0c0"/>
            <w:tcMar>
              <w:top w:type="dxa" w:w="80"/>
              <w:left w:type="dxa" w:w="80"/>
              <w:bottom w:type="dxa" w:w="80"/>
              <w:right w:type="dxa" w:w="80"/>
            </w:tcMar>
            <w:vAlign w:val="top"/>
          </w:tcPr>
          <w:p/>
        </w:tc>
        <w:tc>
          <w:tcPr>
            <w:tcW w:type="dxa" w:w="3109"/>
            <w:tcBorders>
              <w:top w:val="single" w:color="000000" w:sz="8" w:space="0" w:shadow="0" w:frame="0"/>
              <w:left w:val="nil"/>
              <w:bottom w:val="nil"/>
              <w:right w:val="nil"/>
            </w:tcBorders>
            <w:shd w:val="clear" w:color="auto" w:fill="c0c0c0"/>
            <w:tcMar>
              <w:top w:type="dxa" w:w="80"/>
              <w:left w:type="dxa" w:w="80"/>
              <w:bottom w:type="dxa" w:w="80"/>
              <w:right w:type="dxa" w:w="80"/>
            </w:tcMar>
            <w:vAlign w:val="top"/>
          </w:tcPr>
          <w:p>
            <w:pPr>
              <w:pStyle w:val="Body A"/>
            </w:pPr>
            <w:r>
              <w:rPr>
                <w:rFonts w:ascii="Times New Roman" w:hAnsi="Times New Roman"/>
                <w:b w:val="1"/>
                <w:bCs w:val="1"/>
                <w:sz w:val="22"/>
                <w:szCs w:val="22"/>
                <w:rtl w:val="0"/>
                <w:lang w:val="en-US"/>
              </w:rPr>
              <w:t>78 Points</w:t>
            </w:r>
          </w:p>
        </w:tc>
      </w:tr>
      <w:tr>
        <w:tblPrEx>
          <w:shd w:val="clear" w:color="auto" w:fill="ceddeb"/>
        </w:tblPrEx>
        <w:trPr>
          <w:trHeight w:val="231" w:hRule="atLeast"/>
        </w:trPr>
        <w:tc>
          <w:tcPr>
            <w:tcW w:type="dxa" w:w="2178"/>
            <w:tcBorders>
              <w:top w:val="nil"/>
              <w:left w:val="nil"/>
              <w:bottom w:val="nil"/>
              <w:right w:val="nil"/>
            </w:tcBorders>
            <w:shd w:val="clear" w:color="auto" w:fill="auto"/>
            <w:tcMar>
              <w:top w:type="dxa" w:w="80"/>
              <w:left w:type="dxa" w:w="80"/>
              <w:bottom w:type="dxa" w:w="80"/>
              <w:right w:type="dxa" w:w="80"/>
            </w:tcMar>
            <w:vAlign w:val="top"/>
          </w:tcPr>
          <w:p/>
        </w:tc>
        <w:tc>
          <w:tcPr>
            <w:tcW w:type="dxa" w:w="4289"/>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sz w:val="22"/>
                <w:szCs w:val="22"/>
                <w:rtl w:val="0"/>
                <w:lang w:val="en-US"/>
              </w:rPr>
              <w:t>21 items- 2 pts. ea.</w:t>
            </w:r>
          </w:p>
        </w:tc>
        <w:tc>
          <w:tcPr>
            <w:tcW w:type="dxa" w:w="310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deb"/>
        </w:tblPrEx>
        <w:trPr>
          <w:trHeight w:val="231" w:hRule="atLeast"/>
        </w:trPr>
        <w:tc>
          <w:tcPr>
            <w:tcW w:type="dxa" w:w="2178"/>
            <w:tcBorders>
              <w:top w:val="nil"/>
              <w:left w:val="nil"/>
              <w:bottom w:val="nil"/>
              <w:right w:val="nil"/>
            </w:tcBorders>
            <w:shd w:val="clear" w:color="auto" w:fill="c0c0c0"/>
            <w:tcMar>
              <w:top w:type="dxa" w:w="80"/>
              <w:left w:type="dxa" w:w="80"/>
              <w:bottom w:type="dxa" w:w="80"/>
              <w:right w:type="dxa" w:w="80"/>
            </w:tcMar>
            <w:vAlign w:val="top"/>
          </w:tcPr>
          <w:p/>
        </w:tc>
        <w:tc>
          <w:tcPr>
            <w:tcW w:type="dxa" w:w="4289"/>
            <w:tcBorders>
              <w:top w:val="nil"/>
              <w:left w:val="nil"/>
              <w:bottom w:val="nil"/>
              <w:right w:val="nil"/>
            </w:tcBorders>
            <w:shd w:val="clear" w:color="auto" w:fill="c0c0c0"/>
            <w:tcMar>
              <w:top w:type="dxa" w:w="80"/>
              <w:left w:type="dxa" w:w="80"/>
              <w:bottom w:type="dxa" w:w="80"/>
              <w:right w:type="dxa" w:w="80"/>
            </w:tcMar>
            <w:vAlign w:val="top"/>
          </w:tcPr>
          <w:p>
            <w:pPr>
              <w:pStyle w:val="Body A"/>
            </w:pPr>
            <w:r>
              <w:rPr>
                <w:rFonts w:ascii="Times New Roman" w:hAnsi="Times New Roman"/>
                <w:sz w:val="22"/>
                <w:szCs w:val="22"/>
                <w:rtl w:val="0"/>
                <w:lang w:val="en-US"/>
              </w:rPr>
              <w:t>1 items- 6 pts.</w:t>
            </w:r>
          </w:p>
        </w:tc>
        <w:tc>
          <w:tcPr>
            <w:tcW w:type="dxa" w:w="3109"/>
            <w:tcBorders>
              <w:top w:val="nil"/>
              <w:left w:val="nil"/>
              <w:bottom w:val="nil"/>
              <w:right w:val="nil"/>
            </w:tcBorders>
            <w:shd w:val="clear" w:color="auto" w:fill="c0c0c0"/>
            <w:tcMar>
              <w:top w:type="dxa" w:w="80"/>
              <w:left w:type="dxa" w:w="80"/>
              <w:bottom w:type="dxa" w:w="80"/>
              <w:right w:type="dxa" w:w="80"/>
            </w:tcMar>
            <w:vAlign w:val="top"/>
          </w:tcPr>
          <w:p/>
        </w:tc>
      </w:tr>
      <w:tr>
        <w:tblPrEx>
          <w:shd w:val="clear" w:color="auto" w:fill="ceddeb"/>
        </w:tblPrEx>
        <w:trPr>
          <w:trHeight w:val="231" w:hRule="atLeast"/>
        </w:trPr>
        <w:tc>
          <w:tcPr>
            <w:tcW w:type="dxa" w:w="2178"/>
            <w:tcBorders>
              <w:top w:val="nil"/>
              <w:left w:val="nil"/>
              <w:bottom w:val="nil"/>
              <w:right w:val="nil"/>
            </w:tcBorders>
            <w:shd w:val="clear" w:color="auto" w:fill="auto"/>
            <w:tcMar>
              <w:top w:type="dxa" w:w="80"/>
              <w:left w:type="dxa" w:w="80"/>
              <w:bottom w:type="dxa" w:w="80"/>
              <w:right w:type="dxa" w:w="80"/>
            </w:tcMar>
            <w:vAlign w:val="top"/>
          </w:tcPr>
          <w:p/>
        </w:tc>
        <w:tc>
          <w:tcPr>
            <w:tcW w:type="dxa" w:w="4289"/>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sz w:val="22"/>
                <w:szCs w:val="22"/>
                <w:rtl w:val="0"/>
                <w:lang w:val="en-US"/>
              </w:rPr>
              <w:t xml:space="preserve">2 </w:t>
            </w:r>
            <w:r>
              <w:rPr>
                <w:rFonts w:ascii="Times New Roman" w:hAnsi="Times New Roman"/>
                <w:sz w:val="22"/>
                <w:szCs w:val="22"/>
                <w:rtl w:val="0"/>
                <w:lang w:val="de-DE"/>
              </w:rPr>
              <w:t>Lesson Plan</w:t>
            </w:r>
            <w:r>
              <w:rPr>
                <w:rFonts w:ascii="Times New Roman" w:hAnsi="Times New Roman"/>
                <w:sz w:val="22"/>
                <w:szCs w:val="22"/>
                <w:rtl w:val="0"/>
                <w:lang w:val="en-US"/>
              </w:rPr>
              <w:t>s- 15 pts. ea.</w:t>
            </w:r>
          </w:p>
        </w:tc>
        <w:tc>
          <w:tcPr>
            <w:tcW w:type="dxa" w:w="310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deb"/>
        </w:tblPrEx>
        <w:trPr>
          <w:trHeight w:val="471" w:hRule="atLeast"/>
        </w:trPr>
        <w:tc>
          <w:tcPr>
            <w:tcW w:type="dxa" w:w="2178"/>
            <w:tcBorders>
              <w:top w:val="nil"/>
              <w:left w:val="nil"/>
              <w:bottom w:val="nil"/>
              <w:right w:val="nil"/>
            </w:tcBorders>
            <w:shd w:val="clear" w:color="auto" w:fill="c0c0c0"/>
            <w:tcMar>
              <w:top w:type="dxa" w:w="80"/>
              <w:left w:type="dxa" w:w="80"/>
              <w:bottom w:type="dxa" w:w="80"/>
              <w:right w:type="dxa" w:w="80"/>
            </w:tcMar>
            <w:vAlign w:val="top"/>
          </w:tcPr>
          <w:p>
            <w:pPr>
              <w:pStyle w:val="Body A"/>
            </w:pPr>
            <w:r>
              <w:rPr>
                <w:rFonts w:ascii="Times New Roman" w:hAnsi="Times New Roman"/>
                <w:b w:val="1"/>
                <w:bCs w:val="1"/>
                <w:sz w:val="22"/>
                <w:szCs w:val="22"/>
                <w:rtl w:val="0"/>
                <w:lang w:val="en-US"/>
              </w:rPr>
              <w:t>Reading Assignment Quizzes</w:t>
            </w:r>
          </w:p>
        </w:tc>
        <w:tc>
          <w:tcPr>
            <w:tcW w:type="dxa" w:w="4289"/>
            <w:tcBorders>
              <w:top w:val="nil"/>
              <w:left w:val="nil"/>
              <w:bottom w:val="nil"/>
              <w:right w:val="nil"/>
            </w:tcBorders>
            <w:shd w:val="clear" w:color="auto" w:fill="c0c0c0"/>
            <w:tcMar>
              <w:top w:type="dxa" w:w="80"/>
              <w:left w:type="dxa" w:w="80"/>
              <w:bottom w:type="dxa" w:w="80"/>
              <w:right w:type="dxa" w:w="80"/>
            </w:tcMar>
            <w:vAlign w:val="top"/>
          </w:tcPr>
          <w:p/>
        </w:tc>
        <w:tc>
          <w:tcPr>
            <w:tcW w:type="dxa" w:w="3109"/>
            <w:tcBorders>
              <w:top w:val="nil"/>
              <w:left w:val="nil"/>
              <w:bottom w:val="nil"/>
              <w:right w:val="nil"/>
            </w:tcBorders>
            <w:shd w:val="clear" w:color="auto" w:fill="c0c0c0"/>
            <w:tcMar>
              <w:top w:type="dxa" w:w="80"/>
              <w:left w:type="dxa" w:w="80"/>
              <w:bottom w:type="dxa" w:w="80"/>
              <w:right w:type="dxa" w:w="80"/>
            </w:tcMar>
            <w:vAlign w:val="top"/>
          </w:tcPr>
          <w:p>
            <w:pPr>
              <w:pStyle w:val="Body A"/>
            </w:pPr>
            <w:r>
              <w:rPr>
                <w:rFonts w:ascii="Times New Roman" w:hAnsi="Times New Roman"/>
                <w:b w:val="1"/>
                <w:bCs w:val="1"/>
                <w:sz w:val="22"/>
                <w:szCs w:val="22"/>
                <w:rtl w:val="0"/>
                <w:lang w:val="en-US"/>
              </w:rPr>
              <w:t>60 pts</w:t>
            </w:r>
          </w:p>
        </w:tc>
      </w:tr>
      <w:tr>
        <w:tblPrEx>
          <w:shd w:val="clear" w:color="auto" w:fill="ceddeb"/>
        </w:tblPrEx>
        <w:trPr>
          <w:trHeight w:val="231" w:hRule="atLeast"/>
        </w:trPr>
        <w:tc>
          <w:tcPr>
            <w:tcW w:type="dxa" w:w="2178"/>
            <w:tcBorders>
              <w:top w:val="nil"/>
              <w:left w:val="nil"/>
              <w:bottom w:val="nil"/>
              <w:right w:val="nil"/>
            </w:tcBorders>
            <w:shd w:val="clear" w:color="auto" w:fill="auto"/>
            <w:tcMar>
              <w:top w:type="dxa" w:w="80"/>
              <w:left w:type="dxa" w:w="80"/>
              <w:bottom w:type="dxa" w:w="80"/>
              <w:right w:type="dxa" w:w="80"/>
            </w:tcMar>
            <w:vAlign w:val="top"/>
          </w:tcPr>
          <w:p/>
        </w:tc>
        <w:tc>
          <w:tcPr>
            <w:tcW w:type="dxa" w:w="4289"/>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sz w:val="22"/>
                <w:szCs w:val="22"/>
                <w:rtl w:val="0"/>
                <w:lang w:val="it-IT"/>
              </w:rPr>
              <w:t>12 quizzes</w:t>
            </w:r>
            <w:r>
              <w:rPr>
                <w:rFonts w:ascii="Times New Roman" w:hAnsi="Times New Roman"/>
                <w:sz w:val="22"/>
                <w:szCs w:val="22"/>
                <w:rtl w:val="0"/>
                <w:lang w:val="en-US"/>
              </w:rPr>
              <w:t>- 5 pts. ea.</w:t>
            </w:r>
          </w:p>
        </w:tc>
        <w:tc>
          <w:tcPr>
            <w:tcW w:type="dxa" w:w="310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deb"/>
        </w:tblPrEx>
        <w:trPr>
          <w:trHeight w:val="231" w:hRule="atLeast"/>
        </w:trPr>
        <w:tc>
          <w:tcPr>
            <w:tcW w:type="dxa" w:w="2178"/>
            <w:tcBorders>
              <w:top w:val="nil"/>
              <w:left w:val="nil"/>
              <w:bottom w:val="nil"/>
              <w:right w:val="nil"/>
            </w:tcBorders>
            <w:shd w:val="clear" w:color="auto" w:fill="c0c0c0"/>
            <w:tcMar>
              <w:top w:type="dxa" w:w="80"/>
              <w:left w:type="dxa" w:w="80"/>
              <w:bottom w:type="dxa" w:w="80"/>
              <w:right w:type="dxa" w:w="80"/>
            </w:tcMar>
            <w:vAlign w:val="top"/>
          </w:tcPr>
          <w:p>
            <w:pPr>
              <w:pStyle w:val="Body A"/>
            </w:pPr>
            <w:r>
              <w:rPr>
                <w:rFonts w:ascii="Times New Roman" w:hAnsi="Times New Roman"/>
                <w:b w:val="1"/>
                <w:bCs w:val="1"/>
                <w:sz w:val="22"/>
                <w:szCs w:val="22"/>
                <w:rtl w:val="0"/>
                <w:lang w:val="en-US"/>
              </w:rPr>
              <w:t>Projects</w:t>
            </w:r>
          </w:p>
        </w:tc>
        <w:tc>
          <w:tcPr>
            <w:tcW w:type="dxa" w:w="4289"/>
            <w:tcBorders>
              <w:top w:val="nil"/>
              <w:left w:val="nil"/>
              <w:bottom w:val="nil"/>
              <w:right w:val="nil"/>
            </w:tcBorders>
            <w:shd w:val="clear" w:color="auto" w:fill="c0c0c0"/>
            <w:tcMar>
              <w:top w:type="dxa" w:w="80"/>
              <w:left w:type="dxa" w:w="80"/>
              <w:bottom w:type="dxa" w:w="80"/>
              <w:right w:type="dxa" w:w="80"/>
            </w:tcMar>
            <w:vAlign w:val="top"/>
          </w:tcPr>
          <w:p/>
        </w:tc>
        <w:tc>
          <w:tcPr>
            <w:tcW w:type="dxa" w:w="3109"/>
            <w:tcBorders>
              <w:top w:val="nil"/>
              <w:left w:val="nil"/>
              <w:bottom w:val="nil"/>
              <w:right w:val="nil"/>
            </w:tcBorders>
            <w:shd w:val="clear" w:color="auto" w:fill="c0c0c0"/>
            <w:tcMar>
              <w:top w:type="dxa" w:w="80"/>
              <w:left w:type="dxa" w:w="80"/>
              <w:bottom w:type="dxa" w:w="80"/>
              <w:right w:type="dxa" w:w="80"/>
            </w:tcMar>
            <w:vAlign w:val="top"/>
          </w:tcPr>
          <w:p>
            <w:pPr>
              <w:pStyle w:val="Body A"/>
            </w:pPr>
            <w:r>
              <w:rPr>
                <w:rFonts w:ascii="Times New Roman" w:hAnsi="Times New Roman"/>
                <w:b w:val="1"/>
                <w:bCs w:val="1"/>
                <w:sz w:val="22"/>
                <w:szCs w:val="22"/>
                <w:rtl w:val="0"/>
                <w:lang w:val="en-US"/>
              </w:rPr>
              <w:t>42 pts</w:t>
            </w:r>
          </w:p>
        </w:tc>
      </w:tr>
      <w:tr>
        <w:tblPrEx>
          <w:shd w:val="clear" w:color="auto" w:fill="ceddeb"/>
        </w:tblPrEx>
        <w:trPr>
          <w:trHeight w:val="231" w:hRule="atLeast"/>
        </w:trPr>
        <w:tc>
          <w:tcPr>
            <w:tcW w:type="dxa" w:w="2178"/>
            <w:tcBorders>
              <w:top w:val="nil"/>
              <w:left w:val="nil"/>
              <w:bottom w:val="nil"/>
              <w:right w:val="nil"/>
            </w:tcBorders>
            <w:shd w:val="clear" w:color="auto" w:fill="auto"/>
            <w:tcMar>
              <w:top w:type="dxa" w:w="80"/>
              <w:left w:type="dxa" w:w="80"/>
              <w:bottom w:type="dxa" w:w="80"/>
              <w:right w:type="dxa" w:w="80"/>
            </w:tcMar>
            <w:vAlign w:val="top"/>
          </w:tcPr>
          <w:p/>
        </w:tc>
        <w:tc>
          <w:tcPr>
            <w:tcW w:type="dxa" w:w="4289"/>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sz w:val="22"/>
                <w:szCs w:val="22"/>
                <w:rtl w:val="0"/>
                <w:lang w:val="en-US"/>
              </w:rPr>
              <w:t>Emerging Ed. Tech. News- 6 pts.</w:t>
            </w:r>
          </w:p>
        </w:tc>
        <w:tc>
          <w:tcPr>
            <w:tcW w:type="dxa" w:w="310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deb"/>
        </w:tblPrEx>
        <w:trPr>
          <w:trHeight w:val="231" w:hRule="atLeast"/>
        </w:trPr>
        <w:tc>
          <w:tcPr>
            <w:tcW w:type="dxa" w:w="2178"/>
            <w:tcBorders>
              <w:top w:val="nil"/>
              <w:left w:val="nil"/>
              <w:bottom w:val="nil"/>
              <w:right w:val="nil"/>
            </w:tcBorders>
            <w:shd w:val="clear" w:color="auto" w:fill="c0c0c0"/>
            <w:tcMar>
              <w:top w:type="dxa" w:w="80"/>
              <w:left w:type="dxa" w:w="80"/>
              <w:bottom w:type="dxa" w:w="80"/>
              <w:right w:type="dxa" w:w="80"/>
            </w:tcMar>
            <w:vAlign w:val="top"/>
          </w:tcPr>
          <w:p/>
        </w:tc>
        <w:tc>
          <w:tcPr>
            <w:tcW w:type="dxa" w:w="4289"/>
            <w:tcBorders>
              <w:top w:val="nil"/>
              <w:left w:val="nil"/>
              <w:bottom w:val="nil"/>
              <w:right w:val="nil"/>
            </w:tcBorders>
            <w:shd w:val="clear" w:color="auto" w:fill="c0c0c0"/>
            <w:tcMar>
              <w:top w:type="dxa" w:w="80"/>
              <w:left w:type="dxa" w:w="80"/>
              <w:bottom w:type="dxa" w:w="80"/>
              <w:right w:type="dxa" w:w="80"/>
            </w:tcMar>
            <w:vAlign w:val="top"/>
          </w:tcPr>
          <w:p>
            <w:pPr>
              <w:pStyle w:val="Body A"/>
            </w:pPr>
            <w:r>
              <w:rPr>
                <w:rFonts w:ascii="Times New Roman" w:hAnsi="Times New Roman"/>
                <w:sz w:val="22"/>
                <w:szCs w:val="22"/>
                <w:rtl w:val="0"/>
                <w:lang w:val="en-US"/>
              </w:rPr>
              <w:t>Websites Bibliography- 10 pts.</w:t>
            </w:r>
          </w:p>
        </w:tc>
        <w:tc>
          <w:tcPr>
            <w:tcW w:type="dxa" w:w="3109"/>
            <w:tcBorders>
              <w:top w:val="nil"/>
              <w:left w:val="nil"/>
              <w:bottom w:val="nil"/>
              <w:right w:val="nil"/>
            </w:tcBorders>
            <w:shd w:val="clear" w:color="auto" w:fill="c0c0c0"/>
            <w:tcMar>
              <w:top w:type="dxa" w:w="80"/>
              <w:left w:type="dxa" w:w="80"/>
              <w:bottom w:type="dxa" w:w="80"/>
              <w:right w:type="dxa" w:w="80"/>
            </w:tcMar>
            <w:vAlign w:val="top"/>
          </w:tcPr>
          <w:p/>
        </w:tc>
      </w:tr>
      <w:tr>
        <w:tblPrEx>
          <w:shd w:val="clear" w:color="auto" w:fill="ceddeb"/>
        </w:tblPrEx>
        <w:trPr>
          <w:trHeight w:val="231" w:hRule="atLeast"/>
        </w:trPr>
        <w:tc>
          <w:tcPr>
            <w:tcW w:type="dxa" w:w="2178"/>
            <w:tcBorders>
              <w:top w:val="nil"/>
              <w:left w:val="nil"/>
              <w:bottom w:val="nil"/>
              <w:right w:val="nil"/>
            </w:tcBorders>
            <w:shd w:val="clear" w:color="auto" w:fill="auto"/>
            <w:tcMar>
              <w:top w:type="dxa" w:w="80"/>
              <w:left w:type="dxa" w:w="80"/>
              <w:bottom w:type="dxa" w:w="80"/>
              <w:right w:type="dxa" w:w="80"/>
            </w:tcMar>
            <w:vAlign w:val="top"/>
          </w:tcPr>
          <w:p/>
        </w:tc>
        <w:tc>
          <w:tcPr>
            <w:tcW w:type="dxa" w:w="4289"/>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sz w:val="22"/>
                <w:szCs w:val="22"/>
                <w:rtl w:val="0"/>
                <w:lang w:val="en-US"/>
              </w:rPr>
              <w:t>Digital Tools Bibliography- 10 pts.</w:t>
            </w:r>
          </w:p>
        </w:tc>
        <w:tc>
          <w:tcPr>
            <w:tcW w:type="dxa" w:w="310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deb"/>
        </w:tblPrEx>
        <w:trPr>
          <w:trHeight w:val="231" w:hRule="atLeast"/>
        </w:trPr>
        <w:tc>
          <w:tcPr>
            <w:tcW w:type="dxa" w:w="2178"/>
            <w:tcBorders>
              <w:top w:val="nil"/>
              <w:left w:val="nil"/>
              <w:bottom w:val="nil"/>
              <w:right w:val="nil"/>
            </w:tcBorders>
            <w:shd w:val="clear" w:color="auto" w:fill="c0c0c0"/>
            <w:tcMar>
              <w:top w:type="dxa" w:w="80"/>
              <w:left w:type="dxa" w:w="80"/>
              <w:bottom w:type="dxa" w:w="80"/>
              <w:right w:type="dxa" w:w="80"/>
            </w:tcMar>
            <w:vAlign w:val="top"/>
          </w:tcPr>
          <w:p/>
        </w:tc>
        <w:tc>
          <w:tcPr>
            <w:tcW w:type="dxa" w:w="4289"/>
            <w:tcBorders>
              <w:top w:val="nil"/>
              <w:left w:val="nil"/>
              <w:bottom w:val="nil"/>
              <w:right w:val="nil"/>
            </w:tcBorders>
            <w:shd w:val="clear" w:color="auto" w:fill="c0c0c0"/>
            <w:tcMar>
              <w:top w:type="dxa" w:w="80"/>
              <w:left w:type="dxa" w:w="80"/>
              <w:bottom w:type="dxa" w:w="80"/>
              <w:right w:type="dxa" w:w="80"/>
            </w:tcMar>
            <w:vAlign w:val="top"/>
          </w:tcPr>
          <w:p>
            <w:pPr>
              <w:pStyle w:val="Body A"/>
            </w:pPr>
            <w:r>
              <w:rPr>
                <w:rFonts w:ascii="Times New Roman" w:hAnsi="Times New Roman"/>
                <w:sz w:val="22"/>
                <w:szCs w:val="22"/>
                <w:rtl w:val="0"/>
                <w:lang w:val="en-US"/>
              </w:rPr>
              <w:t>Tech for diverse learners- 6 pts.</w:t>
            </w:r>
          </w:p>
        </w:tc>
        <w:tc>
          <w:tcPr>
            <w:tcW w:type="dxa" w:w="3109"/>
            <w:tcBorders>
              <w:top w:val="nil"/>
              <w:left w:val="nil"/>
              <w:bottom w:val="nil"/>
              <w:right w:val="nil"/>
            </w:tcBorders>
            <w:shd w:val="clear" w:color="auto" w:fill="c0c0c0"/>
            <w:tcMar>
              <w:top w:type="dxa" w:w="80"/>
              <w:left w:type="dxa" w:w="80"/>
              <w:bottom w:type="dxa" w:w="80"/>
              <w:right w:type="dxa" w:w="80"/>
            </w:tcMar>
            <w:vAlign w:val="top"/>
          </w:tcPr>
          <w:p/>
        </w:tc>
      </w:tr>
      <w:tr>
        <w:tblPrEx>
          <w:shd w:val="clear" w:color="auto" w:fill="ceddeb"/>
        </w:tblPrEx>
        <w:trPr>
          <w:trHeight w:val="231" w:hRule="atLeast"/>
        </w:trPr>
        <w:tc>
          <w:tcPr>
            <w:tcW w:type="dxa" w:w="2178"/>
            <w:tcBorders>
              <w:top w:val="nil"/>
              <w:left w:val="nil"/>
              <w:bottom w:val="nil"/>
              <w:right w:val="nil"/>
            </w:tcBorders>
            <w:shd w:val="clear" w:color="auto" w:fill="auto"/>
            <w:tcMar>
              <w:top w:type="dxa" w:w="80"/>
              <w:left w:type="dxa" w:w="80"/>
              <w:bottom w:type="dxa" w:w="80"/>
              <w:right w:type="dxa" w:w="80"/>
            </w:tcMar>
            <w:vAlign w:val="top"/>
          </w:tcPr>
          <w:p/>
        </w:tc>
        <w:tc>
          <w:tcPr>
            <w:tcW w:type="dxa" w:w="4289"/>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sz w:val="22"/>
                <w:szCs w:val="22"/>
                <w:rtl w:val="0"/>
                <w:lang w:val="en-US"/>
              </w:rPr>
              <w:t>Wiki- 10 pts.</w:t>
            </w:r>
          </w:p>
        </w:tc>
        <w:tc>
          <w:tcPr>
            <w:tcW w:type="dxa" w:w="310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deb"/>
        </w:tblPrEx>
        <w:trPr>
          <w:trHeight w:val="231" w:hRule="atLeast"/>
        </w:trPr>
        <w:tc>
          <w:tcPr>
            <w:tcW w:type="dxa" w:w="2178"/>
            <w:tcBorders>
              <w:top w:val="nil"/>
              <w:left w:val="nil"/>
              <w:bottom w:val="nil"/>
              <w:right w:val="nil"/>
            </w:tcBorders>
            <w:shd w:val="clear" w:color="auto" w:fill="c0c0c0"/>
            <w:tcMar>
              <w:top w:type="dxa" w:w="80"/>
              <w:left w:type="dxa" w:w="80"/>
              <w:bottom w:type="dxa" w:w="80"/>
              <w:right w:type="dxa" w:w="80"/>
            </w:tcMar>
            <w:vAlign w:val="top"/>
          </w:tcPr>
          <w:p>
            <w:pPr>
              <w:pStyle w:val="Body A"/>
            </w:pPr>
            <w:r>
              <w:rPr>
                <w:rFonts w:ascii="Times New Roman" w:hAnsi="Times New Roman"/>
                <w:b w:val="1"/>
                <w:bCs w:val="1"/>
                <w:sz w:val="22"/>
                <w:szCs w:val="22"/>
                <w:rtl w:val="0"/>
                <w:lang w:val="en-US"/>
              </w:rPr>
              <w:t>Participation</w:t>
            </w:r>
          </w:p>
        </w:tc>
        <w:tc>
          <w:tcPr>
            <w:tcW w:type="dxa" w:w="4289"/>
            <w:tcBorders>
              <w:top w:val="nil"/>
              <w:left w:val="nil"/>
              <w:bottom w:val="nil"/>
              <w:right w:val="nil"/>
            </w:tcBorders>
            <w:shd w:val="clear" w:color="auto" w:fill="c0c0c0"/>
            <w:tcMar>
              <w:top w:type="dxa" w:w="80"/>
              <w:left w:type="dxa" w:w="80"/>
              <w:bottom w:type="dxa" w:w="80"/>
              <w:right w:type="dxa" w:w="80"/>
            </w:tcMar>
            <w:vAlign w:val="top"/>
          </w:tcPr>
          <w:p/>
        </w:tc>
        <w:tc>
          <w:tcPr>
            <w:tcW w:type="dxa" w:w="3109"/>
            <w:tcBorders>
              <w:top w:val="nil"/>
              <w:left w:val="nil"/>
              <w:bottom w:val="nil"/>
              <w:right w:val="nil"/>
            </w:tcBorders>
            <w:shd w:val="clear" w:color="auto" w:fill="c0c0c0"/>
            <w:tcMar>
              <w:top w:type="dxa" w:w="80"/>
              <w:left w:type="dxa" w:w="80"/>
              <w:bottom w:type="dxa" w:w="80"/>
              <w:right w:type="dxa" w:w="80"/>
            </w:tcMar>
            <w:vAlign w:val="top"/>
          </w:tcPr>
          <w:p>
            <w:pPr>
              <w:pStyle w:val="Body A"/>
            </w:pPr>
            <w:r>
              <w:rPr>
                <w:rFonts w:ascii="Times New Roman" w:hAnsi="Times New Roman"/>
                <w:b w:val="1"/>
                <w:bCs w:val="1"/>
                <w:sz w:val="22"/>
                <w:szCs w:val="22"/>
                <w:rtl w:val="0"/>
                <w:lang w:val="en-US"/>
              </w:rPr>
              <w:t>15 pts</w:t>
            </w:r>
          </w:p>
        </w:tc>
      </w:tr>
      <w:tr>
        <w:tblPrEx>
          <w:shd w:val="clear" w:color="auto" w:fill="ceddeb"/>
        </w:tblPrEx>
        <w:trPr>
          <w:trHeight w:val="231" w:hRule="atLeast"/>
        </w:trPr>
        <w:tc>
          <w:tcPr>
            <w:tcW w:type="dxa" w:w="2178"/>
            <w:tcBorders>
              <w:top w:val="nil"/>
              <w:left w:val="nil"/>
              <w:bottom w:val="nil"/>
              <w:right w:val="nil"/>
            </w:tcBorders>
            <w:shd w:val="clear" w:color="auto" w:fill="auto"/>
            <w:tcMar>
              <w:top w:type="dxa" w:w="80"/>
              <w:left w:type="dxa" w:w="80"/>
              <w:bottom w:type="dxa" w:w="80"/>
              <w:right w:type="dxa" w:w="80"/>
            </w:tcMar>
            <w:vAlign w:val="top"/>
          </w:tcPr>
          <w:p/>
        </w:tc>
        <w:tc>
          <w:tcPr>
            <w:tcW w:type="dxa" w:w="4289"/>
            <w:tcBorders>
              <w:top w:val="nil"/>
              <w:left w:val="nil"/>
              <w:bottom w:val="nil"/>
              <w:right w:val="nil"/>
            </w:tcBorders>
            <w:shd w:val="clear" w:color="auto" w:fill="auto"/>
            <w:tcMar>
              <w:top w:type="dxa" w:w="80"/>
              <w:left w:type="dxa" w:w="80"/>
              <w:bottom w:type="dxa" w:w="80"/>
              <w:right w:type="dxa" w:w="80"/>
            </w:tcMar>
            <w:vAlign w:val="top"/>
          </w:tcPr>
          <w:p>
            <w:pPr>
              <w:pStyle w:val="Body A"/>
            </w:pPr>
            <w:r>
              <w:rPr>
                <w:rFonts w:ascii="Times New Roman" w:hAnsi="Times New Roman"/>
                <w:sz w:val="22"/>
                <w:szCs w:val="22"/>
                <w:rtl w:val="0"/>
                <w:lang w:val="en-US"/>
              </w:rPr>
              <w:t>1 pt. per class session</w:t>
            </w:r>
          </w:p>
        </w:tc>
        <w:tc>
          <w:tcPr>
            <w:tcW w:type="dxa" w:w="310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deb"/>
        </w:tblPrEx>
        <w:trPr>
          <w:trHeight w:val="270" w:hRule="atLeast"/>
        </w:trPr>
        <w:tc>
          <w:tcPr>
            <w:tcW w:type="dxa" w:w="2178"/>
            <w:tcBorders>
              <w:top w:val="nil"/>
              <w:left w:val="nil"/>
              <w:bottom w:val="single" w:color="000000" w:sz="8" w:space="0" w:shadow="0" w:frame="0"/>
              <w:right w:val="nil"/>
            </w:tcBorders>
            <w:shd w:val="clear" w:color="auto" w:fill="c0c0c0"/>
            <w:tcMar>
              <w:top w:type="dxa" w:w="80"/>
              <w:left w:type="dxa" w:w="80"/>
              <w:bottom w:type="dxa" w:w="80"/>
              <w:right w:type="dxa" w:w="80"/>
            </w:tcMar>
            <w:vAlign w:val="top"/>
          </w:tcPr>
          <w:p>
            <w:pPr>
              <w:pStyle w:val="Body A"/>
            </w:pPr>
            <w:r>
              <w:rPr>
                <w:rFonts w:ascii="Helvetica" w:hAnsi="Helvetica"/>
                <w:b w:val="1"/>
                <w:bCs w:val="1"/>
                <w:sz w:val="22"/>
                <w:szCs w:val="22"/>
                <w:rtl w:val="0"/>
                <w:lang w:val="en-US"/>
              </w:rPr>
              <w:t>Course Total</w:t>
            </w:r>
          </w:p>
        </w:tc>
        <w:tc>
          <w:tcPr>
            <w:tcW w:type="dxa" w:w="4289"/>
            <w:tcBorders>
              <w:top w:val="nil"/>
              <w:left w:val="nil"/>
              <w:bottom w:val="single" w:color="000000" w:sz="8" w:space="0" w:shadow="0" w:frame="0"/>
              <w:right w:val="nil"/>
            </w:tcBorders>
            <w:shd w:val="clear" w:color="auto" w:fill="c0c0c0"/>
            <w:tcMar>
              <w:top w:type="dxa" w:w="80"/>
              <w:left w:type="dxa" w:w="1160"/>
              <w:bottom w:type="dxa" w:w="80"/>
              <w:right w:type="dxa" w:w="80"/>
            </w:tcMar>
            <w:vAlign w:val="top"/>
          </w:tcPr>
          <w:p/>
        </w:tc>
        <w:tc>
          <w:tcPr>
            <w:tcW w:type="dxa" w:w="3109"/>
            <w:tcBorders>
              <w:top w:val="nil"/>
              <w:left w:val="nil"/>
              <w:bottom w:val="single" w:color="000000" w:sz="8" w:space="0" w:shadow="0" w:frame="0"/>
              <w:right w:val="nil"/>
            </w:tcBorders>
            <w:shd w:val="clear" w:color="auto" w:fill="c0c0c0"/>
            <w:tcMar>
              <w:top w:type="dxa" w:w="80"/>
              <w:left w:type="dxa" w:w="80"/>
              <w:bottom w:type="dxa" w:w="80"/>
              <w:right w:type="dxa" w:w="80"/>
            </w:tcMar>
            <w:vAlign w:val="top"/>
          </w:tcPr>
          <w:p>
            <w:pPr>
              <w:pStyle w:val="Body A"/>
            </w:pPr>
            <w:r>
              <w:rPr>
                <w:rFonts w:ascii="Helvetica" w:hAnsi="Helvetica"/>
                <w:b w:val="1"/>
                <w:bCs w:val="1"/>
                <w:sz w:val="22"/>
                <w:szCs w:val="22"/>
                <w:rtl w:val="0"/>
                <w:lang w:val="en-US"/>
              </w:rPr>
              <w:t>195 pts</w:t>
            </w:r>
          </w:p>
        </w:tc>
      </w:tr>
    </w:tbl>
    <w:p>
      <w:pPr>
        <w:pStyle w:val="Body"/>
        <w:widowControl w:val="0"/>
        <w:tabs>
          <w:tab w:val="left" w:pos="720"/>
          <w:tab w:val="left" w:pos="1440"/>
        </w:tabs>
        <w:rPr>
          <w:sz w:val="22"/>
          <w:szCs w:val="22"/>
        </w:rPr>
      </w:pPr>
    </w:p>
    <w:p>
      <w:pPr>
        <w:pStyle w:val="Body"/>
        <w:tabs>
          <w:tab w:val="left" w:pos="720"/>
          <w:tab w:val="left" w:pos="1440"/>
        </w:tabs>
        <w:ind w:left="720" w:firstLine="0"/>
        <w:rPr>
          <w:sz w:val="22"/>
          <w:szCs w:val="22"/>
        </w:rPr>
      </w:pPr>
    </w:p>
    <w:p>
      <w:pPr>
        <w:pStyle w:val="Body"/>
        <w:tabs>
          <w:tab w:val="left" w:pos="720"/>
          <w:tab w:val="left" w:pos="1440"/>
        </w:tabs>
        <w:ind w:left="720" w:firstLine="0"/>
        <w:rPr>
          <w:sz w:val="22"/>
          <w:szCs w:val="22"/>
        </w:rPr>
      </w:pPr>
      <w:r>
        <w:rPr>
          <w:sz w:val="22"/>
          <w:szCs w:val="22"/>
          <w:rtl w:val="0"/>
          <w:lang w:val="en-US"/>
        </w:rPr>
        <w:t>The final grade for the course will be based on a ratio of the points earned by the students to the number of points offered during the semester.  The following grading scale will be used to assign final grades for the course:</w:t>
      </w:r>
    </w:p>
    <w:tbl>
      <w:tblPr>
        <w:tblW w:w="8522" w:type="dxa"/>
        <w:jc w:val="left"/>
        <w:tblInd w:w="104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2695"/>
        <w:gridCol w:w="5827"/>
      </w:tblGrid>
      <w:tr>
        <w:tblPrEx>
          <w:shd w:val="clear" w:color="auto" w:fill="ceddeb"/>
        </w:tblPrEx>
        <w:trPr>
          <w:trHeight w:val="1500" w:hRule="atLeast"/>
        </w:trPr>
        <w:tc>
          <w:tcPr>
            <w:tcW w:type="dxa" w:w="26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right" w:pos="2412" w:leader="dot"/>
              </w:tabs>
            </w:pPr>
            <w:r>
              <w:rPr>
                <w:rtl w:val="0"/>
                <w:lang w:val="en-US"/>
              </w:rPr>
              <w:t>90-100%......A</w:t>
            </w:r>
          </w:p>
          <w:p>
            <w:pPr>
              <w:pStyle w:val="Body"/>
              <w:tabs>
                <w:tab w:val="right" w:pos="2412" w:leader="dot"/>
              </w:tabs>
            </w:pPr>
            <w:r>
              <w:rPr>
                <w:rtl w:val="0"/>
                <w:lang w:val="en-US"/>
              </w:rPr>
              <w:t>80-89.9%.....B</w:t>
            </w:r>
          </w:p>
          <w:p>
            <w:pPr>
              <w:pStyle w:val="Body"/>
              <w:tabs>
                <w:tab w:val="right" w:pos="2412" w:leader="dot"/>
              </w:tabs>
            </w:pPr>
            <w:r>
              <w:rPr>
                <w:rtl w:val="0"/>
                <w:lang w:val="en-US"/>
              </w:rPr>
              <w:t>70-79.9%.....C</w:t>
            </w:r>
          </w:p>
          <w:p>
            <w:pPr>
              <w:pStyle w:val="Body"/>
              <w:tabs>
                <w:tab w:val="right" w:pos="2412" w:leader="dot"/>
              </w:tabs>
            </w:pPr>
            <w:r>
              <w:rPr>
                <w:rtl w:val="0"/>
                <w:lang w:val="en-US"/>
              </w:rPr>
              <w:t>60-69.9%.....D</w:t>
            </w:r>
          </w:p>
          <w:p>
            <w:pPr>
              <w:pStyle w:val="Body"/>
              <w:tabs>
                <w:tab w:val="right" w:pos="2412" w:leader="dot"/>
              </w:tabs>
            </w:pPr>
            <w:r>
              <w:rPr>
                <w:rtl w:val="0"/>
                <w:lang w:val="en-US"/>
              </w:rPr>
              <w:t>Below 60%..F</w:t>
            </w:r>
          </w:p>
        </w:tc>
        <w:tc>
          <w:tcPr>
            <w:tcW w:type="dxa" w:w="5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tabs>
                <w:tab w:val="right" w:pos="3870" w:leader="dot"/>
              </w:tabs>
            </w:pPr>
            <w:r>
              <w:rPr>
                <w:sz w:val="24"/>
                <w:szCs w:val="24"/>
                <w:rtl w:val="0"/>
                <w:lang w:val="en-US"/>
              </w:rPr>
              <w:t>Any assignment presented or submitted after the due date will be penalized 5% for each calendar day after the due date (up to 3 calendar days).  Late assignments presented or turned in late after three calendar days will not be accepted and will receive a grade of zero (0).</w:t>
            </w:r>
          </w:p>
        </w:tc>
      </w:tr>
    </w:tbl>
    <w:p>
      <w:pPr>
        <w:pStyle w:val="Body"/>
        <w:widowControl w:val="0"/>
        <w:tabs>
          <w:tab w:val="left" w:pos="720"/>
          <w:tab w:val="left" w:pos="1440"/>
        </w:tabs>
        <w:ind w:left="936" w:hanging="936"/>
        <w:rPr>
          <w:sz w:val="22"/>
          <w:szCs w:val="22"/>
        </w:rPr>
      </w:pPr>
    </w:p>
    <w:p>
      <w:pPr>
        <w:pStyle w:val="Free Form"/>
        <w:ind w:left="828" w:firstLine="0"/>
        <w:rPr>
          <w:sz w:val="22"/>
          <w:szCs w:val="22"/>
        </w:rPr>
      </w:pPr>
    </w:p>
    <w:p>
      <w:pPr>
        <w:pStyle w:val="Body"/>
        <w:tabs>
          <w:tab w:val="left" w:pos="720"/>
          <w:tab w:val="right" w:pos="7200"/>
        </w:tabs>
        <w:rPr>
          <w:b w:val="1"/>
          <w:bCs w:val="1"/>
          <w:sz w:val="22"/>
          <w:szCs w:val="22"/>
        </w:rPr>
      </w:pPr>
    </w:p>
    <w:p>
      <w:pPr>
        <w:pStyle w:val="Subtitle"/>
      </w:pPr>
      <w:r>
        <w:tab/>
      </w:r>
    </w:p>
    <w:p>
      <w:pPr>
        <w:pStyle w:val="Body"/>
        <w:tabs>
          <w:tab w:val="left" w:pos="720"/>
          <w:tab w:val="right" w:pos="7200"/>
        </w:tabs>
        <w:rPr>
          <w:b w:val="1"/>
          <w:bCs w:val="1"/>
          <w:sz w:val="22"/>
          <w:szCs w:val="22"/>
        </w:rPr>
      </w:pPr>
    </w:p>
    <w:p>
      <w:pPr>
        <w:pStyle w:val="Heading"/>
        <w:rPr>
          <w:color w:val="000000"/>
          <w:u w:color="000000"/>
        </w:rPr>
      </w:pPr>
      <w:r>
        <w:rPr>
          <w:color w:val="000000"/>
          <w:u w:color="000000"/>
          <w:rtl w:val="0"/>
          <w:lang w:val="en-US"/>
        </w:rPr>
        <w:t>Class Policy Statements:</w:t>
      </w:r>
    </w:p>
    <w:p>
      <w:pPr>
        <w:pStyle w:val="Subtitle"/>
        <w:rPr>
          <w:color w:val="000000"/>
          <w:u w:color="000000"/>
        </w:rPr>
      </w:pPr>
      <w:r>
        <w:rPr>
          <w:rFonts w:cs="Arial Unicode MS" w:eastAsia="Arial Unicode MS"/>
          <w:color w:val="000000"/>
          <w:u w:color="000000"/>
          <w:rtl w:val="0"/>
          <w:lang w:val="en-US"/>
        </w:rPr>
        <w:t xml:space="preserve">Special notes:  </w:t>
      </w:r>
    </w:p>
    <w:p>
      <w:pPr>
        <w:pStyle w:val="Body"/>
        <w:numPr>
          <w:ilvl w:val="0"/>
          <w:numId w:val="7"/>
        </w:numPr>
        <w:bidi w:val="0"/>
        <w:ind w:right="0"/>
        <w:jc w:val="left"/>
        <w:rPr>
          <w:sz w:val="22"/>
          <w:szCs w:val="22"/>
          <w:rtl w:val="0"/>
          <w:lang w:val="en-US"/>
        </w:rPr>
      </w:pPr>
      <w:r>
        <w:rPr>
          <w:sz w:val="22"/>
          <w:szCs w:val="22"/>
          <w:rtl w:val="0"/>
          <w:lang w:val="en-US"/>
        </w:rPr>
        <w:t xml:space="preserve">Students should make sure that any technological problems encountered while using public computers in the LRC, or while in class are </w:t>
      </w:r>
      <w:r>
        <w:rPr>
          <w:i w:val="1"/>
          <w:iCs w:val="1"/>
          <w:sz w:val="22"/>
          <w:szCs w:val="22"/>
          <w:rtl w:val="0"/>
          <w:lang w:val="en-US"/>
        </w:rPr>
        <w:t>immediately</w:t>
      </w:r>
      <w:r>
        <w:rPr>
          <w:sz w:val="22"/>
          <w:szCs w:val="22"/>
          <w:rtl w:val="0"/>
          <w:lang w:val="en-US"/>
        </w:rPr>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pPr>
        <w:pStyle w:val="Body"/>
        <w:numPr>
          <w:ilvl w:val="0"/>
          <w:numId w:val="7"/>
        </w:numPr>
        <w:bidi w:val="0"/>
        <w:ind w:right="0"/>
        <w:jc w:val="left"/>
        <w:rPr>
          <w:sz w:val="22"/>
          <w:szCs w:val="22"/>
          <w:rtl w:val="0"/>
          <w:lang w:val="en-US"/>
        </w:rPr>
      </w:pPr>
      <w:r>
        <w:rPr>
          <w:sz w:val="22"/>
          <w:szCs w:val="22"/>
          <w:rtl w:val="0"/>
          <w:lang w:val="en-US"/>
        </w:rPr>
        <w:t xml:space="preserve">Students are also </w:t>
      </w:r>
      <w:r>
        <w:rPr>
          <w:i w:val="1"/>
          <w:iCs w:val="1"/>
          <w:sz w:val="22"/>
          <w:szCs w:val="22"/>
          <w:rtl w:val="0"/>
          <w:lang w:val="en-US"/>
        </w:rPr>
        <w:t>strongly</w:t>
      </w:r>
      <w:r>
        <w:rPr>
          <w:sz w:val="22"/>
          <w:szCs w:val="22"/>
          <w:rtl w:val="0"/>
          <w:lang w:val="en-US"/>
        </w:rPr>
        <w:t xml:space="preserve"> encouraged to contact the instructor regularly during class, office hours or via e-mail for assistance; clarification, if needed, on assignment requirements; and for periodic review of class progress.  </w:t>
      </w:r>
    </w:p>
    <w:p>
      <w:pPr>
        <w:pStyle w:val="Body"/>
        <w:numPr>
          <w:ilvl w:val="0"/>
          <w:numId w:val="7"/>
        </w:numPr>
        <w:bidi w:val="0"/>
        <w:ind w:right="0"/>
        <w:jc w:val="left"/>
        <w:rPr>
          <w:sz w:val="22"/>
          <w:szCs w:val="22"/>
          <w:rtl w:val="0"/>
          <w:lang w:val="en-US"/>
        </w:rPr>
      </w:pPr>
      <w:r>
        <w:rPr>
          <w:sz w:val="22"/>
          <w:szCs w:val="22"/>
          <w:rtl w:val="0"/>
          <w:lang w:val="en-US"/>
        </w:rPr>
        <w:t xml:space="preserve">Auburn University has provided each student with an email account.  These accounts are used as the official communication medium between the university and the student.  For this reason, students should communicate with the instructor using </w:t>
      </w:r>
      <w:r>
        <w:rPr>
          <w:i w:val="1"/>
          <w:iCs w:val="1"/>
          <w:sz w:val="22"/>
          <w:szCs w:val="22"/>
          <w:rtl w:val="0"/>
          <w:lang w:val="en-US"/>
        </w:rPr>
        <w:t>only</w:t>
      </w:r>
      <w:r>
        <w:rPr>
          <w:sz w:val="22"/>
          <w:szCs w:val="22"/>
          <w:rtl w:val="0"/>
          <w:lang w:val="en-US"/>
        </w:rPr>
        <w:t xml:space="preserve"> their official university (TigerMail) accounts.  As the instructor may not check Canvas email daily, TigerMail is a much better option for communicating with the instructor.  Email originating from non-Auburn email accounts will </w:t>
      </w:r>
      <w:r>
        <w:rPr>
          <w:i w:val="1"/>
          <w:iCs w:val="1"/>
          <w:sz w:val="22"/>
          <w:szCs w:val="22"/>
          <w:rtl w:val="0"/>
          <w:lang w:val="en-US"/>
        </w:rPr>
        <w:t>not</w:t>
      </w:r>
      <w:r>
        <w:rPr>
          <w:sz w:val="22"/>
          <w:szCs w:val="22"/>
          <w:rtl w:val="0"/>
          <w:lang w:val="en-US"/>
        </w:rPr>
        <w:t xml:space="preserve"> be opened by the instructor.</w:t>
      </w:r>
    </w:p>
    <w:p>
      <w:pPr>
        <w:pStyle w:val="Body"/>
        <w:rPr>
          <w:b w:val="1"/>
          <w:bCs w:val="1"/>
          <w:i w:val="1"/>
          <w:iCs w:val="1"/>
          <w:sz w:val="22"/>
          <w:szCs w:val="22"/>
        </w:rPr>
      </w:pPr>
    </w:p>
    <w:p>
      <w:pPr>
        <w:pStyle w:val="Subtitle"/>
        <w:rPr>
          <w:color w:val="000000"/>
          <w:u w:color="000000"/>
        </w:rPr>
      </w:pPr>
      <w:r>
        <w:rPr>
          <w:rFonts w:cs="Arial Unicode MS" w:eastAsia="Arial Unicode MS"/>
          <w:color w:val="000000"/>
          <w:u w:color="000000"/>
          <w:rtl w:val="0"/>
          <w:lang w:val="en-US"/>
        </w:rPr>
        <w:t>Evacuation Policy:</w:t>
      </w:r>
    </w:p>
    <w:p>
      <w:pPr>
        <w:pStyle w:val="Body"/>
        <w:ind w:left="720" w:firstLine="0"/>
        <w:rPr>
          <w:sz w:val="22"/>
          <w:szCs w:val="22"/>
        </w:rPr>
      </w:pPr>
      <w:r>
        <w:rPr>
          <w:sz w:val="22"/>
          <w:szCs w:val="22"/>
          <w:rtl w:val="0"/>
          <w:lang w:val="en-US"/>
        </w:rPr>
        <w:t>In case of fire or other building evacuation alarm being sounded in an Auburn University</w:t>
      </w:r>
    </w:p>
    <w:p>
      <w:pPr>
        <w:pStyle w:val="Body"/>
        <w:ind w:left="720" w:firstLine="0"/>
        <w:rPr>
          <w:sz w:val="22"/>
          <w:szCs w:val="22"/>
        </w:rPr>
      </w:pPr>
      <w:r>
        <w:rPr>
          <w:sz w:val="22"/>
          <w:szCs w:val="22"/>
          <w:rtl w:val="0"/>
          <w:lang w:val="en-US"/>
        </w:rPr>
        <w:t xml:space="preserve">building, students and instructors are expected to </w:t>
      </w:r>
      <w:r>
        <w:rPr>
          <w:b w:val="1"/>
          <w:bCs w:val="1"/>
          <w:sz w:val="22"/>
          <w:szCs w:val="22"/>
          <w:rtl w:val="0"/>
          <w:lang w:val="en-US"/>
        </w:rPr>
        <w:t>immediately leave the building</w:t>
      </w:r>
      <w:r>
        <w:rPr>
          <w:sz w:val="22"/>
          <w:szCs w:val="22"/>
          <w:rtl w:val="0"/>
          <w:lang w:val="en-US"/>
        </w:rPr>
        <w:t xml:space="preserve">. In the event of a severe weather alert (e.g. tornado), students and instructors are expected to </w:t>
      </w:r>
      <w:r>
        <w:rPr>
          <w:b w:val="1"/>
          <w:bCs w:val="1"/>
          <w:sz w:val="22"/>
          <w:szCs w:val="22"/>
          <w:rtl w:val="0"/>
          <w:lang w:val="en-US"/>
        </w:rPr>
        <w:t>immediately leave the classroom and proceed to the nearest safe destination</w:t>
      </w:r>
      <w:r>
        <w:rPr>
          <w:sz w:val="22"/>
          <w:szCs w:val="22"/>
          <w:rtl w:val="0"/>
          <w:lang w:val="en-US"/>
        </w:rPr>
        <w:t xml:space="preserve"> (to be identified by the instructor during the first week of class)  </w:t>
      </w:r>
      <w:r>
        <w:rPr>
          <w:b w:val="1"/>
          <w:bCs w:val="1"/>
          <w:sz w:val="22"/>
          <w:szCs w:val="22"/>
          <w:rtl w:val="0"/>
          <w:lang w:val="en-US"/>
        </w:rPr>
        <w:t>This is to ensure the safety of all class members.</w:t>
      </w:r>
      <w:r>
        <w:rPr>
          <w:sz w:val="22"/>
          <w:szCs w:val="22"/>
          <w:rtl w:val="0"/>
          <w:lang w:val="en-US"/>
        </w:rPr>
        <w:t xml:space="preserve"> In case an alarm is sounded during the class meeting period, the following locations will be designated meeting areas for members of EDMD 3300.  Student who may require special assistance in the event of a needed evacuation are asked to speak with the instructor after class.  Arrangements will be made to ensure the safe evacuation of ALL students in the class.</w:t>
      </w:r>
    </w:p>
    <w:p>
      <w:pPr>
        <w:pStyle w:val="Body"/>
        <w:ind w:left="720" w:firstLine="0"/>
        <w:rPr>
          <w:b w:val="1"/>
          <w:bCs w:val="1"/>
          <w:sz w:val="22"/>
          <w:szCs w:val="22"/>
        </w:rPr>
      </w:pPr>
      <w:r>
        <w:rPr>
          <w:b w:val="1"/>
          <w:bCs w:val="1"/>
          <w:sz w:val="22"/>
          <w:szCs w:val="22"/>
          <w:rtl w:val="0"/>
          <w:lang w:val="en-US"/>
        </w:rPr>
        <w:t>Haley Center Classrooms inside the LRC or Basement</w:t>
      </w:r>
    </w:p>
    <w:p>
      <w:pPr>
        <w:pStyle w:val="Body"/>
        <w:numPr>
          <w:ilvl w:val="0"/>
          <w:numId w:val="9"/>
        </w:numPr>
        <w:bidi w:val="0"/>
        <w:ind w:right="0"/>
        <w:jc w:val="left"/>
        <w:rPr>
          <w:sz w:val="22"/>
          <w:szCs w:val="22"/>
          <w:rtl w:val="0"/>
          <w:lang w:val="en-US"/>
        </w:rPr>
      </w:pPr>
      <w:r>
        <w:rPr>
          <w:sz w:val="22"/>
          <w:szCs w:val="22"/>
          <w:rtl w:val="0"/>
          <w:lang w:val="en-US"/>
        </w:rPr>
        <w:t>Once the class has left the building according the directions of the LRC staff members, students should proceed to the area in front of the pharmacy building. There are benches there that can be used as a gathering place.</w:t>
      </w:r>
    </w:p>
    <w:p>
      <w:pPr>
        <w:pStyle w:val="Body"/>
        <w:numPr>
          <w:ilvl w:val="0"/>
          <w:numId w:val="9"/>
        </w:numPr>
        <w:bidi w:val="0"/>
        <w:ind w:right="0"/>
        <w:jc w:val="left"/>
        <w:rPr>
          <w:sz w:val="22"/>
          <w:szCs w:val="22"/>
          <w:rtl w:val="0"/>
          <w:lang w:val="en-US"/>
        </w:rPr>
      </w:pPr>
      <w:r>
        <w:rPr>
          <w:sz w:val="22"/>
          <w:szCs w:val="22"/>
          <w:rtl w:val="0"/>
          <w:lang w:val="en-US"/>
        </w:rPr>
        <w:t>Students should check in with the instructor so that their safety is noted.</w:t>
      </w:r>
    </w:p>
    <w:p>
      <w:pPr>
        <w:pStyle w:val="Body"/>
        <w:numPr>
          <w:ilvl w:val="0"/>
          <w:numId w:val="9"/>
        </w:numPr>
        <w:bidi w:val="0"/>
        <w:ind w:right="0"/>
        <w:jc w:val="left"/>
        <w:rPr>
          <w:sz w:val="22"/>
          <w:szCs w:val="22"/>
          <w:rtl w:val="0"/>
          <w:lang w:val="en-US"/>
        </w:rPr>
      </w:pPr>
      <w:r>
        <w:rPr>
          <w:sz w:val="22"/>
          <w:szCs w:val="22"/>
          <w:rtl w:val="0"/>
          <w:lang w:val="en-US"/>
        </w:rPr>
        <w:t>Students should not leave the immediate area without notifying the instructor.</w:t>
      </w:r>
    </w:p>
    <w:p>
      <w:pPr>
        <w:pStyle w:val="Body"/>
        <w:ind w:left="720" w:firstLine="0"/>
        <w:rPr>
          <w:b w:val="1"/>
          <w:bCs w:val="1"/>
          <w:sz w:val="22"/>
          <w:szCs w:val="22"/>
        </w:rPr>
      </w:pPr>
      <w:r>
        <w:rPr>
          <w:b w:val="1"/>
          <w:bCs w:val="1"/>
          <w:sz w:val="22"/>
          <w:szCs w:val="22"/>
          <w:rtl w:val="0"/>
          <w:lang w:val="en-US"/>
        </w:rPr>
        <w:t>Building Re-entry (All Sections)</w:t>
      </w:r>
    </w:p>
    <w:p>
      <w:pPr>
        <w:pStyle w:val="Body"/>
        <w:numPr>
          <w:ilvl w:val="0"/>
          <w:numId w:val="11"/>
        </w:numPr>
        <w:bidi w:val="0"/>
        <w:ind w:right="0"/>
        <w:jc w:val="left"/>
        <w:rPr>
          <w:sz w:val="22"/>
          <w:szCs w:val="22"/>
          <w:rtl w:val="0"/>
          <w:lang w:val="en-US"/>
        </w:rPr>
      </w:pPr>
      <w:r>
        <w:rPr>
          <w:sz w:val="22"/>
          <w:szCs w:val="22"/>
          <w:rtl w:val="0"/>
          <w:lang w:val="en-US"/>
        </w:rPr>
        <w:t>If the evacuation alarm sounds within the last 30 minutes of a class meeting period, class will be dismissed once all students have checked in with the instructor at the designated meeting area.</w:t>
      </w:r>
    </w:p>
    <w:p>
      <w:pPr>
        <w:pStyle w:val="Body"/>
        <w:numPr>
          <w:ilvl w:val="0"/>
          <w:numId w:val="11"/>
        </w:numPr>
        <w:bidi w:val="0"/>
        <w:ind w:right="0"/>
        <w:jc w:val="left"/>
        <w:rPr>
          <w:sz w:val="22"/>
          <w:szCs w:val="22"/>
          <w:rtl w:val="0"/>
          <w:lang w:val="en-US"/>
        </w:rPr>
      </w:pPr>
      <w:r>
        <w:rPr>
          <w:sz w:val="22"/>
          <w:szCs w:val="22"/>
          <w:rtl w:val="0"/>
          <w:lang w:val="en-US"/>
        </w:rPr>
        <w:t>If the alarm sounds with more than 30 minutes of class time remaining, the instructor will notify the students regarding class dismissal once the entire class has checked in at the designated meeting area.</w:t>
      </w:r>
    </w:p>
    <w:p>
      <w:pPr>
        <w:pStyle w:val="Body"/>
        <w:numPr>
          <w:ilvl w:val="0"/>
          <w:numId w:val="11"/>
        </w:numPr>
        <w:bidi w:val="0"/>
        <w:ind w:right="0"/>
        <w:jc w:val="left"/>
        <w:rPr>
          <w:sz w:val="22"/>
          <w:szCs w:val="22"/>
          <w:rtl w:val="0"/>
          <w:lang w:val="en-US"/>
        </w:rPr>
      </w:pPr>
      <w:r>
        <w:rPr>
          <w:sz w:val="22"/>
          <w:szCs w:val="22"/>
          <w:rtl w:val="0"/>
          <w:lang w:val="en-US"/>
        </w:rPr>
        <w:t>Bottom Line: Get out of the building safely and then the instructor will tell you what to do from there.</w:t>
      </w:r>
    </w:p>
    <w:p>
      <w:pPr>
        <w:pStyle w:val="Body"/>
        <w:outlineLvl w:val="0"/>
        <w:rPr>
          <w:b w:val="1"/>
          <w:bCs w:val="1"/>
          <w:i w:val="1"/>
          <w:iCs w:val="1"/>
          <w:sz w:val="22"/>
          <w:szCs w:val="22"/>
        </w:rPr>
      </w:pPr>
    </w:p>
    <w:p>
      <w:pPr>
        <w:pStyle w:val="Subtitle"/>
        <w:rPr>
          <w:color w:val="000000"/>
          <w:u w:color="000000"/>
        </w:rPr>
      </w:pPr>
      <w:r>
        <w:rPr>
          <w:rFonts w:cs="Arial Unicode MS" w:eastAsia="Arial Unicode MS"/>
          <w:color w:val="000000"/>
          <w:u w:color="000000"/>
          <w:rtl w:val="0"/>
          <w:lang w:val="en-US"/>
        </w:rPr>
        <w:t>Professionalism:</w:t>
      </w:r>
    </w:p>
    <w:p>
      <w:pPr>
        <w:pStyle w:val="Body"/>
        <w:rPr>
          <w:sz w:val="22"/>
          <w:szCs w:val="22"/>
        </w:rPr>
      </w:pPr>
      <w:r>
        <w:rPr>
          <w:i w:val="1"/>
          <w:iCs w:val="1"/>
          <w:sz w:val="22"/>
          <w:szCs w:val="22"/>
          <w:rtl w:val="0"/>
          <w:lang w:val="en-US"/>
        </w:rPr>
        <w:t xml:space="preserve">The College of Education Statement on Professionalism:  </w:t>
      </w:r>
      <w:r>
        <w:rPr>
          <w:sz w:val="22"/>
          <w:szCs w:val="22"/>
          <w:rtl w:val="0"/>
          <w:lang w:val="en-US"/>
        </w:rPr>
        <w:t>As faculty, staff, and students interact in professional settings, they are expected to demonstrate professional behaviors as defined in the College</w:t>
      </w:r>
      <w:r>
        <w:rPr>
          <w:sz w:val="22"/>
          <w:szCs w:val="22"/>
          <w:rtl w:val="0"/>
        </w:rPr>
        <w:t>’</w:t>
      </w:r>
      <w:r>
        <w:rPr>
          <w:sz w:val="22"/>
          <w:szCs w:val="22"/>
          <w:rtl w:val="0"/>
          <w:lang w:val="en-US"/>
        </w:rPr>
        <w:t>s conceptual framework. These professional commitments or dispositions are listed below:</w:t>
      </w:r>
    </w:p>
    <w:p>
      <w:pPr>
        <w:pStyle w:val="Body"/>
        <w:numPr>
          <w:ilvl w:val="0"/>
          <w:numId w:val="13"/>
        </w:numPr>
        <w:bidi w:val="0"/>
        <w:ind w:right="0"/>
        <w:jc w:val="left"/>
        <w:rPr>
          <w:sz w:val="22"/>
          <w:szCs w:val="22"/>
          <w:rtl w:val="0"/>
          <w:lang w:val="en-US"/>
        </w:rPr>
      </w:pPr>
      <w:r>
        <w:rPr>
          <w:sz w:val="22"/>
          <w:szCs w:val="22"/>
          <w:rtl w:val="0"/>
          <w:lang w:val="en-US"/>
        </w:rPr>
        <w:t>Engage in responsible and ethical professional practices</w:t>
      </w:r>
    </w:p>
    <w:p>
      <w:pPr>
        <w:pStyle w:val="Body"/>
        <w:numPr>
          <w:ilvl w:val="0"/>
          <w:numId w:val="13"/>
        </w:numPr>
        <w:bidi w:val="0"/>
        <w:ind w:right="0"/>
        <w:jc w:val="left"/>
        <w:rPr>
          <w:sz w:val="22"/>
          <w:szCs w:val="22"/>
          <w:rtl w:val="0"/>
          <w:lang w:val="en-US"/>
        </w:rPr>
      </w:pPr>
      <w:r>
        <w:rPr>
          <w:sz w:val="22"/>
          <w:szCs w:val="22"/>
          <w:rtl w:val="0"/>
          <w:lang w:val="en-US"/>
        </w:rPr>
        <w:t>Contribute to collaborative learning communities</w:t>
      </w:r>
    </w:p>
    <w:p>
      <w:pPr>
        <w:pStyle w:val="Body"/>
        <w:numPr>
          <w:ilvl w:val="0"/>
          <w:numId w:val="13"/>
        </w:numPr>
        <w:bidi w:val="0"/>
        <w:ind w:right="0"/>
        <w:jc w:val="left"/>
        <w:rPr>
          <w:sz w:val="22"/>
          <w:szCs w:val="22"/>
          <w:rtl w:val="0"/>
          <w:lang w:val="en-US"/>
        </w:rPr>
      </w:pPr>
      <w:r>
        <w:rPr>
          <w:sz w:val="22"/>
          <w:szCs w:val="22"/>
          <w:rtl w:val="0"/>
          <w:lang w:val="en-US"/>
        </w:rPr>
        <w:t>Demonstrate a commitment to diversity</w:t>
      </w:r>
    </w:p>
    <w:p>
      <w:pPr>
        <w:pStyle w:val="Body"/>
        <w:numPr>
          <w:ilvl w:val="0"/>
          <w:numId w:val="13"/>
        </w:numPr>
        <w:bidi w:val="0"/>
        <w:ind w:right="0"/>
        <w:jc w:val="left"/>
        <w:rPr>
          <w:sz w:val="22"/>
          <w:szCs w:val="22"/>
          <w:rtl w:val="0"/>
          <w:lang w:val="en-US"/>
        </w:rPr>
      </w:pPr>
      <w:r>
        <w:rPr>
          <w:sz w:val="22"/>
          <w:szCs w:val="22"/>
          <w:rtl w:val="0"/>
          <w:lang w:val="en-US"/>
        </w:rPr>
        <w:t>Model and nurture intellectual vitality</w:t>
      </w:r>
    </w:p>
    <w:p>
      <w:pPr>
        <w:pStyle w:val="Body"/>
        <w:rPr>
          <w:i w:val="1"/>
          <w:iCs w:val="1"/>
          <w:sz w:val="22"/>
          <w:szCs w:val="22"/>
        </w:rPr>
      </w:pPr>
      <w:r>
        <w:rPr>
          <w:i w:val="1"/>
          <w:iCs w:val="1"/>
          <w:sz w:val="22"/>
          <w:szCs w:val="22"/>
          <w:rtl w:val="0"/>
          <w:lang w:val="en-US"/>
        </w:rPr>
        <w:t>EDMD 3300 Policies related to Professionalism:</w:t>
      </w:r>
    </w:p>
    <w:p>
      <w:pPr>
        <w:pStyle w:val="Body"/>
        <w:numPr>
          <w:ilvl w:val="0"/>
          <w:numId w:val="7"/>
        </w:numPr>
        <w:bidi w:val="0"/>
        <w:ind w:right="0"/>
        <w:jc w:val="left"/>
        <w:rPr>
          <w:sz w:val="22"/>
          <w:szCs w:val="22"/>
          <w:rtl w:val="0"/>
          <w:lang w:val="en-US"/>
        </w:rPr>
      </w:pPr>
      <w:r>
        <w:rPr>
          <w:sz w:val="22"/>
          <w:szCs w:val="22"/>
          <w:rtl w:val="0"/>
          <w:lang w:val="en-US"/>
        </w:rPr>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Pr>
          <w:i w:val="1"/>
          <w:iCs w:val="1"/>
          <w:sz w:val="22"/>
          <w:szCs w:val="22"/>
          <w:rtl w:val="0"/>
          <w:lang w:val="en-US"/>
        </w:rPr>
        <w:t>not appropriate</w:t>
      </w:r>
      <w:r>
        <w:rPr>
          <w:sz w:val="22"/>
          <w:szCs w:val="22"/>
          <w:rtl w:val="0"/>
          <w:lang w:val="en-US"/>
        </w:rPr>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pPr>
        <w:pStyle w:val="Body"/>
        <w:numPr>
          <w:ilvl w:val="1"/>
          <w:numId w:val="7"/>
        </w:numPr>
        <w:bidi w:val="0"/>
        <w:ind w:right="0"/>
        <w:jc w:val="left"/>
        <w:rPr>
          <w:sz w:val="22"/>
          <w:szCs w:val="22"/>
          <w:rtl w:val="0"/>
          <w:lang w:val="en-US"/>
        </w:rPr>
      </w:pPr>
      <w:r>
        <w:rPr>
          <w:sz w:val="22"/>
          <w:szCs w:val="22"/>
          <w:rtl w:val="0"/>
          <w:lang w:val="en-US"/>
        </w:rPr>
        <w:t>Addressing the instructor using inappropriately familiar language</w:t>
      </w:r>
    </w:p>
    <w:p>
      <w:pPr>
        <w:pStyle w:val="Body"/>
        <w:numPr>
          <w:ilvl w:val="1"/>
          <w:numId w:val="7"/>
        </w:numPr>
        <w:bidi w:val="0"/>
        <w:ind w:right="0"/>
        <w:jc w:val="left"/>
        <w:rPr>
          <w:sz w:val="22"/>
          <w:szCs w:val="22"/>
          <w:rtl w:val="0"/>
          <w:lang w:val="en-US"/>
        </w:rPr>
      </w:pPr>
      <w:r>
        <w:rPr>
          <w:sz w:val="22"/>
          <w:szCs w:val="22"/>
          <w:rtl w:val="0"/>
          <w:lang w:val="en-US"/>
        </w:rPr>
        <w:t xml:space="preserve">Use of </w:t>
      </w:r>
      <w:r>
        <w:rPr>
          <w:sz w:val="22"/>
          <w:szCs w:val="22"/>
          <w:rtl w:val="0"/>
          <w:lang w:val="de-DE"/>
        </w:rPr>
        <w:t>“</w:t>
      </w:r>
      <w:r>
        <w:rPr>
          <w:sz w:val="22"/>
          <w:szCs w:val="22"/>
          <w:rtl w:val="0"/>
          <w:lang w:val="en-US"/>
        </w:rPr>
        <w:t>Hey</w:t>
      </w:r>
      <w:r>
        <w:rPr>
          <w:sz w:val="22"/>
          <w:szCs w:val="22"/>
          <w:rtl w:val="0"/>
        </w:rPr>
        <w:t xml:space="preserve">…” </w:t>
      </w:r>
      <w:r>
        <w:rPr>
          <w:sz w:val="22"/>
          <w:szCs w:val="22"/>
          <w:rtl w:val="0"/>
          <w:lang w:val="en-US"/>
        </w:rPr>
        <w:t>to begin written communication</w:t>
      </w:r>
    </w:p>
    <w:p>
      <w:pPr>
        <w:pStyle w:val="Body"/>
        <w:numPr>
          <w:ilvl w:val="1"/>
          <w:numId w:val="7"/>
        </w:numPr>
        <w:bidi w:val="0"/>
        <w:ind w:right="0"/>
        <w:jc w:val="left"/>
        <w:rPr>
          <w:sz w:val="22"/>
          <w:szCs w:val="22"/>
          <w:rtl w:val="0"/>
          <w:lang w:val="en-US"/>
        </w:rPr>
      </w:pPr>
      <w:r>
        <w:rPr>
          <w:sz w:val="22"/>
          <w:szCs w:val="22"/>
          <w:rtl w:val="0"/>
          <w:lang w:val="en-US"/>
        </w:rPr>
        <w:t>Use of all capital letters in a message</w:t>
      </w:r>
    </w:p>
    <w:p>
      <w:pPr>
        <w:pStyle w:val="Body"/>
        <w:numPr>
          <w:ilvl w:val="1"/>
          <w:numId w:val="7"/>
        </w:numPr>
        <w:bidi w:val="0"/>
        <w:ind w:right="0"/>
        <w:jc w:val="left"/>
        <w:rPr>
          <w:sz w:val="22"/>
          <w:szCs w:val="22"/>
          <w:rtl w:val="0"/>
          <w:lang w:val="en-US"/>
        </w:rPr>
      </w:pPr>
      <w:r>
        <w:rPr>
          <w:sz w:val="22"/>
          <w:szCs w:val="22"/>
          <w:rtl w:val="0"/>
          <w:lang w:val="en-US"/>
        </w:rPr>
        <w:t>Failure to punctuate and spell properly</w:t>
      </w:r>
    </w:p>
    <w:p>
      <w:pPr>
        <w:pStyle w:val="Body"/>
        <w:numPr>
          <w:ilvl w:val="1"/>
          <w:numId w:val="7"/>
        </w:numPr>
        <w:bidi w:val="0"/>
        <w:ind w:right="0"/>
        <w:jc w:val="left"/>
        <w:rPr>
          <w:sz w:val="22"/>
          <w:szCs w:val="22"/>
          <w:rtl w:val="0"/>
          <w:lang w:val="en-US"/>
        </w:rPr>
      </w:pPr>
      <w:r>
        <w:rPr>
          <w:sz w:val="22"/>
          <w:szCs w:val="22"/>
          <w:rtl w:val="0"/>
          <w:lang w:val="en-US"/>
        </w:rPr>
        <w:t>Formatting written communication as if it were an instant message or text message between peers (particularly the use of text message shorthand)</w:t>
      </w:r>
    </w:p>
    <w:p>
      <w:pPr>
        <w:pStyle w:val="Body"/>
        <w:ind w:left="720" w:firstLine="0"/>
        <w:rPr>
          <w:b w:val="1"/>
          <w:bCs w:val="1"/>
          <w:i w:val="1"/>
          <w:iCs w:val="1"/>
          <w:sz w:val="22"/>
          <w:szCs w:val="22"/>
        </w:rPr>
      </w:pPr>
      <w:r>
        <w:rPr>
          <w:sz w:val="22"/>
          <w:szCs w:val="22"/>
          <w:rtl w:val="0"/>
          <w:lang w:val="en-US"/>
        </w:rPr>
        <w:t xml:space="preserve">This list is not exhaustive, however, it does provide a good starting point for proof-reading and editing of written communication. </w:t>
      </w:r>
      <w:r>
        <w:rPr>
          <w:b w:val="1"/>
          <w:bCs w:val="1"/>
          <w:i w:val="1"/>
          <w:iCs w:val="1"/>
          <w:sz w:val="22"/>
          <w:szCs w:val="22"/>
          <w:rtl w:val="0"/>
          <w:lang w:val="en-US"/>
        </w:rPr>
        <w:t xml:space="preserve"> Instructors </w:t>
      </w:r>
      <w:r>
        <w:rPr>
          <w:b w:val="1"/>
          <w:bCs w:val="1"/>
          <w:i w:val="1"/>
          <w:iCs w:val="1"/>
          <w:color w:val="c00000"/>
          <w:sz w:val="22"/>
          <w:szCs w:val="22"/>
          <w:u w:color="c00000"/>
          <w:rtl w:val="0"/>
          <w:lang w:val="en-US"/>
        </w:rPr>
        <w:t>will</w:t>
      </w:r>
      <w:r>
        <w:rPr>
          <w:b w:val="1"/>
          <w:bCs w:val="1"/>
          <w:i w:val="1"/>
          <w:iCs w:val="1"/>
          <w:sz w:val="22"/>
          <w:szCs w:val="22"/>
          <w:rtl w:val="0"/>
          <w:lang w:val="en-US"/>
        </w:rPr>
        <w:t xml:space="preserve"> deduct participation points from student grades if there is a consistent problem with professional written communication.</w:t>
      </w:r>
    </w:p>
    <w:p>
      <w:pPr>
        <w:pStyle w:val="Body"/>
        <w:numPr>
          <w:ilvl w:val="0"/>
          <w:numId w:val="7"/>
        </w:numPr>
        <w:bidi w:val="0"/>
        <w:ind w:right="0"/>
        <w:jc w:val="left"/>
        <w:rPr>
          <w:b w:val="1"/>
          <w:bCs w:val="1"/>
          <w:i w:val="1"/>
          <w:iCs w:val="1"/>
          <w:sz w:val="22"/>
          <w:szCs w:val="22"/>
          <w:rtl w:val="0"/>
          <w:lang w:val="en-US"/>
        </w:rPr>
      </w:pPr>
      <w:r>
        <w:rPr>
          <w:b w:val="0"/>
          <w:bCs w:val="0"/>
          <w:i w:val="0"/>
          <w:iCs w:val="0"/>
          <w:sz w:val="22"/>
          <w:szCs w:val="22"/>
          <w:rtl w:val="0"/>
          <w:lang w:val="en-US"/>
        </w:rPr>
        <w:t xml:space="preserve">In addition to professional written communication, EDMD 3300 students are expected to comport themselves in a professional manner during class meeting times as well as conferences with the instructors.  Accessing non-class related websites during class (i.e. Facebook, wedding planning sites, etc.) demonstrates a lack of professionalism and respect for the instructor and others enrolled in the class.  This type of web use during class should not occur.  </w:t>
      </w:r>
      <w:r>
        <w:rPr>
          <w:b w:val="1"/>
          <w:bCs w:val="1"/>
          <w:i w:val="1"/>
          <w:iCs w:val="1"/>
          <w:sz w:val="22"/>
          <w:szCs w:val="22"/>
          <w:rtl w:val="0"/>
          <w:lang w:val="en-US"/>
        </w:rPr>
        <w:t xml:space="preserve">Instructors will deduct points from the participation portion of the grade should this type of activity occur. </w:t>
      </w:r>
    </w:p>
    <w:p>
      <w:pPr>
        <w:pStyle w:val="Body"/>
        <w:numPr>
          <w:ilvl w:val="0"/>
          <w:numId w:val="7"/>
        </w:numPr>
        <w:bidi w:val="0"/>
        <w:ind w:right="0"/>
        <w:jc w:val="left"/>
        <w:rPr>
          <w:sz w:val="22"/>
          <w:szCs w:val="22"/>
          <w:rtl w:val="0"/>
          <w:lang w:val="en-US"/>
        </w:rPr>
      </w:pPr>
      <w:r>
        <w:rPr>
          <w:sz w:val="22"/>
          <w:szCs w:val="22"/>
          <w:rtl w:val="0"/>
          <w:lang w:val="en-US"/>
        </w:rPr>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pPr>
        <w:pStyle w:val="Body"/>
        <w:outlineLvl w:val="0"/>
        <w:rPr>
          <w:sz w:val="22"/>
          <w:szCs w:val="22"/>
        </w:rPr>
      </w:pPr>
    </w:p>
    <w:p>
      <w:pPr>
        <w:pStyle w:val="Body"/>
        <w:outlineLvl w:val="0"/>
        <w:rPr>
          <w:b w:val="1"/>
          <w:bCs w:val="1"/>
          <w:i w:val="1"/>
          <w:iCs w:val="1"/>
          <w:sz w:val="22"/>
          <w:szCs w:val="22"/>
        </w:rPr>
      </w:pPr>
      <w:r>
        <w:rPr>
          <w:i w:val="1"/>
          <w:iCs w:val="1"/>
          <w:color w:val="000000"/>
          <w:spacing w:val="0"/>
          <w:u w:color="000000"/>
          <w:rtl w:val="0"/>
          <w:lang w:val="fr-FR"/>
        </w:rPr>
        <w:t>Participation</w:t>
      </w:r>
      <w:r>
        <w:rPr>
          <w:b w:val="1"/>
          <w:bCs w:val="1"/>
          <w:i w:val="1"/>
          <w:iCs w:val="1"/>
          <w:sz w:val="22"/>
          <w:szCs w:val="22"/>
          <w:rtl w:val="0"/>
        </w:rPr>
        <w:t>:</w:t>
      </w:r>
    </w:p>
    <w:p>
      <w:pPr>
        <w:pStyle w:val="Body"/>
        <w:rPr>
          <w:sz w:val="22"/>
          <w:szCs w:val="22"/>
        </w:rPr>
      </w:pPr>
      <w:r>
        <w:rPr>
          <w:sz w:val="22"/>
          <w:szCs w:val="22"/>
          <w:rtl w:val="0"/>
          <w:lang w:val="en-US"/>
        </w:rPr>
        <w:t xml:space="preserve">Participation is important in our classes as most of you are preparing to be teachers. I should not have to remind you to engage in class activities. Just because you are in class does not mean you are participating.  In addition to </w:t>
      </w:r>
      <w:r>
        <w:rPr>
          <w:i w:val="1"/>
          <w:iCs w:val="1"/>
          <w:sz w:val="22"/>
          <w:szCs w:val="22"/>
          <w:rtl w:val="0"/>
          <w:lang w:val="en-US"/>
        </w:rPr>
        <w:t>appearing</w:t>
      </w:r>
      <w:r>
        <w:rPr>
          <w:sz w:val="22"/>
          <w:szCs w:val="22"/>
          <w:rtl w:val="0"/>
          <w:lang w:val="en-US"/>
        </w:rPr>
        <w:t xml:space="preserve"> in class each week, you must </w:t>
      </w:r>
      <w:r>
        <w:rPr>
          <w:i w:val="1"/>
          <w:iCs w:val="1"/>
          <w:sz w:val="22"/>
          <w:szCs w:val="22"/>
          <w:rtl w:val="0"/>
          <w:lang w:val="it-IT"/>
        </w:rPr>
        <w:t>contribute in a collegial manner</w:t>
      </w:r>
      <w:r>
        <w:rPr>
          <w:sz w:val="22"/>
          <w:szCs w:val="22"/>
          <w:rtl w:val="0"/>
          <w:lang w:val="en-US"/>
        </w:rPr>
        <w:t xml:space="preserve">. To this end, </w:t>
      </w:r>
    </w:p>
    <w:p>
      <w:pPr>
        <w:pStyle w:val="Body"/>
        <w:ind w:left="720" w:firstLine="0"/>
        <w:rPr>
          <w:b w:val="1"/>
          <w:bCs w:val="1"/>
          <w:i w:val="1"/>
          <w:iCs w:val="1"/>
          <w:sz w:val="22"/>
          <w:szCs w:val="22"/>
        </w:rPr>
      </w:pPr>
      <w:r>
        <w:rPr>
          <w:b w:val="1"/>
          <w:bCs w:val="1"/>
          <w:i w:val="1"/>
          <w:iCs w:val="1"/>
          <w:sz w:val="22"/>
          <w:szCs w:val="22"/>
          <w:rtl w:val="0"/>
          <w:lang w:val="en-US"/>
        </w:rPr>
        <w:t>Participation in EDMD 3300 is defined as:</w:t>
      </w:r>
    </w:p>
    <w:p>
      <w:pPr>
        <w:pStyle w:val="Body"/>
        <w:numPr>
          <w:ilvl w:val="0"/>
          <w:numId w:val="15"/>
        </w:numPr>
        <w:bidi w:val="0"/>
        <w:ind w:right="0"/>
        <w:jc w:val="left"/>
        <w:rPr>
          <w:sz w:val="22"/>
          <w:szCs w:val="22"/>
          <w:rtl w:val="0"/>
          <w:lang w:val="en-US"/>
        </w:rPr>
      </w:pPr>
      <w:r>
        <w:rPr>
          <w:sz w:val="22"/>
          <w:szCs w:val="22"/>
          <w:rtl w:val="0"/>
          <w:lang w:val="en-US"/>
        </w:rPr>
        <w:t>Regular, collegial contribution to class discussions (both in class and online):</w:t>
      </w:r>
    </w:p>
    <w:p>
      <w:pPr>
        <w:pStyle w:val="Body"/>
        <w:numPr>
          <w:ilvl w:val="1"/>
          <w:numId w:val="15"/>
        </w:numPr>
        <w:bidi w:val="0"/>
        <w:ind w:right="0"/>
        <w:jc w:val="left"/>
        <w:rPr>
          <w:sz w:val="22"/>
          <w:szCs w:val="22"/>
          <w:rtl w:val="0"/>
          <w:lang w:val="en-US"/>
        </w:rPr>
      </w:pPr>
      <w:r>
        <w:rPr>
          <w:sz w:val="22"/>
          <w:szCs w:val="22"/>
          <w:rtl w:val="0"/>
          <w:lang w:val="en-US"/>
        </w:rPr>
        <w:t xml:space="preserve">Providing assistance to classmates for </w:t>
      </w:r>
      <w:r>
        <w:rPr>
          <w:sz w:val="22"/>
          <w:szCs w:val="22"/>
          <w:rtl w:val="0"/>
          <w:lang w:val="de-DE"/>
        </w:rPr>
        <w:t>“</w:t>
      </w:r>
      <w:r>
        <w:rPr>
          <w:sz w:val="22"/>
          <w:szCs w:val="22"/>
          <w:rtl w:val="0"/>
          <w:lang w:val="en-US"/>
        </w:rPr>
        <w:t>troubleshooting</w:t>
      </w:r>
      <w:r>
        <w:rPr>
          <w:sz w:val="22"/>
          <w:szCs w:val="22"/>
          <w:rtl w:val="0"/>
        </w:rPr>
        <w:t xml:space="preserve">” </w:t>
      </w:r>
      <w:r>
        <w:rPr>
          <w:sz w:val="22"/>
          <w:szCs w:val="22"/>
          <w:rtl w:val="0"/>
          <w:lang w:val="en-US"/>
        </w:rPr>
        <w:t>purposes</w:t>
      </w:r>
    </w:p>
    <w:p>
      <w:pPr>
        <w:pStyle w:val="Body"/>
        <w:numPr>
          <w:ilvl w:val="1"/>
          <w:numId w:val="15"/>
        </w:numPr>
        <w:bidi w:val="0"/>
        <w:ind w:right="0"/>
        <w:jc w:val="left"/>
        <w:rPr>
          <w:sz w:val="22"/>
          <w:szCs w:val="22"/>
          <w:rtl w:val="0"/>
          <w:lang w:val="en-US"/>
        </w:rPr>
      </w:pPr>
      <w:r>
        <w:rPr>
          <w:sz w:val="22"/>
          <w:szCs w:val="22"/>
          <w:rtl w:val="0"/>
          <w:lang w:val="en-US"/>
        </w:rPr>
        <w:t>Treating classmates with respect and dignity</w:t>
      </w:r>
    </w:p>
    <w:p>
      <w:pPr>
        <w:pStyle w:val="Body"/>
        <w:numPr>
          <w:ilvl w:val="1"/>
          <w:numId w:val="15"/>
        </w:numPr>
        <w:bidi w:val="0"/>
        <w:ind w:right="0"/>
        <w:jc w:val="left"/>
        <w:rPr>
          <w:sz w:val="22"/>
          <w:szCs w:val="22"/>
          <w:rtl w:val="0"/>
          <w:lang w:val="en-US"/>
        </w:rPr>
      </w:pPr>
      <w:r>
        <w:rPr>
          <w:sz w:val="22"/>
          <w:szCs w:val="22"/>
          <w:rtl w:val="0"/>
          <w:lang w:val="en-US"/>
        </w:rPr>
        <w:t>Continuing discussions (in class and online) in such a manner that encourages others to participate rather than discouraging them.  In order to contribute to discussions, you will have had to read the assigned materials prior to class.</w:t>
      </w:r>
    </w:p>
    <w:p>
      <w:pPr>
        <w:pStyle w:val="Body"/>
        <w:numPr>
          <w:ilvl w:val="0"/>
          <w:numId w:val="15"/>
        </w:numPr>
        <w:bidi w:val="0"/>
        <w:ind w:right="0"/>
        <w:jc w:val="left"/>
        <w:rPr>
          <w:sz w:val="22"/>
          <w:szCs w:val="22"/>
          <w:rtl w:val="0"/>
          <w:lang w:val="en-US"/>
        </w:rPr>
      </w:pPr>
      <w:r>
        <w:rPr>
          <w:sz w:val="22"/>
          <w:szCs w:val="22"/>
          <w:rtl w:val="0"/>
          <w:lang w:val="en-US"/>
        </w:rPr>
        <w:t>Attending to class activities in a professional manner:</w:t>
      </w:r>
    </w:p>
    <w:p>
      <w:pPr>
        <w:pStyle w:val="Body"/>
        <w:numPr>
          <w:ilvl w:val="1"/>
          <w:numId w:val="15"/>
        </w:numPr>
        <w:bidi w:val="0"/>
        <w:ind w:right="0"/>
        <w:jc w:val="left"/>
        <w:rPr>
          <w:sz w:val="22"/>
          <w:szCs w:val="22"/>
          <w:rtl w:val="0"/>
          <w:lang w:val="en-US"/>
        </w:rPr>
      </w:pPr>
      <w:r>
        <w:rPr>
          <w:sz w:val="22"/>
          <w:szCs w:val="22"/>
          <w:rtl w:val="0"/>
          <w:lang w:val="en-US"/>
        </w:rPr>
        <w:t>Coming to class prepared with materials and any handouts that you might need to complete class activities</w:t>
      </w:r>
    </w:p>
    <w:p>
      <w:pPr>
        <w:pStyle w:val="Body"/>
        <w:numPr>
          <w:ilvl w:val="1"/>
          <w:numId w:val="15"/>
        </w:numPr>
        <w:bidi w:val="0"/>
        <w:ind w:right="0"/>
        <w:jc w:val="left"/>
        <w:rPr>
          <w:sz w:val="22"/>
          <w:szCs w:val="22"/>
          <w:rtl w:val="0"/>
          <w:lang w:val="en-US"/>
        </w:rPr>
      </w:pPr>
      <w:r>
        <w:rPr>
          <w:sz w:val="22"/>
          <w:szCs w:val="22"/>
          <w:rtl w:val="0"/>
          <w:lang w:val="en-US"/>
        </w:rPr>
        <w:t>Giving guest speakers your full attention</w:t>
      </w:r>
    </w:p>
    <w:p>
      <w:pPr>
        <w:pStyle w:val="Body"/>
        <w:numPr>
          <w:ilvl w:val="1"/>
          <w:numId w:val="15"/>
        </w:numPr>
        <w:bidi w:val="0"/>
        <w:ind w:right="0"/>
        <w:jc w:val="left"/>
        <w:rPr>
          <w:sz w:val="22"/>
          <w:szCs w:val="22"/>
          <w:rtl w:val="0"/>
          <w:lang w:val="en-US"/>
        </w:rPr>
      </w:pPr>
      <w:r>
        <w:rPr>
          <w:sz w:val="22"/>
          <w:szCs w:val="22"/>
          <w:rtl w:val="0"/>
          <w:lang w:val="en-US"/>
        </w:rPr>
        <w:t>Keeping off-task computer-based tasks (email, shopping, etc.) to a minimum during break time and non-existent during lectures or guest speaking engagements</w:t>
      </w:r>
    </w:p>
    <w:p>
      <w:pPr>
        <w:pStyle w:val="Body"/>
        <w:numPr>
          <w:ilvl w:val="1"/>
          <w:numId w:val="15"/>
        </w:numPr>
        <w:bidi w:val="0"/>
        <w:ind w:right="0"/>
        <w:jc w:val="left"/>
        <w:rPr>
          <w:sz w:val="22"/>
          <w:szCs w:val="22"/>
          <w:rtl w:val="0"/>
          <w:lang w:val="en-US"/>
        </w:rPr>
      </w:pPr>
      <w:r>
        <w:rPr>
          <w:sz w:val="22"/>
          <w:szCs w:val="22"/>
          <w:rtl w:val="0"/>
          <w:lang w:val="en-US"/>
        </w:rPr>
        <w:t>Cooperating with your team member(s) for team projects in a professional way</w:t>
      </w:r>
    </w:p>
    <w:p>
      <w:pPr>
        <w:pStyle w:val="Body"/>
        <w:numPr>
          <w:ilvl w:val="1"/>
          <w:numId w:val="15"/>
        </w:numPr>
        <w:bidi w:val="0"/>
        <w:ind w:right="0"/>
        <w:jc w:val="left"/>
        <w:rPr>
          <w:sz w:val="22"/>
          <w:szCs w:val="22"/>
          <w:rtl w:val="0"/>
          <w:lang w:val="en-US"/>
        </w:rPr>
      </w:pPr>
      <w:r>
        <w:rPr>
          <w:sz w:val="22"/>
          <w:szCs w:val="22"/>
          <w:rtl w:val="0"/>
          <w:lang w:val="en-US"/>
        </w:rPr>
        <w:t>Paying attention to your peers while they are presenting in the class. This is one way of indicating that you respect them standing in front of the class and sharing what they have mastered.</w:t>
      </w:r>
    </w:p>
    <w:p>
      <w:pPr>
        <w:pStyle w:val="Body"/>
        <w:rPr>
          <w:sz w:val="22"/>
          <w:szCs w:val="22"/>
        </w:rPr>
      </w:pPr>
      <w:r>
        <w:rPr>
          <w:b w:val="1"/>
          <w:bCs w:val="1"/>
          <w:sz w:val="22"/>
          <w:szCs w:val="22"/>
          <w:rtl w:val="0"/>
          <w:lang w:val="en-US"/>
        </w:rPr>
        <w:t>This list is by no means exhaustive.</w:t>
      </w:r>
      <w:r>
        <w:rPr>
          <w:sz w:val="22"/>
          <w:szCs w:val="22"/>
          <w:rtl w:val="0"/>
          <w:lang w:val="en-US"/>
        </w:rPr>
        <w:t xml:space="preserve"> There are many ways to participate in class and online. It</w:t>
      </w:r>
    </w:p>
    <w:p>
      <w:pPr>
        <w:pStyle w:val="Body"/>
        <w:rPr>
          <w:sz w:val="22"/>
          <w:szCs w:val="22"/>
        </w:rPr>
      </w:pPr>
      <w:r>
        <w:rPr>
          <w:sz w:val="22"/>
          <w:szCs w:val="22"/>
          <w:rtl w:val="0"/>
          <w:lang w:val="en-US"/>
        </w:rPr>
        <w:t>is intended to be a basic list that can be expanded upon by you when appropriate. If you think of</w:t>
      </w:r>
    </w:p>
    <w:p>
      <w:pPr>
        <w:pStyle w:val="Body"/>
        <w:rPr>
          <w:sz w:val="22"/>
          <w:szCs w:val="22"/>
        </w:rPr>
      </w:pPr>
      <w:r>
        <w:rPr>
          <w:sz w:val="22"/>
          <w:szCs w:val="22"/>
          <w:rtl w:val="0"/>
          <w:lang w:val="en-US"/>
        </w:rPr>
        <w:t>an item that you think should be added, please do not hesitate to let me know.</w:t>
      </w:r>
    </w:p>
    <w:p>
      <w:pPr>
        <w:pStyle w:val="Body"/>
        <w:outlineLvl w:val="0"/>
        <w:rPr>
          <w:sz w:val="22"/>
          <w:szCs w:val="22"/>
        </w:rPr>
      </w:pPr>
    </w:p>
    <w:p>
      <w:pPr>
        <w:pStyle w:val="Subtitle"/>
        <w:rPr>
          <w:color w:val="000000"/>
          <w:u w:color="000000"/>
        </w:rPr>
      </w:pPr>
      <w:r>
        <w:rPr>
          <w:rFonts w:cs="Arial Unicode MS" w:eastAsia="Arial Unicode MS"/>
          <w:color w:val="000000"/>
          <w:u w:color="000000"/>
          <w:rtl w:val="0"/>
          <w:lang w:val="en-US"/>
        </w:rPr>
        <w:t>Assignment Submission:</w:t>
      </w:r>
    </w:p>
    <w:p>
      <w:pPr>
        <w:pStyle w:val="Body"/>
        <w:numPr>
          <w:ilvl w:val="0"/>
          <w:numId w:val="17"/>
        </w:numPr>
        <w:bidi w:val="0"/>
        <w:ind w:right="0"/>
        <w:jc w:val="left"/>
        <w:rPr>
          <w:sz w:val="22"/>
          <w:szCs w:val="22"/>
          <w:rtl w:val="0"/>
          <w:lang w:val="en-US"/>
        </w:rPr>
      </w:pPr>
      <w:r>
        <w:rPr>
          <w:sz w:val="22"/>
          <w:szCs w:val="22"/>
          <w:rtl w:val="0"/>
          <w:lang w:val="en-US"/>
        </w:rPr>
        <w:t xml:space="preserve">Assignments are due prior to the beginning of the class period, unless otherwise noted.  Since most assignments are submitted via Canvas, they are due </w:t>
      </w:r>
      <w:r>
        <w:rPr>
          <w:i w:val="1"/>
          <w:iCs w:val="1"/>
          <w:sz w:val="22"/>
          <w:szCs w:val="22"/>
          <w:rtl w:val="0"/>
          <w:lang w:val="en-US"/>
        </w:rPr>
        <w:t>prior to the beginning</w:t>
      </w:r>
      <w:r>
        <w:rPr>
          <w:sz w:val="22"/>
          <w:szCs w:val="22"/>
          <w:rtl w:val="0"/>
          <w:lang w:val="en-US"/>
        </w:rPr>
        <w:t xml:space="preserve"> of the class indicated on the schedule.  This is also indicated on the assignment due date in Canvas.</w:t>
      </w:r>
    </w:p>
    <w:p>
      <w:pPr>
        <w:pStyle w:val="Body"/>
        <w:numPr>
          <w:ilvl w:val="0"/>
          <w:numId w:val="17"/>
        </w:numPr>
        <w:bidi w:val="0"/>
        <w:ind w:right="0"/>
        <w:jc w:val="left"/>
        <w:rPr>
          <w:sz w:val="22"/>
          <w:szCs w:val="22"/>
          <w:rtl w:val="0"/>
          <w:lang w:val="en-US"/>
        </w:rPr>
      </w:pPr>
      <w:r>
        <w:rPr>
          <w:sz w:val="22"/>
          <w:szCs w:val="22"/>
          <w:rtl w:val="0"/>
          <w:lang w:val="en-US"/>
        </w:rPr>
        <w:t xml:space="preserve">Any assignment presented or submitted after the due date will be penalized 5% for each calendar day after the due date (up to three calendar days).  Late assignments presented or turned in late after three calendar days will not be accepted and will receive a grade of zero (0).  Be aware that many assignments that are due later in the semester are based on work that is completed at the beginning of the semester.  Failure to complete work in a timely manner has a tendency to </w:t>
      </w:r>
      <w:r>
        <w:rPr>
          <w:sz w:val="22"/>
          <w:szCs w:val="22"/>
          <w:rtl w:val="0"/>
          <w:lang w:val="de-DE"/>
        </w:rPr>
        <w:t>“</w:t>
      </w:r>
      <w:r>
        <w:rPr>
          <w:sz w:val="22"/>
          <w:szCs w:val="22"/>
          <w:rtl w:val="0"/>
          <w:lang w:val="en-US"/>
        </w:rPr>
        <w:t>snowball</w:t>
      </w:r>
      <w:r>
        <w:rPr>
          <w:sz w:val="22"/>
          <w:szCs w:val="22"/>
          <w:rtl w:val="0"/>
        </w:rPr>
        <w:t xml:space="preserve">” </w:t>
      </w:r>
      <w:r>
        <w:rPr>
          <w:sz w:val="22"/>
          <w:szCs w:val="22"/>
          <w:rtl w:val="0"/>
          <w:lang w:val="en-US"/>
        </w:rPr>
        <w:t>and affect performance on later assignments.</w:t>
      </w:r>
    </w:p>
    <w:p>
      <w:pPr>
        <w:pStyle w:val="Body"/>
        <w:numPr>
          <w:ilvl w:val="0"/>
          <w:numId w:val="17"/>
        </w:numPr>
        <w:bidi w:val="0"/>
        <w:ind w:right="0"/>
        <w:jc w:val="left"/>
        <w:rPr>
          <w:b w:val="1"/>
          <w:bCs w:val="1"/>
          <w:sz w:val="22"/>
          <w:szCs w:val="22"/>
          <w:rtl w:val="0"/>
          <w:lang w:val="en-US"/>
        </w:rPr>
      </w:pPr>
      <w:r>
        <w:rPr>
          <w:b w:val="0"/>
          <w:bCs w:val="0"/>
          <w:sz w:val="22"/>
          <w:szCs w:val="22"/>
          <w:rtl w:val="0"/>
          <w:lang w:val="en-US"/>
        </w:rPr>
        <w:t xml:space="preserve">EDMD 3300 instructors will utilize Canvas for the submission of most work.  There may be times that written copies of work also will be submitted.  Specific submission procedures will be communicated by the instructor to students on the first class meeting.  </w:t>
      </w:r>
      <w:r>
        <w:rPr>
          <w:b w:val="1"/>
          <w:bCs w:val="1"/>
          <w:sz w:val="22"/>
          <w:szCs w:val="22"/>
          <w:rtl w:val="0"/>
          <w:lang w:val="en-US"/>
        </w:rPr>
        <w:t>Students are strongly encouraged to keep electronic archival copies of all work submitted.  Additionally, any work that is returned to the students with a grade on it should be retained for record-keeping purposes.</w:t>
      </w:r>
    </w:p>
    <w:p>
      <w:pPr>
        <w:pStyle w:val="Heading"/>
        <w:rPr>
          <w:color w:val="000000"/>
          <w:u w:color="000000"/>
        </w:rPr>
      </w:pPr>
      <w:r>
        <w:rPr>
          <w:color w:val="000000"/>
          <w:u w:color="000000"/>
          <w:rtl w:val="0"/>
          <w:lang w:val="en-US"/>
        </w:rPr>
        <w:t>Personal Electronic Device(s) Policy</w:t>
      </w:r>
    </w:p>
    <w:p>
      <w:pPr>
        <w:pStyle w:val="Body Text"/>
        <w:numPr>
          <w:ilvl w:val="0"/>
          <w:numId w:val="19"/>
        </w:numPr>
        <w:bidi w:val="0"/>
        <w:ind w:right="0"/>
        <w:jc w:val="left"/>
        <w:rPr>
          <w:rFonts w:ascii="Times New Roman" w:cs="Times New Roman" w:hAnsi="Times New Roman" w:eastAsia="Times New Roman"/>
          <w:rtl w:val="0"/>
          <w:lang w:val="en-US"/>
        </w:rPr>
      </w:pPr>
      <w:r>
        <w:rPr>
          <w:rFonts w:ascii="Times New Roman" w:hAnsi="Times New Roman"/>
          <w:rtl w:val="0"/>
          <w:lang w:val="en-US"/>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 are directed to complete during class sessions.  </w:t>
      </w:r>
      <w:r>
        <w:rPr>
          <w:rFonts w:ascii="Times New Roman" w:hAnsi="Times New Roman"/>
          <w:b w:val="1"/>
          <w:bCs w:val="1"/>
          <w:rtl w:val="0"/>
          <w:lang w:val="en-US"/>
        </w:rPr>
        <w:t xml:space="preserve">As such students are reminded that laptops, cell phones, Blackberries, iPods, iPhones, text messaging, E-mail devices or any forms of technology or technology related activities (i.e. </w:t>
      </w:r>
      <w:r>
        <w:rPr>
          <w:rFonts w:ascii="Times New Roman" w:hAnsi="Times New Roman" w:hint="default"/>
          <w:b w:val="1"/>
          <w:bCs w:val="1"/>
          <w:rtl w:val="0"/>
          <w:lang w:val="en-US"/>
        </w:rPr>
        <w:t>“</w:t>
      </w:r>
      <w:r>
        <w:rPr>
          <w:rFonts w:ascii="Times New Roman" w:hAnsi="Times New Roman"/>
          <w:b w:val="1"/>
          <w:bCs w:val="1"/>
          <w:rtl w:val="0"/>
          <w:lang w:val="en-US"/>
        </w:rPr>
        <w:t>surfing</w:t>
      </w:r>
      <w:r>
        <w:rPr>
          <w:rFonts w:ascii="Times New Roman" w:hAnsi="Times New Roman" w:hint="default"/>
          <w:b w:val="1"/>
          <w:bCs w:val="1"/>
          <w:rtl w:val="0"/>
          <w:lang w:val="en-US"/>
        </w:rPr>
        <w:t xml:space="preserve">” </w:t>
      </w:r>
      <w:r>
        <w:rPr>
          <w:rFonts w:ascii="Times New Roman" w:hAnsi="Times New Roman"/>
          <w:b w:val="1"/>
          <w:bCs w:val="1"/>
          <w:rtl w:val="0"/>
          <w:lang w:val="en-US"/>
        </w:rPr>
        <w:t>the Web) that are not pertinent to the lesson being conducted during class should not be used.</w:t>
      </w:r>
      <w:r>
        <w:rPr>
          <w:rFonts w:ascii="Times New Roman" w:hAnsi="Times New Roman"/>
          <w:rtl w:val="0"/>
          <w:lang w:val="en-US"/>
        </w:rPr>
        <w:t xml:space="preserve">  If you are using one of these during an unapproved time, I will request that you put it away. If I have to mention it again at any point during the semester, you will be asked to leave that class session, and that will count as an unexcused absence.</w:t>
      </w:r>
    </w:p>
    <w:p>
      <w:pPr>
        <w:pStyle w:val="Body Text"/>
        <w:numPr>
          <w:ilvl w:val="0"/>
          <w:numId w:val="19"/>
        </w:numPr>
        <w:bidi w:val="0"/>
        <w:ind w:right="0"/>
        <w:jc w:val="left"/>
        <w:rPr>
          <w:rFonts w:ascii="Times New Roman" w:cs="Times New Roman" w:hAnsi="Times New Roman" w:eastAsia="Times New Roman"/>
          <w:rtl w:val="0"/>
          <w:lang w:val="en-US"/>
        </w:rPr>
      </w:pPr>
      <w:r>
        <w:rPr>
          <w:rFonts w:ascii="Times New Roman" w:hAnsi="Times New Roman"/>
          <w:rtl w:val="0"/>
          <w:lang w:val="en-US"/>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w:t>
      </w:r>
      <w:r>
        <w:rPr>
          <w:rFonts w:ascii="Times New Roman" w:hAnsi="Times New Roman" w:hint="default"/>
          <w:rtl w:val="0"/>
          <w:lang w:val="en-US"/>
        </w:rPr>
        <w:t>“</w:t>
      </w:r>
      <w:r>
        <w:rPr>
          <w:rFonts w:ascii="Times New Roman" w:hAnsi="Times New Roman"/>
          <w:rtl w:val="0"/>
          <w:lang w:val="en-US"/>
        </w:rPr>
        <w:t>multi-tasking</w:t>
      </w:r>
      <w:r>
        <w:rPr>
          <w:rFonts w:ascii="Times New Roman" w:hAnsi="Times New Roman" w:hint="default"/>
          <w:rtl w:val="0"/>
          <w:lang w:val="en-US"/>
        </w:rPr>
        <w:t xml:space="preserve">” </w:t>
      </w:r>
      <w:r>
        <w:rPr>
          <w:rFonts w:ascii="Times New Roman" w:hAnsi="Times New Roman"/>
          <w:rtl w:val="0"/>
          <w:lang w:val="en-US"/>
        </w:rPr>
        <w:t xml:space="preserve">mode.  These students may be able to have a word processing document open to take notes, the specific software open that is being demonstrated in class to follow along, as well as possibly having related web-sites open for reference or further study.  </w:t>
      </w:r>
      <w:r>
        <w:rPr>
          <w:rFonts w:ascii="Times New Roman" w:hAnsi="Times New Roman"/>
          <w:b w:val="1"/>
          <w:bCs w:val="1"/>
          <w:rtl w:val="0"/>
          <w:lang w:val="en-US"/>
        </w:rPr>
        <w:t>I do not want to discourage this sort of learning activity.</w:t>
      </w:r>
      <w:r>
        <w:rPr>
          <w:rFonts w:ascii="Times New Roman" w:hAnsi="Times New Roman"/>
          <w:rtl w:val="0"/>
          <w:lang w:val="en-US"/>
        </w:rPr>
        <w:t xml:space="preserve">  HOWEVER, other than bona fide learning or class concept related sites, software and activities, all </w:t>
      </w:r>
      <w:r>
        <w:rPr>
          <w:rFonts w:ascii="Times New Roman" w:hAnsi="Times New Roman" w:hint="default"/>
          <w:rtl w:val="0"/>
          <w:lang w:val="en-US"/>
        </w:rPr>
        <w:t>“</w:t>
      </w:r>
      <w:r>
        <w:rPr>
          <w:rFonts w:ascii="Times New Roman" w:hAnsi="Times New Roman"/>
          <w:rtl w:val="0"/>
          <w:lang w:val="en-US"/>
        </w:rPr>
        <w:t>surfing</w:t>
      </w:r>
      <w:r>
        <w:rPr>
          <w:rFonts w:ascii="Times New Roman" w:hAnsi="Times New Roman" w:hint="default"/>
          <w:rtl w:val="0"/>
          <w:lang w:val="en-US"/>
        </w:rPr>
        <w:t xml:space="preserve">” </w:t>
      </w:r>
      <w:r>
        <w:rPr>
          <w:rFonts w:ascii="Times New Roman" w:hAnsi="Times New Roman"/>
          <w:rtl w:val="0"/>
          <w:lang w:val="en-US"/>
        </w:rPr>
        <w:t xml:space="preserve">and email checking and other forms of electronic communication should be confined to those times of </w:t>
      </w:r>
      <w:r>
        <w:rPr>
          <w:rFonts w:ascii="Times New Roman" w:hAnsi="Times New Roman" w:hint="default"/>
          <w:rtl w:val="0"/>
          <w:lang w:val="en-US"/>
        </w:rPr>
        <w:t>“</w:t>
      </w:r>
      <w:r>
        <w:rPr>
          <w:rFonts w:ascii="Times New Roman" w:hAnsi="Times New Roman"/>
          <w:rtl w:val="0"/>
          <w:lang w:val="en-US"/>
        </w:rPr>
        <w:t>break</w:t>
      </w:r>
      <w:r>
        <w:rPr>
          <w:rFonts w:ascii="Times New Roman" w:hAnsi="Times New Roman" w:hint="default"/>
          <w:rtl w:val="0"/>
          <w:lang w:val="en-US"/>
        </w:rPr>
        <w:t xml:space="preserve">” </w:t>
      </w:r>
      <w:r>
        <w:rPr>
          <w:rFonts w:ascii="Times New Roman" w:hAnsi="Times New Roman"/>
          <w:rtl w:val="0"/>
          <w:lang w:val="en-US"/>
        </w:rPr>
        <w:t>as may be provided by the instructor during the class session.  If the instructor asks, you may have to justify your use of any websites or software that are not being directly used during that class session</w:t>
      </w:r>
      <w:r>
        <w:rPr>
          <w:rFonts w:ascii="Times New Roman" w:hAnsi="Times New Roman" w:hint="default"/>
          <w:rtl w:val="0"/>
          <w:lang w:val="en-US"/>
        </w:rPr>
        <w:t>’</w:t>
      </w:r>
      <w:r>
        <w:rPr>
          <w:rFonts w:ascii="Times New Roman" w:hAnsi="Times New Roman"/>
          <w:rtl w:val="0"/>
          <w:lang w:val="en-US"/>
        </w:rPr>
        <w:t xml:space="preserve">s lesson.  </w:t>
      </w:r>
    </w:p>
    <w:p>
      <w:pPr>
        <w:pStyle w:val="Body Text"/>
        <w:numPr>
          <w:ilvl w:val="0"/>
          <w:numId w:val="19"/>
        </w:numPr>
        <w:bidi w:val="0"/>
        <w:ind w:right="0"/>
        <w:jc w:val="left"/>
        <w:rPr>
          <w:rFonts w:ascii="Times New Roman" w:cs="Times New Roman" w:hAnsi="Times New Roman" w:eastAsia="Times New Roman"/>
          <w:rtl w:val="0"/>
          <w:lang w:val="en-US"/>
        </w:rPr>
      </w:pPr>
      <w:r>
        <w:rPr>
          <w:rFonts w:ascii="Times New Roman" w:hAnsi="Times New Roman"/>
          <w:rtl w:val="0"/>
          <w:lang w:val="en-US"/>
        </w:rPr>
        <w:t>Some examples of activities that you should not engage in during class time (unless specifically directed to do so by your instructor) include (but are not limited to):</w:t>
      </w:r>
    </w:p>
    <w:p>
      <w:pPr>
        <w:pStyle w:val="Body Text"/>
        <w:numPr>
          <w:ilvl w:val="1"/>
          <w:numId w:val="19"/>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 xml:space="preserve">Visiting Social Network sites such as Instagram or Facebook </w:t>
      </w:r>
    </w:p>
    <w:p>
      <w:pPr>
        <w:pStyle w:val="Body Text"/>
        <w:numPr>
          <w:ilvl w:val="1"/>
          <w:numId w:val="19"/>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Online shopping/ordering</w:t>
      </w:r>
    </w:p>
    <w:p>
      <w:pPr>
        <w:pStyle w:val="Body Text"/>
        <w:numPr>
          <w:ilvl w:val="1"/>
          <w:numId w:val="19"/>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Wedding Planning</w:t>
      </w:r>
    </w:p>
    <w:p>
      <w:pPr>
        <w:pStyle w:val="Body Text"/>
        <w:numPr>
          <w:ilvl w:val="1"/>
          <w:numId w:val="19"/>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Online gaming</w:t>
      </w:r>
    </w:p>
    <w:p>
      <w:pPr>
        <w:pStyle w:val="Body Text"/>
        <w:numPr>
          <w:ilvl w:val="1"/>
          <w:numId w:val="19"/>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Completing or working on assignments or projects for classes other than this one</w:t>
      </w:r>
    </w:p>
    <w:p>
      <w:pPr>
        <w:pStyle w:val="Body Text"/>
        <w:numPr>
          <w:ilvl w:val="1"/>
          <w:numId w:val="19"/>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Completing or working on assignments for this class that are past due.</w:t>
      </w:r>
    </w:p>
    <w:p>
      <w:pPr>
        <w:pStyle w:val="Body Text"/>
        <w:numPr>
          <w:ilvl w:val="0"/>
          <w:numId w:val="19"/>
        </w:numPr>
        <w:bidi w:val="0"/>
        <w:ind w:right="0"/>
        <w:jc w:val="left"/>
        <w:rPr>
          <w:rFonts w:ascii="Times New Roman" w:cs="Times New Roman" w:hAnsi="Times New Roman" w:eastAsia="Times New Roman"/>
          <w:rtl w:val="0"/>
          <w:lang w:val="en-US"/>
        </w:rPr>
      </w:pPr>
      <w:r>
        <w:rPr>
          <w:rFonts w:ascii="Times New Roman" w:hAnsi="Times New Roman"/>
          <w:rtl w:val="0"/>
          <w:lang w:val="en-US"/>
        </w:rPr>
        <w:t>Some examples of activities that you should feel free and are encouraged to engage in during class time include (but are not limited to):</w:t>
      </w:r>
    </w:p>
    <w:p>
      <w:pPr>
        <w:pStyle w:val="Body Text"/>
        <w:numPr>
          <w:ilvl w:val="1"/>
          <w:numId w:val="19"/>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Following along with skills lessons</w:t>
      </w:r>
    </w:p>
    <w:p>
      <w:pPr>
        <w:pStyle w:val="Body Text"/>
        <w:numPr>
          <w:ilvl w:val="1"/>
          <w:numId w:val="19"/>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Asking your instructor for technical help for projects of any sort (time permitting).  We want you to ask questions, that</w:t>
      </w:r>
      <w:r>
        <w:rPr>
          <w:rFonts w:ascii="Times New Roman" w:hAnsi="Times New Roman" w:hint="default"/>
          <w:rtl w:val="0"/>
          <w:lang w:val="en-US"/>
        </w:rPr>
        <w:t>’</w:t>
      </w:r>
      <w:r>
        <w:rPr>
          <w:rFonts w:ascii="Times New Roman" w:hAnsi="Times New Roman"/>
          <w:rtl w:val="0"/>
          <w:lang w:val="en-US"/>
        </w:rPr>
        <w:t>s how you learn.  If you have a technology problem with a project or assignment for another class, we</w:t>
      </w:r>
      <w:r>
        <w:rPr>
          <w:rFonts w:ascii="Times New Roman" w:hAnsi="Times New Roman" w:hint="default"/>
          <w:rtl w:val="0"/>
          <w:lang w:val="en-US"/>
        </w:rPr>
        <w:t>’</w:t>
      </w:r>
      <w:r>
        <w:rPr>
          <w:rFonts w:ascii="Times New Roman" w:hAnsi="Times New Roman"/>
          <w:rtl w:val="0"/>
          <w:lang w:val="en-US"/>
        </w:rPr>
        <w:t xml:space="preserve">re happy to help to the extent possible.  </w:t>
      </w:r>
    </w:p>
    <w:p>
      <w:pPr>
        <w:pStyle w:val="Body Text"/>
        <w:numPr>
          <w:ilvl w:val="1"/>
          <w:numId w:val="19"/>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Demonstrate to your instructor how you</w:t>
      </w:r>
      <w:r>
        <w:rPr>
          <w:rFonts w:ascii="Times New Roman" w:hAnsi="Times New Roman" w:hint="default"/>
          <w:rtl w:val="0"/>
          <w:lang w:val="en-US"/>
        </w:rPr>
        <w:t>’</w:t>
      </w:r>
      <w:r>
        <w:rPr>
          <w:rFonts w:ascii="Times New Roman" w:hAnsi="Times New Roman"/>
          <w:rtl w:val="0"/>
          <w:lang w:val="en-US"/>
        </w:rPr>
        <w:t>ve implemented skills or concepts learned in one class session to projects/assignments for another class session.</w:t>
      </w:r>
    </w:p>
    <w:p>
      <w:pPr>
        <w:pStyle w:val="Body Text"/>
        <w:numPr>
          <w:ilvl w:val="1"/>
          <w:numId w:val="19"/>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Submit to the instructor resources that may apply to skills, topics, or lessons that have been completed in class.  If they</w:t>
      </w:r>
      <w:r>
        <w:rPr>
          <w:rFonts w:ascii="Times New Roman" w:hAnsi="Times New Roman" w:hint="default"/>
          <w:rtl w:val="0"/>
          <w:lang w:val="en-US"/>
        </w:rPr>
        <w:t>’</w:t>
      </w:r>
      <w:r>
        <w:rPr>
          <w:rFonts w:ascii="Times New Roman" w:hAnsi="Times New Roman"/>
          <w:rtl w:val="0"/>
          <w:lang w:val="en-US"/>
        </w:rPr>
        <w:t>re good, we</w:t>
      </w:r>
      <w:r>
        <w:rPr>
          <w:rFonts w:ascii="Times New Roman" w:hAnsi="Times New Roman" w:hint="default"/>
          <w:rtl w:val="0"/>
          <w:lang w:val="en-US"/>
        </w:rPr>
        <w:t>’</w:t>
      </w:r>
      <w:r>
        <w:rPr>
          <w:rFonts w:ascii="Times New Roman" w:hAnsi="Times New Roman"/>
          <w:rtl w:val="0"/>
          <w:lang w:val="en-US"/>
        </w:rPr>
        <w:t>ll include them on the class Canvas site.</w:t>
      </w:r>
    </w:p>
    <w:p>
      <w:pPr>
        <w:pStyle w:val="Body Text"/>
        <w:numPr>
          <w:ilvl w:val="1"/>
          <w:numId w:val="19"/>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 xml:space="preserve">Use the technology resources available to you in the classroom in order to organize your own learning activities for class.  </w:t>
      </w:r>
    </w:p>
    <w:p>
      <w:pPr>
        <w:pStyle w:val="Body Text"/>
        <w:numPr>
          <w:ilvl w:val="1"/>
          <w:numId w:val="19"/>
        </w:numPr>
        <w:bidi w:val="0"/>
        <w:spacing w:after="0"/>
        <w:ind w:right="0"/>
        <w:jc w:val="left"/>
        <w:rPr>
          <w:rFonts w:ascii="Times New Roman" w:cs="Times New Roman" w:hAnsi="Times New Roman" w:eastAsia="Times New Roman"/>
          <w:rtl w:val="0"/>
          <w:lang w:val="en-US"/>
        </w:rPr>
      </w:pPr>
      <w:r>
        <w:rPr>
          <w:rFonts w:ascii="Times New Roman" w:hAnsi="Times New Roman"/>
          <w:rtl w:val="0"/>
          <w:lang w:val="en-US"/>
        </w:rPr>
        <w:t xml:space="preserve">During appropriate times, explore, try, learn, </w:t>
      </w:r>
      <w:r>
        <w:rPr>
          <w:rFonts w:ascii="Times New Roman" w:hAnsi="Times New Roman" w:hint="default"/>
          <w:rtl w:val="0"/>
          <w:lang w:val="en-US"/>
        </w:rPr>
        <w:t xml:space="preserve">… </w:t>
      </w:r>
      <w:r>
        <w:rPr>
          <w:rFonts w:ascii="Times New Roman" w:hAnsi="Times New Roman"/>
          <w:rtl w:val="0"/>
          <w:lang w:val="en-US"/>
        </w:rPr>
        <w:t xml:space="preserve">put your hands on the software or other equipment and </w:t>
      </w:r>
      <w:r>
        <w:rPr>
          <w:rFonts w:ascii="Times New Roman" w:hAnsi="Times New Roman" w:hint="default"/>
          <w:rtl w:val="0"/>
          <w:lang w:val="en-US"/>
        </w:rPr>
        <w:t>“</w:t>
      </w:r>
      <w:r>
        <w:rPr>
          <w:rFonts w:ascii="Times New Roman" w:hAnsi="Times New Roman"/>
          <w:rtl w:val="0"/>
          <w:lang w:val="en-US"/>
        </w:rPr>
        <w:t>get your hands dirty.</w:t>
      </w:r>
      <w:r>
        <w:rPr>
          <w:rFonts w:ascii="Times New Roman" w:hAnsi="Times New Roman" w:hint="default"/>
          <w:rtl w:val="0"/>
          <w:lang w:val="en-US"/>
        </w:rPr>
        <w:t xml:space="preserve">”  </w:t>
      </w:r>
      <w:r>
        <w:rPr>
          <w:rFonts w:ascii="Times New Roman" w:hAnsi="Times New Roman"/>
          <w:rtl w:val="0"/>
          <w:lang w:val="en-US"/>
        </w:rPr>
        <w:t>That</w:t>
      </w:r>
      <w:r>
        <w:rPr>
          <w:rFonts w:ascii="Times New Roman" w:hAnsi="Times New Roman" w:hint="default"/>
          <w:rtl w:val="0"/>
          <w:lang w:val="en-US"/>
        </w:rPr>
        <w:t>’</w:t>
      </w:r>
      <w:r>
        <w:rPr>
          <w:rFonts w:ascii="Times New Roman" w:hAnsi="Times New Roman"/>
          <w:rtl w:val="0"/>
          <w:lang w:val="en-US"/>
        </w:rPr>
        <w:t>s also how you learn.</w:t>
      </w:r>
    </w:p>
    <w:p>
      <w:pPr>
        <w:pStyle w:val="Body Text"/>
        <w:numPr>
          <w:ilvl w:val="0"/>
          <w:numId w:val="19"/>
        </w:numPr>
        <w:bidi w:val="0"/>
        <w:ind w:right="0"/>
        <w:jc w:val="left"/>
        <w:rPr>
          <w:rFonts w:ascii="Times New Roman" w:cs="Times New Roman" w:hAnsi="Times New Roman" w:eastAsia="Times New Roman"/>
          <w:rtl w:val="0"/>
          <w:lang w:val="en-US"/>
        </w:rPr>
      </w:pPr>
      <w:r>
        <w:rPr>
          <w:rFonts w:ascii="Times New Roman" w:hAnsi="Times New Roman"/>
          <w:rtl w:val="0"/>
          <w:lang w:val="en-US"/>
        </w:rPr>
        <w:t>Cell phones should be set to silent or vibrate and be kept in your bag or pocket during class time.  Your instructor</w:t>
      </w:r>
      <w:r>
        <w:rPr>
          <w:rFonts w:ascii="Times New Roman" w:hAnsi="Times New Roman" w:hint="default"/>
          <w:rtl w:val="0"/>
          <w:lang w:val="en-US"/>
        </w:rPr>
        <w:t>’</w:t>
      </w:r>
      <w:r>
        <w:rPr>
          <w:rFonts w:ascii="Times New Roman" w:hAnsi="Times New Roman"/>
          <w:rtl w:val="0"/>
          <w:lang w:val="en-US"/>
        </w:rPr>
        <w:t>s cell phone will not interrupt class, neither should yours.  If you have a compelling reason to have your phone visible and in a potentially distracting location, you must receive permission from the instructor first.  Otherwise, you will be asked to put the phone away as indicated in the first bullet point.</w:t>
      </w:r>
    </w:p>
    <w:p>
      <w:pPr>
        <w:pStyle w:val="Body"/>
        <w:rPr>
          <w:b w:val="1"/>
          <w:bCs w:val="1"/>
          <w:i w:val="1"/>
          <w:iCs w:val="1"/>
          <w:sz w:val="22"/>
          <w:szCs w:val="22"/>
        </w:rPr>
      </w:pPr>
    </w:p>
    <w:p>
      <w:pPr>
        <w:pStyle w:val="Heading"/>
        <w:rPr>
          <w:color w:val="000000"/>
          <w:u w:color="000000"/>
        </w:rPr>
      </w:pPr>
      <w:r>
        <w:rPr>
          <w:color w:val="000000"/>
          <w:u w:color="000000"/>
          <w:rtl w:val="0"/>
          <w:lang w:val="en-US"/>
        </w:rPr>
        <w:t>Attendance Policy</w:t>
      </w:r>
    </w:p>
    <w:p>
      <w:pPr>
        <w:pStyle w:val="Body"/>
        <w:numPr>
          <w:ilvl w:val="0"/>
          <w:numId w:val="21"/>
        </w:numPr>
        <w:bidi w:val="0"/>
        <w:ind w:right="0"/>
        <w:jc w:val="left"/>
        <w:rPr>
          <w:sz w:val="22"/>
          <w:szCs w:val="22"/>
          <w:rtl w:val="0"/>
          <w:lang w:val="en-US"/>
        </w:rPr>
      </w:pPr>
      <w:r>
        <w:rPr>
          <w:sz w:val="22"/>
          <w:szCs w:val="22"/>
          <w:rtl w:val="0"/>
          <w:lang w:val="en-US"/>
        </w:rPr>
        <w:t>As future professionals, it is incumbent upon you to demonstrate that you are ready to begin meeting the demands of the teaching profession.</w:t>
      </w:r>
      <w:r>
        <w:rPr>
          <w:sz w:val="22"/>
          <w:szCs w:val="22"/>
          <w:rtl w:val="0"/>
        </w:rPr>
        <w:t xml:space="preserve">  </w:t>
      </w:r>
      <w:r>
        <w:rPr>
          <w:sz w:val="22"/>
          <w:szCs w:val="22"/>
          <w:rtl w:val="0"/>
          <w:lang w:val="en-US"/>
        </w:rPr>
        <w:t>When you are employed as a full-time teacher, you will be expected to be present in your classroom each of the days of your contract (typically 150-180 teaching days per year plus additional staff-only days, depending on the district).</w:t>
      </w:r>
      <w:r>
        <w:rPr>
          <w:sz w:val="22"/>
          <w:szCs w:val="22"/>
          <w:rtl w:val="0"/>
        </w:rPr>
        <w:t xml:space="preserve">  </w:t>
      </w:r>
      <w:r>
        <w:rPr>
          <w:b w:val="1"/>
          <w:bCs w:val="1"/>
          <w:i w:val="1"/>
          <w:iCs w:val="1"/>
          <w:sz w:val="22"/>
          <w:szCs w:val="22"/>
          <w:rtl w:val="0"/>
          <w:lang w:val="en-US"/>
        </w:rPr>
        <w:t>You cannot teach if you are not present!</w:t>
      </w:r>
    </w:p>
    <w:p>
      <w:pPr>
        <w:pStyle w:val="Body"/>
        <w:numPr>
          <w:ilvl w:val="0"/>
          <w:numId w:val="21"/>
        </w:numPr>
        <w:bidi w:val="0"/>
        <w:ind w:right="0"/>
        <w:jc w:val="left"/>
        <w:rPr>
          <w:sz w:val="22"/>
          <w:szCs w:val="22"/>
          <w:rtl w:val="0"/>
          <w:lang w:val="en-US"/>
        </w:rPr>
      </w:pPr>
      <w:r>
        <w:rPr>
          <w:sz w:val="22"/>
          <w:szCs w:val="22"/>
          <w:rtl w:val="0"/>
          <w:lang w:val="en-US"/>
        </w:rPr>
        <w:t>I will take attendance each class period.</w:t>
      </w:r>
      <w:r>
        <w:rPr>
          <w:sz w:val="22"/>
          <w:szCs w:val="22"/>
          <w:rtl w:val="0"/>
        </w:rPr>
        <w:t xml:space="preserve">  </w:t>
      </w:r>
      <w:r>
        <w:rPr>
          <w:sz w:val="22"/>
          <w:szCs w:val="22"/>
          <w:rtl w:val="0"/>
          <w:lang w:val="en-US"/>
        </w:rPr>
        <w:t>If you are absent on a day that work is due, you must make sure that it was submitted ON TIME via the dropbox.</w:t>
      </w:r>
      <w:r>
        <w:rPr>
          <w:sz w:val="22"/>
          <w:szCs w:val="22"/>
          <w:rtl w:val="0"/>
        </w:rPr>
        <w:t xml:space="preserve">  </w:t>
      </w:r>
      <w:r>
        <w:rPr>
          <w:sz w:val="22"/>
          <w:szCs w:val="22"/>
          <w:rtl w:val="0"/>
          <w:lang w:val="en-US"/>
        </w:rPr>
        <w:t>Then, when you return to class, you should bring your documentation for absence to me in order for me to determine whether the hard copy will be accepted.</w:t>
      </w:r>
      <w:r>
        <w:rPr>
          <w:sz w:val="22"/>
          <w:szCs w:val="22"/>
          <w:rtl w:val="0"/>
        </w:rPr>
        <w:t xml:space="preserve">  </w:t>
      </w:r>
      <w:r>
        <w:rPr>
          <w:b w:val="1"/>
          <w:bCs w:val="1"/>
          <w:sz w:val="22"/>
          <w:szCs w:val="22"/>
          <w:rtl w:val="0"/>
          <w:lang w:val="en-US"/>
        </w:rPr>
        <w:t xml:space="preserve">Students who are absent for </w:t>
      </w:r>
      <w:r>
        <w:rPr>
          <w:b w:val="1"/>
          <w:bCs w:val="1"/>
          <w:sz w:val="22"/>
          <w:szCs w:val="22"/>
          <w:rtl w:val="0"/>
          <w:lang w:val="de-DE"/>
        </w:rPr>
        <w:t>“</w:t>
      </w:r>
      <w:r>
        <w:rPr>
          <w:b w:val="1"/>
          <w:bCs w:val="1"/>
          <w:sz w:val="22"/>
          <w:szCs w:val="22"/>
          <w:rtl w:val="0"/>
          <w:lang w:val="en-US"/>
        </w:rPr>
        <w:t>excused</w:t>
      </w:r>
      <w:r>
        <w:rPr>
          <w:b w:val="1"/>
          <w:bCs w:val="1"/>
          <w:sz w:val="22"/>
          <w:szCs w:val="22"/>
          <w:rtl w:val="0"/>
        </w:rPr>
        <w:t xml:space="preserve">” </w:t>
      </w:r>
      <w:r>
        <w:rPr>
          <w:b w:val="1"/>
          <w:bCs w:val="1"/>
          <w:sz w:val="22"/>
          <w:szCs w:val="22"/>
          <w:rtl w:val="0"/>
          <w:lang w:val="en-US"/>
        </w:rPr>
        <w:t xml:space="preserve">reasons (please see the University Policies site for specific information regarding excused absences here: https://sites.auburn.edu/admin/universitypolicies/Policies/PolicyonClassAttendance.pdf) must provide the instructor with appropriate documentation </w:t>
      </w:r>
      <w:r>
        <w:rPr>
          <w:b w:val="1"/>
          <w:bCs w:val="1"/>
          <w:color w:val="ff0000"/>
          <w:sz w:val="22"/>
          <w:szCs w:val="22"/>
          <w:u w:color="ff0000"/>
          <w:rtl w:val="0"/>
          <w:lang w:val="en-US"/>
        </w:rPr>
        <w:t>within one (1) week from the date of the absence.</w:t>
      </w:r>
      <w:r>
        <w:rPr>
          <w:b w:val="1"/>
          <w:bCs w:val="1"/>
          <w:sz w:val="22"/>
          <w:szCs w:val="22"/>
          <w:rtl w:val="0"/>
        </w:rPr>
        <w:t xml:space="preserve"> </w:t>
      </w:r>
      <w:r>
        <w:rPr>
          <w:sz w:val="22"/>
          <w:szCs w:val="22"/>
          <w:rtl w:val="0"/>
        </w:rPr>
        <w:t> </w:t>
      </w:r>
      <w:r>
        <w:rPr>
          <w:sz w:val="22"/>
          <w:szCs w:val="22"/>
          <w:rtl w:val="0"/>
          <w:lang w:val="en-US"/>
        </w:rPr>
        <w:t>If the reason for the absence is such that this is not possible, it is the student</w:t>
      </w:r>
      <w:r>
        <w:rPr>
          <w:sz w:val="22"/>
          <w:szCs w:val="22"/>
          <w:rtl w:val="0"/>
        </w:rPr>
        <w:t>’</w:t>
      </w:r>
      <w:r>
        <w:rPr>
          <w:sz w:val="22"/>
          <w:szCs w:val="22"/>
          <w:rtl w:val="0"/>
          <w:lang w:val="en-US"/>
        </w:rPr>
        <w:t>s responsibility to communicate with the instructor and make other arrangements.</w:t>
      </w:r>
      <w:r>
        <w:rPr>
          <w:sz w:val="22"/>
          <w:szCs w:val="22"/>
          <w:rtl w:val="0"/>
        </w:rPr>
        <w:t xml:space="preserve">  </w:t>
      </w:r>
    </w:p>
    <w:p>
      <w:pPr>
        <w:pStyle w:val="Body"/>
        <w:numPr>
          <w:ilvl w:val="0"/>
          <w:numId w:val="21"/>
        </w:numPr>
        <w:bidi w:val="0"/>
        <w:ind w:right="0"/>
        <w:jc w:val="left"/>
        <w:rPr>
          <w:sz w:val="22"/>
          <w:szCs w:val="22"/>
          <w:rtl w:val="0"/>
          <w:lang w:val="en-US"/>
        </w:rPr>
      </w:pPr>
      <w:r>
        <w:rPr>
          <w:sz w:val="22"/>
          <w:szCs w:val="22"/>
          <w:rtl w:val="0"/>
          <w:lang w:val="en-US"/>
        </w:rPr>
        <w:t>Other unavoidable absences from campus must be documented and cleared with the instructor in advance.</w:t>
      </w:r>
      <w:r>
        <w:rPr>
          <w:sz w:val="22"/>
          <w:szCs w:val="22"/>
          <w:rtl w:val="0"/>
        </w:rPr>
        <w:t xml:space="preserve">  </w:t>
      </w:r>
      <w:r>
        <w:rPr>
          <w:b w:val="1"/>
          <w:bCs w:val="1"/>
          <w:i w:val="1"/>
          <w:iCs w:val="1"/>
          <w:sz w:val="22"/>
          <w:szCs w:val="22"/>
          <w:rtl w:val="0"/>
          <w:lang w:val="en-US"/>
        </w:rPr>
        <w:t xml:space="preserve">Please note: </w:t>
      </w:r>
      <w:r>
        <w:rPr>
          <w:sz w:val="22"/>
          <w:szCs w:val="22"/>
          <w:rtl w:val="0"/>
        </w:rPr>
        <w:t> </w:t>
      </w:r>
      <w:r>
        <w:rPr>
          <w:sz w:val="22"/>
          <w:szCs w:val="22"/>
          <w:rtl w:val="0"/>
          <w:lang w:val="en-US"/>
        </w:rPr>
        <w:t xml:space="preserve">Simply informing the instructor of an absence does not automatically cause that absence to be considered </w:t>
      </w:r>
      <w:r>
        <w:rPr>
          <w:sz w:val="22"/>
          <w:szCs w:val="22"/>
          <w:rtl w:val="0"/>
          <w:lang w:val="de-DE"/>
        </w:rPr>
        <w:t>“</w:t>
      </w:r>
      <w:r>
        <w:rPr>
          <w:sz w:val="22"/>
          <w:szCs w:val="22"/>
          <w:rtl w:val="0"/>
          <w:lang w:val="en-US"/>
        </w:rPr>
        <w:t>excused.</w:t>
      </w:r>
      <w:r>
        <w:rPr>
          <w:sz w:val="22"/>
          <w:szCs w:val="22"/>
          <w:rtl w:val="0"/>
        </w:rPr>
        <w:t xml:space="preserve">”  </w:t>
      </w:r>
      <w:r>
        <w:rPr>
          <w:sz w:val="22"/>
          <w:szCs w:val="22"/>
          <w:rtl w:val="0"/>
          <w:lang w:val="en-US"/>
        </w:rPr>
        <w:t>It is the student</w:t>
      </w:r>
      <w:r>
        <w:rPr>
          <w:sz w:val="22"/>
          <w:szCs w:val="22"/>
          <w:rtl w:val="0"/>
        </w:rPr>
        <w:t>’</w:t>
      </w:r>
      <w:r>
        <w:rPr>
          <w:sz w:val="22"/>
          <w:szCs w:val="22"/>
          <w:rtl w:val="0"/>
          <w:lang w:val="en-US"/>
        </w:rPr>
        <w:t>s responsibility to provide appropriate documentation of excused absences for make-up purposes.</w:t>
      </w:r>
      <w:r>
        <w:rPr>
          <w:sz w:val="22"/>
          <w:szCs w:val="22"/>
          <w:rtl w:val="0"/>
        </w:rPr>
        <w:t xml:space="preserve">  </w:t>
      </w:r>
      <w:r>
        <w:rPr>
          <w:sz w:val="22"/>
          <w:szCs w:val="22"/>
          <w:rtl w:val="0"/>
          <w:lang w:val="en-US"/>
        </w:rPr>
        <w:t>Failure to provide documentation within 1 week of return to class will result in a 0 being entered in the gradebook for any missed work or examinations.</w:t>
      </w:r>
      <w:r>
        <w:rPr>
          <w:sz w:val="22"/>
          <w:szCs w:val="22"/>
          <w:rtl w:val="0"/>
        </w:rPr>
        <w:t xml:space="preserve">  </w:t>
      </w:r>
    </w:p>
    <w:p>
      <w:pPr>
        <w:pStyle w:val="List Paragraph"/>
        <w:numPr>
          <w:ilvl w:val="0"/>
          <w:numId w:val="21"/>
        </w:numPr>
        <w:bidi w:val="0"/>
        <w:spacing w:line="240" w:lineRule="auto"/>
        <w:ind w:right="0"/>
        <w:jc w:val="left"/>
        <w:rPr>
          <w:sz w:val="22"/>
          <w:szCs w:val="22"/>
          <w:rtl w:val="0"/>
          <w:lang w:val="en-US"/>
        </w:rPr>
      </w:pPr>
      <w:r>
        <w:rPr>
          <w:sz w:val="22"/>
          <w:szCs w:val="22"/>
          <w:rtl w:val="0"/>
          <w:lang w:val="en-US"/>
        </w:rPr>
        <w:t>“</w:t>
      </w:r>
      <w:r>
        <w:rPr>
          <w:sz w:val="22"/>
          <w:szCs w:val="22"/>
          <w:rtl w:val="0"/>
          <w:lang w:val="en-US"/>
        </w:rPr>
        <w:t>Excused</w:t>
      </w:r>
      <w:r>
        <w:rPr>
          <w:sz w:val="22"/>
          <w:szCs w:val="22"/>
          <w:rtl w:val="0"/>
          <w:lang w:val="en-US"/>
        </w:rPr>
        <w:t xml:space="preserve">” </w:t>
      </w:r>
      <w:r>
        <w:rPr>
          <w:sz w:val="22"/>
          <w:szCs w:val="22"/>
          <w:rtl w:val="0"/>
          <w:lang w:val="en-US"/>
        </w:rPr>
        <w:t>absences are defined as absences that have been documented as occurring for University approved reasons.</w:t>
      </w:r>
      <w:r>
        <w:rPr>
          <w:sz w:val="22"/>
          <w:szCs w:val="22"/>
          <w:rtl w:val="0"/>
          <w:lang w:val="en-US"/>
        </w:rPr>
        <w:t xml:space="preserve">  </w:t>
      </w:r>
      <w:r>
        <w:rPr>
          <w:b w:val="1"/>
          <w:bCs w:val="1"/>
          <w:sz w:val="22"/>
          <w:szCs w:val="22"/>
          <w:rtl w:val="0"/>
          <w:lang w:val="en-US"/>
        </w:rPr>
        <w:t xml:space="preserve">ALL absences will be considered to be </w:t>
      </w:r>
      <w:r>
        <w:rPr>
          <w:b w:val="1"/>
          <w:bCs w:val="1"/>
          <w:sz w:val="22"/>
          <w:szCs w:val="22"/>
          <w:rtl w:val="0"/>
          <w:lang w:val="en-US"/>
        </w:rPr>
        <w:t>“</w:t>
      </w:r>
      <w:r>
        <w:rPr>
          <w:b w:val="1"/>
          <w:bCs w:val="1"/>
          <w:sz w:val="22"/>
          <w:szCs w:val="22"/>
          <w:rtl w:val="0"/>
          <w:lang w:val="en-US"/>
        </w:rPr>
        <w:t>Unexcused</w:t>
      </w:r>
      <w:r>
        <w:rPr>
          <w:b w:val="1"/>
          <w:bCs w:val="1"/>
          <w:sz w:val="22"/>
          <w:szCs w:val="22"/>
          <w:rtl w:val="0"/>
          <w:lang w:val="en-US"/>
        </w:rPr>
        <w:t xml:space="preserve">” </w:t>
      </w:r>
      <w:r>
        <w:rPr>
          <w:b w:val="1"/>
          <w:bCs w:val="1"/>
          <w:sz w:val="22"/>
          <w:szCs w:val="22"/>
          <w:rtl w:val="0"/>
          <w:lang w:val="en-US"/>
        </w:rPr>
        <w:t>until and unless the instructor is in possession of the appropriate documentation for that absence.</w:t>
      </w:r>
      <w:r>
        <w:rPr>
          <w:sz w:val="22"/>
          <w:szCs w:val="22"/>
          <w:rtl w:val="0"/>
          <w:lang w:val="en-US"/>
        </w:rPr>
        <w:t xml:space="preserve">  </w:t>
      </w:r>
      <w:r>
        <w:rPr>
          <w:sz w:val="22"/>
          <w:szCs w:val="22"/>
          <w:rtl w:val="0"/>
          <w:lang w:val="en-US"/>
        </w:rPr>
        <w:t>Please be aware that the instructor may verify any or all medical or other documentation that is presented for absence verification purposes.</w:t>
      </w:r>
      <w:r>
        <w:rPr>
          <w:sz w:val="22"/>
          <w:szCs w:val="22"/>
          <w:rtl w:val="0"/>
          <w:lang w:val="en-US"/>
        </w:rPr>
        <w:t xml:space="preserve">  </w:t>
      </w:r>
      <w:r>
        <w:rPr>
          <w:i w:val="1"/>
          <w:iCs w:val="1"/>
          <w:sz w:val="22"/>
          <w:szCs w:val="22"/>
          <w:rtl w:val="0"/>
          <w:lang w:val="en-US"/>
        </w:rPr>
        <w:t>The falsification or forgery of medical documentation is considered to be an act of Academic Dishonesty, subject to sanctions as spelled out in the University Policies site by the Academic Dishonesty Committee.</w:t>
      </w:r>
      <w:r>
        <w:rPr>
          <w:sz w:val="22"/>
          <w:szCs w:val="22"/>
          <w:rtl w:val="0"/>
          <w:lang w:val="en-US"/>
        </w:rPr>
        <w:t xml:space="preserve">  </w:t>
      </w:r>
      <w:r>
        <w:rPr>
          <w:sz w:val="22"/>
          <w:szCs w:val="22"/>
          <w:rtl w:val="0"/>
          <w:lang w:val="en-US"/>
        </w:rPr>
        <w:t>Additionally, some physicians have been known to file separate civil charges against those who have committed this type of forgery.</w:t>
      </w:r>
    </w:p>
    <w:p>
      <w:pPr>
        <w:pStyle w:val="Body"/>
        <w:rPr>
          <w:sz w:val="22"/>
          <w:szCs w:val="22"/>
        </w:rPr>
      </w:pPr>
    </w:p>
    <w:p>
      <w:pPr>
        <w:pStyle w:val="Body"/>
        <w:rPr>
          <w:sz w:val="22"/>
          <w:szCs w:val="22"/>
        </w:rPr>
      </w:pPr>
      <w:r>
        <w:rPr>
          <w:i w:val="1"/>
          <w:iCs w:val="1"/>
          <w:color w:val="000000"/>
          <w:spacing w:val="15"/>
          <w:u w:color="000000"/>
          <w:rtl w:val="0"/>
          <w:lang w:val="it-IT"/>
        </w:rPr>
        <w:t>Make-up quizzes/ tests</w:t>
      </w:r>
      <w:r>
        <w:rPr>
          <w:b w:val="1"/>
          <w:bCs w:val="1"/>
          <w:i w:val="1"/>
          <w:iCs w:val="1"/>
          <w:sz w:val="22"/>
          <w:szCs w:val="22"/>
          <w:rtl w:val="0"/>
        </w:rPr>
        <w:t>:</w:t>
      </w:r>
      <w:r>
        <w:rPr>
          <w:sz w:val="22"/>
          <w:szCs w:val="22"/>
          <w:rtl w:val="0"/>
          <w:lang w:val="en-US"/>
        </w:rPr>
        <w:t xml:space="preserve">  Make-ups for quizzes/ tests will be given </w:t>
      </w:r>
      <w:r>
        <w:rPr>
          <w:b w:val="1"/>
          <w:bCs w:val="1"/>
          <w:sz w:val="22"/>
          <w:szCs w:val="22"/>
          <w:rtl w:val="0"/>
          <w:lang w:val="en-US"/>
        </w:rPr>
        <w:t>only</w:t>
      </w:r>
      <w:r>
        <w:rPr>
          <w:sz w:val="22"/>
          <w:szCs w:val="22"/>
          <w:rtl w:val="0"/>
          <w:lang w:val="en-US"/>
        </w:rPr>
        <w:t xml:space="preserve"> for University approved excuses as outlined in the University Policies site.  Arrangements to take a make-up quiz/ test must be made in advance.  Students who miss a quiz or an exam because of illness need a doctor</w:t>
      </w:r>
      <w:r>
        <w:rPr>
          <w:sz w:val="22"/>
          <w:szCs w:val="22"/>
          <w:rtl w:val="0"/>
        </w:rPr>
        <w:t>’</w:t>
      </w:r>
      <w:r>
        <w:rPr>
          <w:sz w:val="22"/>
          <w:szCs w:val="22"/>
          <w:rtl w:val="0"/>
          <w:lang w:val="en-US"/>
        </w:rPr>
        <w:t xml:space="preserve">s statement of verification of sickness and should clear the absence with the instructor the day they return to class.  Other unavoidable absences from campus must be documented and cleared with the instructor in advance.  </w:t>
      </w:r>
      <w:r>
        <w:rPr>
          <w:b w:val="1"/>
          <w:bCs w:val="1"/>
          <w:i w:val="1"/>
          <w:iCs w:val="1"/>
          <w:sz w:val="22"/>
          <w:szCs w:val="22"/>
          <w:rtl w:val="0"/>
          <w:lang w:val="en-US"/>
        </w:rPr>
        <w:t xml:space="preserve">Please note: </w:t>
      </w:r>
      <w:r>
        <w:rPr>
          <w:sz w:val="22"/>
          <w:szCs w:val="22"/>
          <w:rtl w:val="0"/>
          <w:lang w:val="en-US"/>
        </w:rPr>
        <w:t xml:space="preserve"> Simply informing the instructor of an absence does not automatically cause that absence to be considered </w:t>
      </w:r>
      <w:r>
        <w:rPr>
          <w:sz w:val="22"/>
          <w:szCs w:val="22"/>
          <w:rtl w:val="0"/>
          <w:lang w:val="de-DE"/>
        </w:rPr>
        <w:t>“</w:t>
      </w:r>
      <w:r>
        <w:rPr>
          <w:sz w:val="22"/>
          <w:szCs w:val="22"/>
          <w:rtl w:val="0"/>
          <w:lang w:val="en-US"/>
        </w:rPr>
        <w:t>excused.</w:t>
      </w:r>
      <w:r>
        <w:rPr>
          <w:sz w:val="22"/>
          <w:szCs w:val="22"/>
          <w:rtl w:val="0"/>
        </w:rPr>
        <w:t xml:space="preserve">”  </w:t>
      </w:r>
      <w:r>
        <w:rPr>
          <w:sz w:val="22"/>
          <w:szCs w:val="22"/>
          <w:rtl w:val="0"/>
          <w:lang w:val="en-US"/>
        </w:rPr>
        <w:t>It is the student</w:t>
      </w:r>
      <w:r>
        <w:rPr>
          <w:sz w:val="22"/>
          <w:szCs w:val="22"/>
          <w:rtl w:val="0"/>
        </w:rPr>
        <w:t>’</w:t>
      </w:r>
      <w:r>
        <w:rPr>
          <w:sz w:val="22"/>
          <w:szCs w:val="22"/>
          <w:rtl w:val="0"/>
          <w:lang w:val="en-US"/>
        </w:rPr>
        <w:t>s responsibility to provide appropriate documentation of excused absences for make-up purposes.  Failure to provide documentation within 1 week of return to class will result in a 0 being entered in the gradebook for any missed quizzes or tests.</w:t>
      </w:r>
    </w:p>
    <w:p>
      <w:pPr>
        <w:pStyle w:val="Body"/>
        <w:rPr>
          <w:color w:val="000000"/>
          <w:spacing w:val="0"/>
          <w:sz w:val="22"/>
          <w:szCs w:val="22"/>
          <w:u w:color="000000"/>
        </w:rPr>
      </w:pPr>
    </w:p>
    <w:p>
      <w:pPr>
        <w:pStyle w:val="Body"/>
        <w:rPr>
          <w:sz w:val="22"/>
          <w:szCs w:val="22"/>
        </w:rPr>
      </w:pPr>
      <w:r>
        <w:rPr>
          <w:i w:val="1"/>
          <w:iCs w:val="1"/>
          <w:color w:val="000000"/>
          <w:spacing w:val="15"/>
          <w:u w:color="000000"/>
          <w:rtl w:val="0"/>
          <w:lang w:val="en-US"/>
        </w:rPr>
        <w:t>Make-up assignments</w:t>
      </w:r>
      <w:r>
        <w:rPr>
          <w:b w:val="1"/>
          <w:bCs w:val="1"/>
          <w:i w:val="1"/>
          <w:iCs w:val="1"/>
          <w:sz w:val="22"/>
          <w:szCs w:val="22"/>
          <w:rtl w:val="0"/>
        </w:rPr>
        <w:t>:</w:t>
      </w:r>
      <w:r>
        <w:rPr>
          <w:sz w:val="22"/>
          <w:szCs w:val="22"/>
          <w:rtl w:val="0"/>
          <w:lang w:val="en-US"/>
        </w:rPr>
        <w:t xml:space="preserve">  Students who miss class on days when assignments are due have two responsibilities.  First, they must submit the work that is due </w:t>
      </w:r>
      <w:r>
        <w:rPr>
          <w:i w:val="1"/>
          <w:iCs w:val="1"/>
          <w:sz w:val="22"/>
          <w:szCs w:val="22"/>
          <w:rtl w:val="0"/>
          <w:lang w:val="it-IT"/>
        </w:rPr>
        <w:t>prior</w:t>
      </w:r>
      <w:r>
        <w:rPr>
          <w:sz w:val="22"/>
          <w:szCs w:val="22"/>
          <w:rtl w:val="0"/>
          <w:lang w:val="en-US"/>
        </w:rPr>
        <w:t xml:space="preserve"> to the start of class using the appropriate online submission procedure(s) (ie. Canvas assignment submission, posting a discussion, or other as communicated by the instructor).  Second, they must be sure to bring university approved documentation in cases where the absence should be considered </w:t>
      </w:r>
      <w:r>
        <w:rPr>
          <w:sz w:val="22"/>
          <w:szCs w:val="22"/>
          <w:rtl w:val="0"/>
          <w:lang w:val="de-DE"/>
        </w:rPr>
        <w:t>“</w:t>
      </w:r>
      <w:r>
        <w:rPr>
          <w:sz w:val="22"/>
          <w:szCs w:val="22"/>
          <w:rtl w:val="0"/>
          <w:lang w:val="en-US"/>
        </w:rPr>
        <w:t>excused.</w:t>
      </w:r>
      <w:r>
        <w:rPr>
          <w:sz w:val="22"/>
          <w:szCs w:val="22"/>
          <w:rtl w:val="0"/>
        </w:rPr>
        <w:t xml:space="preserve">”  </w:t>
      </w:r>
      <w:r>
        <w:rPr>
          <w:sz w:val="22"/>
          <w:szCs w:val="22"/>
          <w:rtl w:val="0"/>
          <w:lang w:val="en-US"/>
        </w:rPr>
        <w:t xml:space="preserve">If students have questions regarding the submission procedures, they should email the appropriate instructor for clarification </w:t>
      </w:r>
      <w:r>
        <w:rPr>
          <w:i w:val="1"/>
          <w:iCs w:val="1"/>
          <w:sz w:val="22"/>
          <w:szCs w:val="22"/>
          <w:rtl w:val="0"/>
          <w:lang w:val="it-IT"/>
        </w:rPr>
        <w:t>prior</w:t>
      </w:r>
      <w:r>
        <w:rPr>
          <w:sz w:val="22"/>
          <w:szCs w:val="22"/>
          <w:rtl w:val="0"/>
          <w:lang w:val="en-US"/>
        </w:rPr>
        <w:t xml:space="preserve"> to the absence.</w:t>
      </w:r>
    </w:p>
    <w:p>
      <w:pPr>
        <w:pStyle w:val="Body"/>
        <w:rPr>
          <w:sz w:val="22"/>
          <w:szCs w:val="22"/>
        </w:rPr>
      </w:pPr>
    </w:p>
    <w:p>
      <w:pPr>
        <w:pStyle w:val="Body"/>
        <w:rPr>
          <w:sz w:val="22"/>
          <w:szCs w:val="22"/>
        </w:rPr>
      </w:pPr>
      <w:r>
        <w:rPr>
          <w:sz w:val="22"/>
          <w:szCs w:val="22"/>
          <w:rtl w:val="0"/>
          <w:lang w:val="en-US"/>
        </w:rPr>
        <w:t xml:space="preserve">Situations of </w:t>
      </w:r>
      <w:r>
        <w:rPr>
          <w:sz w:val="22"/>
          <w:szCs w:val="22"/>
          <w:rtl w:val="0"/>
          <w:lang w:val="de-DE"/>
        </w:rPr>
        <w:t>“</w:t>
      </w:r>
      <w:r>
        <w:rPr>
          <w:sz w:val="22"/>
          <w:szCs w:val="22"/>
          <w:rtl w:val="0"/>
          <w:lang w:val="en-US"/>
        </w:rPr>
        <w:t>extenuating</w:t>
      </w:r>
      <w:r>
        <w:rPr>
          <w:sz w:val="22"/>
          <w:szCs w:val="22"/>
          <w:rtl w:val="0"/>
        </w:rPr>
        <w:t xml:space="preserve">” </w:t>
      </w:r>
      <w:r>
        <w:rPr>
          <w:sz w:val="22"/>
          <w:szCs w:val="22"/>
          <w:rtl w:val="0"/>
          <w:lang w:val="en-US"/>
        </w:rPr>
        <w:t xml:space="preserve">circumstances (ie. Extended stays in the hospital) should be communicated to the instructor as soon as is possible.  Students should make every effort to resolve any missing work upon their return to class(es).  Appropriate documentation </w:t>
      </w:r>
      <w:r>
        <w:rPr>
          <w:b w:val="1"/>
          <w:bCs w:val="1"/>
          <w:sz w:val="22"/>
          <w:szCs w:val="22"/>
          <w:rtl w:val="0"/>
          <w:lang w:val="en-US"/>
        </w:rPr>
        <w:t xml:space="preserve">will </w:t>
      </w:r>
      <w:r>
        <w:rPr>
          <w:sz w:val="22"/>
          <w:szCs w:val="22"/>
          <w:rtl w:val="0"/>
          <w:lang w:val="en-US"/>
        </w:rPr>
        <w:t>be required in order to make arrangements for special scheduling needs in these circumstances.</w:t>
      </w:r>
    </w:p>
    <w:p>
      <w:pPr>
        <w:pStyle w:val="Body"/>
        <w:rPr>
          <w:sz w:val="22"/>
          <w:szCs w:val="22"/>
        </w:rPr>
      </w:pPr>
    </w:p>
    <w:p>
      <w:pPr>
        <w:pStyle w:val="Body"/>
        <w:rPr>
          <w:rStyle w:val="None"/>
          <w:sz w:val="22"/>
          <w:szCs w:val="22"/>
        </w:rPr>
      </w:pPr>
      <w:r>
        <w:rPr>
          <w:i w:val="1"/>
          <w:iCs w:val="1"/>
          <w:color w:val="000000"/>
          <w:spacing w:val="15"/>
          <w:u w:color="000000"/>
          <w:rtl w:val="0"/>
          <w:lang w:val="it-IT"/>
        </w:rPr>
        <w:t>Academic Misconduct</w:t>
      </w:r>
      <w:r>
        <w:rPr>
          <w:b w:val="1"/>
          <w:bCs w:val="1"/>
          <w:i w:val="1"/>
          <w:iCs w:val="1"/>
          <w:sz w:val="22"/>
          <w:szCs w:val="22"/>
          <w:rtl w:val="0"/>
        </w:rPr>
        <w:t>:</w:t>
      </w:r>
      <w:r>
        <w:rPr>
          <w:sz w:val="22"/>
          <w:szCs w:val="22"/>
          <w:rtl w:val="0"/>
          <w:lang w:val="de-DE"/>
        </w:rPr>
        <w:t xml:space="preserve">  </w:t>
      </w:r>
      <w:r>
        <w:rPr>
          <w:rFonts w:ascii="Arial Unicode MS" w:cs="Arial Unicode MS" w:hAnsi="Arial Unicode MS" w:eastAsia="Arial Unicode MS"/>
          <w:sz w:val="22"/>
          <w:szCs w:val="22"/>
        </w:rPr>
        <w:br w:type="textWrapping"/>
      </w:r>
      <w:r>
        <w:rPr>
          <w:i w:val="1"/>
          <w:iCs w:val="1"/>
          <w:sz w:val="22"/>
          <w:szCs w:val="22"/>
          <w:rtl w:val="0"/>
          <w:lang w:val="en-US"/>
        </w:rPr>
        <w:t>The College of Education</w:t>
      </w:r>
      <w:r>
        <w:rPr>
          <w:i w:val="1"/>
          <w:iCs w:val="1"/>
          <w:sz w:val="22"/>
          <w:szCs w:val="22"/>
          <w:rtl w:val="0"/>
        </w:rPr>
        <w:t>’</w:t>
      </w:r>
      <w:r>
        <w:rPr>
          <w:i w:val="1"/>
          <w:iCs w:val="1"/>
          <w:sz w:val="22"/>
          <w:szCs w:val="22"/>
          <w:rtl w:val="0"/>
          <w:lang w:val="en-US"/>
        </w:rPr>
        <w:t>s Honesty statement:</w:t>
      </w:r>
      <w:r>
        <w:rPr>
          <w:sz w:val="22"/>
          <w:szCs w:val="22"/>
          <w:rtl w:val="0"/>
          <w:lang w:val="en-US"/>
        </w:rPr>
        <w:t xml:space="preserve"> The University Academic Honesty Code and the University Policies site Rules and Regulations pertaining to Cheating will apply to this class.  The academic honesty code is available here: </w:t>
      </w:r>
      <w:r>
        <w:rPr>
          <w:rStyle w:val="Hyperlink.0"/>
        </w:rPr>
        <w:fldChar w:fldCharType="begin" w:fldLock="0"/>
      </w:r>
      <w:r>
        <w:rPr>
          <w:rStyle w:val="Hyperlink.0"/>
        </w:rPr>
        <w:instrText xml:space="preserve"> HYPERLINK "http://www.auburn.edu/student_info/student_policies/"</w:instrText>
      </w:r>
      <w:r>
        <w:rPr>
          <w:rStyle w:val="Hyperlink.0"/>
        </w:rPr>
        <w:fldChar w:fldCharType="separate" w:fldLock="0"/>
      </w:r>
      <w:r>
        <w:rPr>
          <w:rStyle w:val="Hyperlink.0"/>
          <w:rtl w:val="0"/>
        </w:rPr>
        <w:t>http://www.auburn.edu/student_info/student_policies/</w:t>
      </w:r>
      <w:r>
        <w:rPr/>
        <w:fldChar w:fldCharType="end" w:fldLock="0"/>
      </w:r>
      <w:r>
        <w:rPr>
          <w:rStyle w:val="None"/>
          <w:rFonts w:ascii="Arial Unicode MS" w:cs="Arial Unicode MS" w:hAnsi="Arial Unicode MS" w:eastAsia="Arial Unicode MS"/>
          <w:sz w:val="22"/>
          <w:szCs w:val="22"/>
        </w:rPr>
        <w:br w:type="textWrapping"/>
      </w:r>
      <w:r>
        <w:rPr>
          <w:rStyle w:val="None"/>
          <w:i w:val="1"/>
          <w:iCs w:val="1"/>
          <w:sz w:val="22"/>
          <w:szCs w:val="22"/>
          <w:rtl w:val="0"/>
          <w:lang w:val="en-US"/>
        </w:rPr>
        <w:t>EDMD 3300 Honesty statement:</w:t>
      </w:r>
      <w:r>
        <w:rPr>
          <w:rStyle w:val="None"/>
          <w:sz w:val="22"/>
          <w:szCs w:val="22"/>
          <w:rtl w:val="0"/>
          <w:lang w:val="en-US"/>
        </w:rPr>
        <w:t xml:space="preserve">  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zero (0) for the affected assignment for all parties involved. See University Policies site for more specific information.  Each instructor will provide specific information regarding what constitutes acceptable and unacceptable practice regarding use of the work from others to the students of each class.  Additionally, students will be required to take and pass a quiz on the individual policies for the appropriate class section as a part of the class grade.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pPr>
        <w:pStyle w:val="Body"/>
        <w:rPr>
          <w:sz w:val="22"/>
          <w:szCs w:val="22"/>
        </w:rPr>
      </w:pPr>
    </w:p>
    <w:p>
      <w:pPr>
        <w:pStyle w:val="Body"/>
        <w:rPr>
          <w:rStyle w:val="None"/>
          <w:sz w:val="22"/>
          <w:szCs w:val="22"/>
        </w:rPr>
      </w:pPr>
      <w:r>
        <w:rPr>
          <w:rStyle w:val="None"/>
          <w:i w:val="1"/>
          <w:iCs w:val="1"/>
          <w:color w:val="000000"/>
          <w:spacing w:val="15"/>
          <w:u w:color="000000"/>
          <w:rtl w:val="0"/>
          <w:lang w:val="en-US"/>
        </w:rPr>
        <w:t>Computer Security</w:t>
      </w:r>
      <w:r>
        <w:rPr>
          <w:rStyle w:val="None"/>
          <w:b w:val="1"/>
          <w:bCs w:val="1"/>
          <w:i w:val="1"/>
          <w:iCs w:val="1"/>
          <w:sz w:val="22"/>
          <w:szCs w:val="22"/>
          <w:rtl w:val="0"/>
        </w:rPr>
        <w:t>:</w:t>
      </w:r>
      <w:r>
        <w:rPr>
          <w:rStyle w:val="None"/>
          <w:sz w:val="22"/>
          <w:szCs w:val="22"/>
          <w:rtl w:val="0"/>
          <w:lang w:val="en-US"/>
        </w:rPr>
        <w:t xml:space="preserve">  In order to maintain the computers so that they are available for all students as they are needed, the College of Education &amp; the LRC has a </w:t>
      </w:r>
      <w:r>
        <w:rPr>
          <w:rStyle w:val="None"/>
          <w:i w:val="1"/>
          <w:iCs w:val="1"/>
          <w:sz w:val="22"/>
          <w:szCs w:val="22"/>
          <w:rtl w:val="0"/>
          <w:lang w:val="en-US"/>
        </w:rPr>
        <w:t>NO Food or Drink</w:t>
      </w:r>
      <w:r>
        <w:rPr>
          <w:rStyle w:val="None"/>
          <w:sz w:val="22"/>
          <w:szCs w:val="22"/>
          <w:rtl w:val="0"/>
          <w:lang w:val="en-US"/>
        </w:rPr>
        <w:t xml:space="preserve"> policy.  This means that food and drink should not be brought in to the LRC at any time.  Students are expected to adhere to this policy.</w:t>
      </w:r>
    </w:p>
    <w:p>
      <w:pPr>
        <w:pStyle w:val="Body"/>
        <w:rPr>
          <w:sz w:val="22"/>
          <w:szCs w:val="22"/>
        </w:rPr>
      </w:pPr>
    </w:p>
    <w:p>
      <w:pPr>
        <w:pStyle w:val="Body"/>
        <w:rPr>
          <w:rStyle w:val="None"/>
          <w:sz w:val="22"/>
          <w:szCs w:val="22"/>
        </w:rPr>
      </w:pPr>
      <w:r>
        <w:rPr>
          <w:rStyle w:val="None"/>
          <w:sz w:val="22"/>
          <w:szCs w:val="22"/>
          <w:rtl w:val="0"/>
          <w:lang w:val="en-US"/>
        </w:rPr>
        <w:t>Printers in the LRC are networked so that students do not have to pay as they print.  However, students should remember that each print job that is executed under their userid will be charged to their bursar bill.</w:t>
      </w:r>
    </w:p>
    <w:p>
      <w:pPr>
        <w:pStyle w:val="Body"/>
        <w:rPr>
          <w:sz w:val="22"/>
          <w:szCs w:val="22"/>
        </w:rPr>
      </w:pPr>
    </w:p>
    <w:p>
      <w:pPr>
        <w:pStyle w:val="Body"/>
        <w:rPr>
          <w:rStyle w:val="None"/>
          <w:sz w:val="22"/>
          <w:szCs w:val="22"/>
        </w:rPr>
      </w:pPr>
      <w:r>
        <w:rPr>
          <w:rStyle w:val="None"/>
          <w:sz w:val="22"/>
          <w:szCs w:val="22"/>
          <w:rtl w:val="0"/>
          <w:lang w:val="en-US"/>
        </w:rPr>
        <w:t xml:space="preserve">Only students in the College of Education, or those students enrolled in College of Education courses are permitted to use the computers in the LRC computing center and the LRC classrooms.  Under </w:t>
      </w:r>
      <w:r>
        <w:rPr>
          <w:rStyle w:val="None"/>
          <w:b w:val="1"/>
          <w:bCs w:val="1"/>
          <w:i w:val="1"/>
          <w:iCs w:val="1"/>
          <w:sz w:val="22"/>
          <w:szCs w:val="22"/>
          <w:rtl w:val="0"/>
        </w:rPr>
        <w:t>no</w:t>
      </w:r>
      <w:r>
        <w:rPr>
          <w:rStyle w:val="None"/>
          <w:sz w:val="22"/>
          <w:szCs w:val="22"/>
          <w:rtl w:val="0"/>
          <w:lang w:val="en-US"/>
        </w:rPr>
        <w:t xml:space="preserve"> circumstances should students share user IDs and/or passwords with roommates, classmates, or other Auburn University students.  The sharing of user IDs and passwords is considered to be in violation of the Auburn University computing terms of use, and may result in a revocation of computing privileges.</w:t>
      </w:r>
    </w:p>
    <w:p>
      <w:pPr>
        <w:pStyle w:val="Body"/>
        <w:rPr>
          <w:sz w:val="22"/>
          <w:szCs w:val="22"/>
        </w:rPr>
      </w:pPr>
    </w:p>
    <w:p>
      <w:pPr>
        <w:pStyle w:val="Body"/>
        <w:rPr>
          <w:rStyle w:val="None"/>
          <w:sz w:val="22"/>
          <w:szCs w:val="22"/>
        </w:rPr>
      </w:pPr>
      <w:r>
        <w:rPr>
          <w:rStyle w:val="None"/>
          <w:sz w:val="22"/>
          <w:szCs w:val="22"/>
          <w:rtl w:val="0"/>
          <w:lang w:val="en-US"/>
        </w:rPr>
        <w:t xml:space="preserve">Students are </w:t>
      </w:r>
      <w:r>
        <w:rPr>
          <w:rStyle w:val="None"/>
          <w:i w:val="1"/>
          <w:iCs w:val="1"/>
          <w:sz w:val="22"/>
          <w:szCs w:val="22"/>
          <w:rtl w:val="0"/>
          <w:lang w:val="en-US"/>
        </w:rPr>
        <w:t>strongly encouraged</w:t>
      </w:r>
      <w:r>
        <w:rPr>
          <w:rStyle w:val="None"/>
          <w:sz w:val="22"/>
          <w:szCs w:val="22"/>
          <w:rtl w:val="0"/>
          <w:lang w:val="en-US"/>
        </w:rPr>
        <w:t xml:space="preserve"> to change their passwords on a regular basis to ensure against unauthorized use by others.</w:t>
      </w:r>
    </w:p>
    <w:p>
      <w:pPr>
        <w:pStyle w:val="Body"/>
        <w:rPr>
          <w:sz w:val="22"/>
          <w:szCs w:val="22"/>
        </w:rPr>
      </w:pPr>
    </w:p>
    <w:p>
      <w:pPr>
        <w:pStyle w:val="Body"/>
      </w:pPr>
      <w:r>
        <w:rPr>
          <w:rStyle w:val="None"/>
          <w:i w:val="1"/>
          <w:iCs w:val="1"/>
          <w:color w:val="000000"/>
          <w:spacing w:val="15"/>
          <w:u w:color="000000"/>
          <w:rtl w:val="0"/>
          <w:lang w:val="en-US"/>
        </w:rPr>
        <w:t>Accommodations</w:t>
      </w:r>
      <w:r>
        <w:rPr>
          <w:rStyle w:val="None"/>
          <w:b w:val="1"/>
          <w:bCs w:val="1"/>
          <w:i w:val="1"/>
          <w:iCs w:val="1"/>
          <w:sz w:val="22"/>
          <w:szCs w:val="22"/>
          <w:rtl w:val="0"/>
        </w:rPr>
        <w:t>:</w:t>
      </w:r>
      <w:r>
        <w:rPr>
          <w:rStyle w:val="None"/>
          <w:sz w:val="22"/>
          <w:szCs w:val="22"/>
          <w:rtl w:val="0"/>
          <w:lang w:val="de-DE"/>
        </w:rPr>
        <w:t xml:space="preserve">  </w:t>
      </w:r>
      <w:r>
        <w:rPr>
          <w:rStyle w:val="None"/>
          <w:rFonts w:ascii="Arial Unicode MS" w:cs="Arial Unicode MS" w:hAnsi="Arial Unicode MS" w:eastAsia="Arial Unicode MS"/>
          <w:sz w:val="22"/>
          <w:szCs w:val="22"/>
        </w:rPr>
        <w:br w:type="textWrapping"/>
      </w:r>
      <w:r>
        <w:rPr>
          <w:rStyle w:val="None"/>
          <w:i w:val="1"/>
          <w:iCs w:val="1"/>
          <w:sz w:val="22"/>
          <w:szCs w:val="22"/>
          <w:rtl w:val="0"/>
          <w:lang w:val="en-US"/>
        </w:rPr>
        <w:t xml:space="preserve">University Accommodations Policy Statement:  </w:t>
      </w:r>
      <w:r>
        <w:rPr>
          <w:rStyle w:val="None"/>
          <w:sz w:val="22"/>
          <w:szCs w:val="22"/>
          <w:rtl w:val="0"/>
          <w:lang w:val="en-US"/>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Style w:val="None"/>
          <w:rFonts w:ascii="Arial Unicode MS" w:cs="Arial Unicode MS" w:hAnsi="Arial Unicode MS" w:eastAsia="Arial Unicode MS"/>
          <w:sz w:val="22"/>
          <w:szCs w:val="22"/>
        </w:rPr>
        <w:br w:type="textWrapping"/>
      </w:r>
      <w:r>
        <w:rPr>
          <w:rStyle w:val="None"/>
          <w:i w:val="1"/>
          <w:iCs w:val="1"/>
          <w:sz w:val="22"/>
          <w:szCs w:val="22"/>
          <w:rtl w:val="0"/>
          <w:lang w:val="en-US"/>
        </w:rPr>
        <w:t>EDMD 3300 Accommodations Policy Statement:</w:t>
      </w:r>
      <w:r>
        <w:rPr>
          <w:rStyle w:val="None"/>
          <w:sz w:val="22"/>
          <w:szCs w:val="22"/>
          <w:rtl w:val="0"/>
          <w:lang w:val="en-US"/>
        </w:rPr>
        <w:t xml:space="preserve">  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Students With Disabilities Office (844-2096). After initial arrangements are made with that office, contact your professor &amp;/or instructor.</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aramond">
    <w:charset w:val="00"/>
    <w:family w:val="roman"/>
    <w:pitch w:val="default"/>
  </w:font>
  <w:font w:name="Helvetica">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pPr>
    <w:r>
      <w:rPr>
        <w:i w:val="1"/>
        <w:iCs w:val="1"/>
        <w:sz w:val="20"/>
        <w:szCs w:val="20"/>
        <w:rtl w:val="0"/>
        <w:lang w:val="en-US"/>
      </w:rPr>
      <w:t>The instructor reserves the right to alter the schedule and content of this syllabus in order to accommodate the needs of the students, instructor, and/or in light of university and academic schedule changes.</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4320"/>
        <w:tab w:val="clear" w:pos="8640"/>
      </w:tabs>
    </w:pPr>
    <w:r>
      <w:rPr>
        <w:rtl w:val="0"/>
        <w:lang w:val="en-US"/>
      </w:rPr>
      <w:t>EDMD 3300</w:t>
      <w:tab/>
      <w:t xml:space="preserve">Page </w:t>
    </w:r>
    <w:r>
      <w:rPr/>
      <w:fldChar w:fldCharType="begin" w:fldLock="0"/>
    </w:r>
    <w:r>
      <w:instrText xml:space="preserve"> PAGE </w:instrText>
    </w:r>
    <w:r>
      <w:rPr/>
      <w:fldChar w:fldCharType="separate" w:fldLock="0"/>
    </w:r>
    <w:r>
      <w:t>10</w:t>
    </w:r>
    <w:r>
      <w:rPr/>
      <w:fldChar w:fldCharType="end" w:fldLock="0"/>
    </w:r>
    <w:r>
      <w:rPr>
        <w:rtl w:val="0"/>
        <w:lang w:val="en-US"/>
      </w:rPr>
      <w:t xml:space="preserve"> of </w:t>
    </w:r>
    <w:r>
      <w:rPr/>
      <w:fldChar w:fldCharType="begin" w:fldLock="0"/>
    </w:r>
    <w:r>
      <w:instrText xml:space="preserve"> NUMPAGES </w:instrText>
    </w:r>
    <w:r>
      <w:rPr/>
      <w:fldChar w:fldCharType="separate" w:fldLock="0"/>
    </w:r>
    <w:r>
      <w:t>10</w:t>
    </w:r>
    <w:r>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ist 31"/>
  </w:abstractNum>
  <w:abstractNum w:abstractNumId="1">
    <w:multiLevelType w:val="hybridMultilevel"/>
    <w:styleLink w:val="List 31"/>
    <w:lvl w:ilvl="0">
      <w:start w:val="1"/>
      <w:numFmt w:val="lowerRoman"/>
      <w:suff w:val="tab"/>
      <w:lvlText w:val="(%1)"/>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tabs>
          <w:tab w:val="left" w:pos="1080"/>
          <w:tab w:val="left" w:pos="1440"/>
        </w:tabs>
        <w:ind w:left="151" w:hanging="15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080"/>
          <w:tab w:val="left" w:pos="1440"/>
        </w:tabs>
        <w:ind w:left="511" w:hanging="15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080"/>
          <w:tab w:val="left" w:pos="1440"/>
        </w:tabs>
        <w:ind w:left="90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80"/>
          <w:tab w:val="left" w:pos="1440"/>
        </w:tabs>
        <w:ind w:left="126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080"/>
          <w:tab w:val="left" w:pos="1440"/>
        </w:tabs>
        <w:ind w:left="162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080"/>
          <w:tab w:val="left" w:pos="1440"/>
        </w:tabs>
        <w:ind w:left="198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80"/>
          <w:tab w:val="left" w:pos="1440"/>
        </w:tabs>
        <w:ind w:left="234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080"/>
          <w:tab w:val="left" w:pos="1440"/>
        </w:tabs>
        <w:ind w:left="270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080"/>
          <w:tab w:val="left" w:pos="1440"/>
        </w:tabs>
        <w:ind w:left="306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List 6"/>
  </w:abstractNum>
  <w:abstractNum w:abstractNumId="5">
    <w:multiLevelType w:val="hybridMultilevel"/>
    <w:styleLink w:val="Lis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List 7"/>
  </w:abstractNum>
  <w:abstractNum w:abstractNumId="7">
    <w:multiLevelType w:val="hybridMultilevel"/>
    <w:styleLink w:val="List 7"/>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List 9"/>
  </w:abstractNum>
  <w:abstractNum w:abstractNumId="9">
    <w:multiLevelType w:val="hybridMultilevel"/>
    <w:styleLink w:val="List 9"/>
    <w:lvl w:ilvl="0">
      <w:start w:val="1"/>
      <w:numFmt w:val="decimal"/>
      <w:suff w:val="tab"/>
      <w:lvlText w:val="%1."/>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72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multiLevelType w:val="hybridMultilevel"/>
    <w:numStyleLink w:val="List 10"/>
  </w:abstractNum>
  <w:abstractNum w:abstractNumId="11">
    <w:multiLevelType w:val="hybridMultilevel"/>
    <w:styleLink w:val="List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multiLevelType w:val="hybridMultilevel"/>
    <w:numStyleLink w:val="List 11"/>
  </w:abstractNum>
  <w:abstractNum w:abstractNumId="13">
    <w:multiLevelType w:val="hybridMultilevel"/>
    <w:styleLink w:val="List 11"/>
    <w:lvl w:ilvl="0">
      <w:start w:val="1"/>
      <w:numFmt w:val="decimal"/>
      <w:suff w:val="tab"/>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multiLevelType w:val="hybridMultilevel"/>
    <w:numStyleLink w:val="List 12"/>
  </w:abstractNum>
  <w:abstractNum w:abstractNumId="15">
    <w:multiLevelType w:val="hybridMultilevel"/>
    <w:styleLink w:val="List 12"/>
    <w:lvl w:ilvl="0">
      <w:start w:val="1"/>
      <w:numFmt w:val="decimal"/>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multiLevelType w:val="hybridMultilevel"/>
    <w:numStyleLink w:val="List 13"/>
  </w:abstractNum>
  <w:abstractNum w:abstractNumId="17">
    <w:multiLevelType w:val="hybridMultilevel"/>
    <w:styleLink w:val="List 1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8">
    <w:multiLevelType w:val="hybridMultilevel"/>
    <w:numStyleLink w:val="List 1"/>
  </w:abstractNum>
  <w:abstractNum w:abstractNumId="19">
    <w:multiLevelType w:val="hybridMultilevel"/>
    <w:styleLink w:val="Lis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151" w:hanging="15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511" w:hanging="15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20"/>
            <w:tab w:val="num" w:pos="900"/>
            <w:tab w:val="left" w:pos="1080"/>
            <w:tab w:val="left" w:pos="1440"/>
          </w:tabs>
          <w:ind w:left="126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20"/>
            <w:tab w:val="left" w:pos="900"/>
            <w:tab w:val="left" w:pos="1080"/>
            <w:tab w:val="num" w:pos="1260"/>
            <w:tab w:val="left" w:pos="1440"/>
          </w:tabs>
          <w:ind w:left="162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720"/>
            <w:tab w:val="left" w:pos="900"/>
            <w:tab w:val="left" w:pos="1080"/>
            <w:tab w:val="left" w:pos="1440"/>
            <w:tab w:val="num" w:pos="1620"/>
          </w:tabs>
          <w:ind w:left="198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20"/>
            <w:tab w:val="left" w:pos="900"/>
            <w:tab w:val="left" w:pos="1080"/>
            <w:tab w:val="left" w:pos="1440"/>
            <w:tab w:val="num" w:pos="1980"/>
          </w:tabs>
          <w:ind w:left="234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20"/>
            <w:tab w:val="left" w:pos="900"/>
            <w:tab w:val="left" w:pos="1080"/>
            <w:tab w:val="left" w:pos="1440"/>
            <w:tab w:val="num" w:pos="2340"/>
          </w:tabs>
          <w:ind w:left="270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720"/>
            <w:tab w:val="left" w:pos="900"/>
            <w:tab w:val="left" w:pos="1080"/>
            <w:tab w:val="left" w:pos="1440"/>
            <w:tab w:val="num" w:pos="2700"/>
          </w:tabs>
          <w:ind w:left="306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20"/>
            <w:tab w:val="left" w:pos="900"/>
            <w:tab w:val="left" w:pos="1080"/>
            <w:tab w:val="left" w:pos="1440"/>
            <w:tab w:val="num" w:pos="3060"/>
          </w:tabs>
          <w:ind w:left="342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4"/>
  </w:num>
  <w:num w:numId="8">
    <w:abstractNumId w:val="7"/>
  </w:num>
  <w:num w:numId="9">
    <w:abstractNumId w:val="6"/>
  </w:num>
  <w:num w:numId="10">
    <w:abstractNumId w:val="9"/>
  </w:num>
  <w:num w:numId="11">
    <w:abstractNumId w:val="8"/>
  </w:num>
  <w:num w:numId="12">
    <w:abstractNumId w:val="11"/>
  </w:num>
  <w:num w:numId="13">
    <w:abstractNumId w:val="10"/>
  </w:num>
  <w:num w:numId="14">
    <w:abstractNumId w:val="13"/>
  </w:num>
  <w:num w:numId="15">
    <w:abstractNumId w:val="12"/>
  </w:num>
  <w:num w:numId="16">
    <w:abstractNumId w:val="15"/>
  </w:num>
  <w:num w:numId="17">
    <w:abstractNumId w:val="14"/>
  </w:num>
  <w:num w:numId="18">
    <w:abstractNumId w:val="17"/>
  </w:num>
  <w:num w:numId="19">
    <w:abstractNumId w:val="16"/>
  </w:num>
  <w:num w:numId="20">
    <w:abstractNumId w:val="19"/>
  </w:num>
  <w:num w:numId="21">
    <w:abstractNumId w:val="1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w:name w:val="Heading"/>
    <w:next w:val="Body"/>
    <w:pPr>
      <w:keepNext w:val="1"/>
      <w:keepLines w:val="1"/>
      <w:pageBreakBefore w:val="0"/>
      <w:widowControl w:val="1"/>
      <w:shd w:val="clear" w:color="auto" w:fill="auto"/>
      <w:suppressAutoHyphens w:val="0"/>
      <w:bidi w:val="0"/>
      <w:spacing w:before="480" w:after="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2f759e"/>
      <w:spacing w:val="0"/>
      <w:kern w:val="0"/>
      <w:position w:val="0"/>
      <w:sz w:val="28"/>
      <w:szCs w:val="28"/>
      <w:u w:val="none" w:color="2f759e"/>
      <w:vertAlign w:val="baseline"/>
      <w:lang w:val="en-US"/>
    </w:rPr>
  </w:style>
  <w:style w:type="paragraph" w:styleId="Expectn">
    <w:name w:val="Expectn"/>
    <w:next w:val="Expectn"/>
    <w:pPr>
      <w:keepNext w:val="0"/>
      <w:keepLines w:val="0"/>
      <w:pageBreakBefore w:val="0"/>
      <w:widowControl w:val="1"/>
      <w:shd w:val="clear" w:color="auto" w:fill="auto"/>
      <w:tabs>
        <w:tab w:val="left" w:pos="360"/>
        <w:tab w:val="left" w:pos="540"/>
        <w:tab w:val="center" w:pos="4680"/>
        <w:tab w:val="right" w:pos="8640"/>
        <w:tab w:val="right" w:pos="9360"/>
      </w:tabs>
      <w:suppressAutoHyphens w:val="0"/>
      <w:bidi w:val="0"/>
      <w:spacing w:before="0" w:after="0" w:line="240" w:lineRule="exact"/>
      <w:ind w:left="360" w:right="0" w:hanging="36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31">
    <w:name w:val="List 31"/>
    <w:pPr>
      <w:numPr>
        <w:numId w:val="1"/>
      </w:numPr>
    </w:pPr>
  </w:style>
  <w:style w:type="numbering" w:styleId="Bullet">
    <w:name w:val="Bullet"/>
    <w:pPr>
      <w:numPr>
        <w:numId w:val="3"/>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Subtitle">
    <w:name w:val="Subtitle"/>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1"/>
      <w:iCs w:val="1"/>
      <w:caps w:val="0"/>
      <w:smallCaps w:val="0"/>
      <w:strike w:val="0"/>
      <w:dstrike w:val="0"/>
      <w:outline w:val="0"/>
      <w:color w:val="499bc9"/>
      <w:spacing w:val="15"/>
      <w:kern w:val="0"/>
      <w:position w:val="0"/>
      <w:sz w:val="24"/>
      <w:szCs w:val="24"/>
      <w:u w:val="none" w:color="499bc9"/>
      <w:vertAlign w:val="baseline"/>
      <w:lang w:val="en-US"/>
    </w:rPr>
  </w:style>
  <w:style w:type="numbering" w:styleId="List 6">
    <w:name w:val="List 6"/>
    <w:pPr>
      <w:numPr>
        <w:numId w:val="6"/>
      </w:numPr>
    </w:pPr>
  </w:style>
  <w:style w:type="numbering" w:styleId="List 7">
    <w:name w:val="List 7"/>
    <w:pPr>
      <w:numPr>
        <w:numId w:val="8"/>
      </w:numPr>
    </w:pPr>
  </w:style>
  <w:style w:type="numbering" w:styleId="List 9">
    <w:name w:val="List 9"/>
    <w:pPr>
      <w:numPr>
        <w:numId w:val="10"/>
      </w:numPr>
    </w:pPr>
  </w:style>
  <w:style w:type="numbering" w:styleId="List 10">
    <w:name w:val="List 10"/>
    <w:pPr>
      <w:numPr>
        <w:numId w:val="12"/>
      </w:numPr>
    </w:pPr>
  </w:style>
  <w:style w:type="numbering" w:styleId="List 11">
    <w:name w:val="List 11"/>
    <w:pPr>
      <w:numPr>
        <w:numId w:val="14"/>
      </w:numPr>
    </w:pPr>
  </w:style>
  <w:style w:type="numbering" w:styleId="List 12">
    <w:name w:val="List 12"/>
    <w:pPr>
      <w:numPr>
        <w:numId w:val="16"/>
      </w:numPr>
    </w:pPr>
  </w:style>
  <w:style w:type="paragraph" w:styleId="Body Text">
    <w:name w:val="Body Text"/>
    <w:next w:val="Body Text"/>
    <w:pPr>
      <w:keepNext w:val="0"/>
      <w:keepLines w:val="0"/>
      <w:pageBreakBefore w:val="0"/>
      <w:widowControl w:val="1"/>
      <w:shd w:val="clear" w:color="auto" w:fill="auto"/>
      <w:suppressAutoHyphens w:val="0"/>
      <w:bidi w:val="0"/>
      <w:spacing w:before="0" w:after="12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13">
    <w:name w:val="List 13"/>
    <w:pPr>
      <w:numPr>
        <w:numId w:val="18"/>
      </w:numPr>
    </w:pPr>
  </w:style>
  <w:style w:type="numbering" w:styleId="List 1">
    <w:name w:val="List 1"/>
    <w:pPr>
      <w:numPr>
        <w:numId w:val="20"/>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76" w:lineRule="auto"/>
      <w:ind w:left="72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color w:val="011ea9"/>
      <w:sz w:val="22"/>
      <w:szCs w:val="22"/>
      <w:u w:val="single" w:color="011ea9"/>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