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E59C3" w14:textId="68472D70" w:rsidR="00D545EA" w:rsidRPr="00C3053E" w:rsidRDefault="00D545EA" w:rsidP="00D545EA">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4CCFF2E4" wp14:editId="60A5E41A">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E253B0">
        <w:rPr>
          <w:b/>
          <w:color w:val="1F4E79" w:themeColor="accent1" w:themeShade="80"/>
          <w:sz w:val="32"/>
        </w:rPr>
        <w:t>CTES 7470</w:t>
      </w:r>
    </w:p>
    <w:p w14:paraId="62367E75" w14:textId="77777777"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14:paraId="5F9E2891" w14:textId="77777777" w:rsidR="00D545EA" w:rsidRPr="00F87214" w:rsidRDefault="00D545EA" w:rsidP="00D545EA">
      <w:pPr>
        <w:jc w:val="center"/>
        <w:rPr>
          <w:color w:val="538135" w:themeColor="accent6" w:themeShade="BF"/>
        </w:rPr>
      </w:pPr>
    </w:p>
    <w:p w14:paraId="51872940" w14:textId="77777777" w:rsidR="00D545EA" w:rsidRPr="00F16C63" w:rsidRDefault="00D545EA" w:rsidP="00D545EA">
      <w:pPr>
        <w:jc w:val="center"/>
      </w:pPr>
    </w:p>
    <w:p w14:paraId="49466FA4" w14:textId="1964D59E"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Department:</w:t>
      </w:r>
      <w:r w:rsidR="006679EE">
        <w:rPr>
          <w:rFonts w:ascii="Arial" w:hAnsi="Arial" w:cs="Arial"/>
          <w:color w:val="44546A" w:themeColor="text2"/>
          <w:sz w:val="24"/>
          <w:szCs w:val="24"/>
        </w:rPr>
        <w:t xml:space="preserve"> </w:t>
      </w:r>
      <w:r w:rsidRPr="00BA7217">
        <w:rPr>
          <w:rFonts w:ascii="Arial" w:hAnsi="Arial" w:cs="Arial"/>
          <w:color w:val="44546A" w:themeColor="text2"/>
          <w:sz w:val="24"/>
          <w:szCs w:val="24"/>
        </w:rPr>
        <w:t xml:space="preserve">Department of Curriculum &amp; Teaching </w:t>
      </w:r>
    </w:p>
    <w:p w14:paraId="2E35B5EE" w14:textId="77777777"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14:paraId="5D912CA6" w14:textId="67D1CFEB"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 Speakers</w:t>
      </w:r>
      <w:r w:rsidR="006679EE">
        <w:rPr>
          <w:rFonts w:ascii="Arial" w:hAnsi="Arial" w:cs="Arial"/>
          <w:caps/>
          <w:color w:val="44546A" w:themeColor="text2"/>
          <w:sz w:val="24"/>
          <w:szCs w:val="24"/>
        </w:rPr>
        <w:t xml:space="preserve"> </w:t>
      </w:r>
      <w:r w:rsidRPr="00BA7217">
        <w:rPr>
          <w:rFonts w:ascii="Arial" w:hAnsi="Arial" w:cs="Arial"/>
          <w:caps/>
          <w:color w:val="44546A" w:themeColor="text2"/>
          <w:sz w:val="24"/>
          <w:szCs w:val="24"/>
        </w:rPr>
        <w:t>of Other Languages Education</w:t>
      </w:r>
    </w:p>
    <w:p w14:paraId="256AB732" w14:textId="0A522FE9"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Number: CTES 74</w:t>
      </w:r>
      <w:r w:rsidR="008374A9">
        <w:rPr>
          <w:rFonts w:ascii="Arial" w:hAnsi="Arial" w:cs="Arial"/>
          <w:color w:val="44546A" w:themeColor="text2"/>
          <w:sz w:val="24"/>
          <w:szCs w:val="24"/>
        </w:rPr>
        <w:t>70 Section 1</w:t>
      </w:r>
    </w:p>
    <w:p w14:paraId="0A02B94E" w14:textId="540A9E44"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006679EE">
        <w:rPr>
          <w:rFonts w:ascii="Arial" w:hAnsi="Arial" w:cs="Arial"/>
          <w:color w:val="44546A" w:themeColor="text2"/>
          <w:sz w:val="24"/>
          <w:szCs w:val="24"/>
        </w:rPr>
        <w:t xml:space="preserve"> </w:t>
      </w:r>
      <w:r w:rsidRPr="00BA7217">
        <w:rPr>
          <w:rFonts w:ascii="Arial" w:hAnsi="Arial" w:cs="Arial"/>
          <w:color w:val="44546A" w:themeColor="text2"/>
          <w:sz w:val="24"/>
          <w:szCs w:val="24"/>
        </w:rPr>
        <w:t>3 hours</w:t>
      </w:r>
    </w:p>
    <w:p w14:paraId="258BAB65" w14:textId="507740A7" w:rsidR="00D545EA" w:rsidRPr="00BA7217" w:rsidRDefault="00956FC2" w:rsidP="00D545EA">
      <w:pPr>
        <w:rPr>
          <w:rFonts w:ascii="Arial" w:hAnsi="Arial" w:cs="Arial"/>
          <w:color w:val="44546A" w:themeColor="text2"/>
          <w:sz w:val="24"/>
          <w:szCs w:val="24"/>
        </w:rPr>
      </w:pPr>
      <w:r>
        <w:rPr>
          <w:rFonts w:ascii="Arial" w:hAnsi="Arial" w:cs="Arial"/>
          <w:color w:val="44546A" w:themeColor="text2"/>
          <w:sz w:val="24"/>
          <w:szCs w:val="24"/>
        </w:rPr>
        <w:t>Semester: Spring 2018</w:t>
      </w:r>
    </w:p>
    <w:p w14:paraId="7A3B1529" w14:textId="6981B44B"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Gwendolyn M. Williams, PhD </w:t>
      </w:r>
    </w:p>
    <w:p w14:paraId="47A7AD12" w14:textId="74C998EA"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Email Address:</w:t>
      </w:r>
      <w:r w:rsidR="006679EE">
        <w:rPr>
          <w:rFonts w:ascii="Arial" w:hAnsi="Arial" w:cs="Arial"/>
          <w:color w:val="44546A" w:themeColor="text2"/>
          <w:sz w:val="24"/>
          <w:szCs w:val="24"/>
        </w:rPr>
        <w:t xml:space="preserve"> </w:t>
      </w:r>
      <w:r w:rsidRPr="00BA7217">
        <w:rPr>
          <w:rFonts w:ascii="Arial" w:hAnsi="Arial" w:cs="Arial"/>
          <w:color w:val="44546A" w:themeColor="text2"/>
          <w:sz w:val="24"/>
          <w:szCs w:val="24"/>
        </w:rPr>
        <w:t xml:space="preserve">gmw0015@auburn.edu </w:t>
      </w:r>
    </w:p>
    <w:p w14:paraId="06A76A07" w14:textId="0AF0CCA1"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006679EE">
        <w:rPr>
          <w:rFonts w:ascii="Arial" w:hAnsi="Arial" w:cs="Arial"/>
          <w:color w:val="44546A" w:themeColor="text2"/>
          <w:sz w:val="24"/>
          <w:szCs w:val="24"/>
        </w:rPr>
        <w:t xml:space="preserve"> </w:t>
      </w:r>
      <w:r w:rsidRPr="00BA7217">
        <w:rPr>
          <w:rFonts w:ascii="Arial" w:hAnsi="Arial" w:cs="Arial"/>
          <w:color w:val="44546A" w:themeColor="text2"/>
          <w:sz w:val="24"/>
          <w:szCs w:val="24"/>
        </w:rPr>
        <w:t>Office: 334-844-6775</w:t>
      </w:r>
    </w:p>
    <w:p w14:paraId="5F9B43E4" w14:textId="1BEBBC48"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5078 Haley Center </w:t>
      </w:r>
    </w:p>
    <w:p w14:paraId="62886841" w14:textId="78EFC0EB"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Office Hours: </w:t>
      </w:r>
      <w:r w:rsidR="00C640FD">
        <w:rPr>
          <w:rFonts w:ascii="Arial" w:hAnsi="Arial" w:cs="Arial"/>
          <w:color w:val="44546A" w:themeColor="text2"/>
          <w:sz w:val="24"/>
          <w:szCs w:val="24"/>
        </w:rPr>
        <w:t>Monday and Wednesday 1:30-3:30 PM</w:t>
      </w:r>
    </w:p>
    <w:p w14:paraId="26146B11" w14:textId="6548543C"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Schedule:</w:t>
      </w:r>
      <w:r w:rsidR="006679EE">
        <w:rPr>
          <w:rFonts w:ascii="Arial" w:hAnsi="Arial" w:cs="Arial"/>
          <w:color w:val="44546A" w:themeColor="text2"/>
          <w:sz w:val="24"/>
          <w:szCs w:val="24"/>
        </w:rPr>
        <w:t xml:space="preserve"> </w:t>
      </w:r>
      <w:r w:rsidR="00C640FD">
        <w:rPr>
          <w:rFonts w:ascii="Arial" w:hAnsi="Arial" w:cs="Arial"/>
          <w:color w:val="44546A" w:themeColor="text2"/>
          <w:sz w:val="24"/>
          <w:szCs w:val="24"/>
        </w:rPr>
        <w:t>4:00-6:50 PM Mondays</w:t>
      </w:r>
    </w:p>
    <w:p w14:paraId="785C42C4" w14:textId="4CD6F3D2"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Classroom:</w:t>
      </w:r>
      <w:r w:rsidR="006679EE">
        <w:rPr>
          <w:rFonts w:ascii="Arial" w:hAnsi="Arial" w:cs="Arial"/>
          <w:color w:val="44546A" w:themeColor="text2"/>
          <w:sz w:val="24"/>
          <w:szCs w:val="24"/>
        </w:rPr>
        <w:t xml:space="preserve"> </w:t>
      </w:r>
      <w:r w:rsidR="00C640FD">
        <w:rPr>
          <w:rFonts w:ascii="Arial" w:hAnsi="Arial" w:cs="Arial"/>
          <w:color w:val="44546A" w:themeColor="text2"/>
          <w:sz w:val="24"/>
          <w:szCs w:val="24"/>
        </w:rPr>
        <w:t>Haley 2468</w:t>
      </w:r>
      <w:r w:rsidRPr="00BA7217">
        <w:rPr>
          <w:rFonts w:ascii="Arial" w:hAnsi="Arial" w:cs="Arial"/>
          <w:sz w:val="24"/>
          <w:szCs w:val="24"/>
        </w:rPr>
        <w:br/>
      </w:r>
    </w:p>
    <w:p w14:paraId="067A4002" w14:textId="77777777" w:rsidR="00D545EA" w:rsidRPr="00BA7217" w:rsidRDefault="00D545EA" w:rsidP="00D545EA">
      <w:pPr>
        <w:widowControl w:val="0"/>
        <w:shd w:val="clear" w:color="auto" w:fill="70AD47" w:themeFill="accent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14:paraId="1AF6484C"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14:paraId="75404E98"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3F1405E5" w14:textId="77777777"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14:paraId="7E32F296"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039160E1"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7B3E38EE"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lastRenderedPageBreak/>
        <w:t>Attendance:</w:t>
      </w:r>
      <w:r w:rsidRPr="00BA7217">
        <w:rPr>
          <w:rFonts w:ascii="Arial" w:hAnsi="Arial" w:cs="Arial"/>
          <w:b/>
          <w:sz w:val="24"/>
          <w:szCs w:val="24"/>
        </w:rPr>
        <w:t xml:space="preserve"> </w:t>
      </w:r>
    </w:p>
    <w:p w14:paraId="1D1AEE36"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2D3148E3"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p>
    <w:p w14:paraId="72E67E5C" w14:textId="72D47796" w:rsidR="00F23D0D" w:rsidRPr="00BA7217" w:rsidRDefault="00D545EA" w:rsidP="00F23D0D">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w:t>
      </w:r>
      <w:r w:rsidR="00F23D0D">
        <w:rPr>
          <w:rFonts w:ascii="Arial" w:hAnsi="Arial" w:cs="Arial"/>
          <w:sz w:val="24"/>
          <w:szCs w:val="24"/>
        </w:rPr>
        <w:t>All a</w:t>
      </w:r>
      <w:r w:rsidR="00F23D0D" w:rsidRPr="00BA7217">
        <w:rPr>
          <w:rFonts w:ascii="Arial" w:hAnsi="Arial" w:cs="Arial"/>
          <w:sz w:val="24"/>
          <w:szCs w:val="24"/>
        </w:rPr>
        <w:t>ssignments</w:t>
      </w:r>
      <w:r w:rsidR="00F23D0D">
        <w:rPr>
          <w:rFonts w:ascii="Arial" w:hAnsi="Arial" w:cs="Arial"/>
          <w:sz w:val="24"/>
          <w:szCs w:val="24"/>
        </w:rPr>
        <w:t xml:space="preserve"> should be submitted by uploading the document to Canvas</w:t>
      </w:r>
      <w:r w:rsidR="00F23D0D" w:rsidRPr="00BA7217">
        <w:rPr>
          <w:rFonts w:ascii="Arial" w:hAnsi="Arial" w:cs="Arial"/>
          <w:sz w:val="24"/>
          <w:szCs w:val="24"/>
        </w:rPr>
        <w:t xml:space="preserve">.  Note: </w:t>
      </w:r>
      <w:r w:rsidR="00F23D0D">
        <w:rPr>
          <w:rFonts w:ascii="Arial" w:hAnsi="Arial" w:cs="Arial"/>
          <w:i/>
          <w:sz w:val="24"/>
          <w:szCs w:val="24"/>
        </w:rPr>
        <w:t xml:space="preserve">submission </w:t>
      </w:r>
      <w:r w:rsidR="00F23D0D" w:rsidRPr="00BA7217">
        <w:rPr>
          <w:rFonts w:ascii="Arial" w:hAnsi="Arial" w:cs="Arial"/>
          <w:i/>
          <w:sz w:val="24"/>
          <w:szCs w:val="24"/>
        </w:rPr>
        <w:t>errors will not negate late penaltie</w:t>
      </w:r>
      <w:r w:rsidR="00F23D0D">
        <w:rPr>
          <w:rFonts w:ascii="Arial" w:hAnsi="Arial" w:cs="Arial"/>
          <w:i/>
          <w:sz w:val="24"/>
          <w:szCs w:val="24"/>
        </w:rPr>
        <w:t>s</w:t>
      </w:r>
    </w:p>
    <w:p w14:paraId="56C5F9F1" w14:textId="390E4128" w:rsidR="00D545EA" w:rsidRPr="00BA7217" w:rsidRDefault="00D545EA" w:rsidP="00D545EA">
      <w:pPr>
        <w:widowControl w:val="0"/>
        <w:autoSpaceDE w:val="0"/>
        <w:autoSpaceDN w:val="0"/>
        <w:adjustRightInd w:val="0"/>
        <w:ind w:left="720"/>
        <w:rPr>
          <w:rFonts w:ascii="Arial" w:hAnsi="Arial" w:cs="Arial"/>
          <w:i/>
          <w:sz w:val="24"/>
          <w:szCs w:val="24"/>
        </w:rPr>
      </w:pPr>
    </w:p>
    <w:p w14:paraId="0412655A"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14:paraId="50C6D628"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14:paraId="771299AA" w14:textId="6980F44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90%-100%= A</w:t>
      </w:r>
    </w:p>
    <w:p w14:paraId="1F9E067F" w14:textId="3668B7C5"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80%-89% = B</w:t>
      </w:r>
    </w:p>
    <w:p w14:paraId="0C6BF3CE" w14:textId="59F54AFF"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 xml:space="preserve">70%-79% </w:t>
      </w:r>
      <w:r w:rsidR="006679EE">
        <w:rPr>
          <w:rFonts w:ascii="Arial" w:hAnsi="Arial" w:cs="Arial"/>
          <w:sz w:val="24"/>
          <w:szCs w:val="24"/>
        </w:rPr>
        <w:t>= C</w:t>
      </w:r>
    </w:p>
    <w:p w14:paraId="2474EC1F" w14:textId="6860BFA1"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60%-69% = D</w:t>
      </w:r>
      <w:r w:rsidRPr="00BA7217">
        <w:rPr>
          <w:rFonts w:ascii="Arial" w:hAnsi="Arial" w:cs="Arial"/>
          <w:sz w:val="24"/>
          <w:szCs w:val="24"/>
        </w:rPr>
        <w:tab/>
      </w:r>
    </w:p>
    <w:p w14:paraId="34932346" w14:textId="5A408749"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Below 60% = F</w:t>
      </w:r>
    </w:p>
    <w:p w14:paraId="0BBD0F3F"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6EFE9D0E" w14:textId="77777777"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14:paraId="38DC12A1" w14:textId="77777777"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14:paraId="6DC37DBB"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14:paraId="7FBB6791"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lastRenderedPageBreak/>
        <w:t>The class will start and end at the instructor’s designated time.  If you arrive late or leave early, points will be deducted from your attendance and participation.</w:t>
      </w:r>
    </w:p>
    <w:p w14:paraId="53811099"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14:paraId="19669F37" w14:textId="77777777"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t xml:space="preserve">Cell phones, beepers, and pagers must be turned off or placed on vibrate mode.  Inappropriate use of cell phones and other technology during class time will result in loss of points.  </w:t>
      </w:r>
    </w:p>
    <w:p w14:paraId="10F6CE76" w14:textId="77777777"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14:paraId="675B314C" w14:textId="77777777"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errors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307F25CC" w14:textId="77777777"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14:paraId="18D9E03F" w14:textId="77777777" w:rsidR="00D545EA" w:rsidRPr="00BA7217" w:rsidRDefault="00D545EA" w:rsidP="00D545EA">
      <w:pPr>
        <w:widowControl w:val="0"/>
        <w:shd w:val="clear" w:color="auto" w:fill="70AD47" w:themeFill="accent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14:paraId="797CA241"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14:paraId="3D69A1DB"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14:paraId="18732D58" w14:textId="77777777" w:rsidR="00D545EA" w:rsidRPr="00BA7217" w:rsidRDefault="00D545EA" w:rsidP="00D545EA">
      <w:pPr>
        <w:rPr>
          <w:rFonts w:ascii="Arial" w:hAnsi="Arial" w:cs="Arial"/>
          <w:b/>
          <w:sz w:val="24"/>
          <w:szCs w:val="24"/>
          <w:u w:val="single"/>
        </w:rPr>
      </w:pPr>
    </w:p>
    <w:p w14:paraId="159F5A32"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14:paraId="1D53DFBF" w14:textId="77777777"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14:paraId="35BB62FA" w14:textId="77777777" w:rsidR="00D545EA" w:rsidRPr="00BA7217" w:rsidRDefault="00D545EA" w:rsidP="00D545EA">
      <w:pPr>
        <w:rPr>
          <w:rFonts w:ascii="Arial" w:hAnsi="Arial" w:cs="Arial"/>
          <w:b/>
          <w:sz w:val="24"/>
          <w:szCs w:val="24"/>
          <w:u w:val="single"/>
        </w:rPr>
      </w:pPr>
    </w:p>
    <w:p w14:paraId="70D0DA53"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14:paraId="17548343"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03C6467" w14:textId="77777777" w:rsidR="00D545EA" w:rsidRPr="00BA7217" w:rsidRDefault="00D545EA" w:rsidP="00D545EA">
      <w:pPr>
        <w:rPr>
          <w:rFonts w:ascii="Arial" w:hAnsi="Arial" w:cs="Arial"/>
          <w:b/>
          <w:sz w:val="24"/>
          <w:szCs w:val="24"/>
          <w:u w:val="single"/>
        </w:rPr>
      </w:pPr>
    </w:p>
    <w:p w14:paraId="47E48CB3"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14:paraId="25F67B3B"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lastRenderedPageBreak/>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14:paraId="7BE255DB" w14:textId="77777777" w:rsidR="00D545EA" w:rsidRPr="00BA7217" w:rsidRDefault="00D545EA" w:rsidP="00D545EA">
      <w:pPr>
        <w:rPr>
          <w:rFonts w:ascii="Arial" w:hAnsi="Arial" w:cs="Arial"/>
          <w:b/>
          <w:sz w:val="24"/>
          <w:szCs w:val="24"/>
          <w:u w:val="single"/>
        </w:rPr>
      </w:pPr>
    </w:p>
    <w:p w14:paraId="3504A114"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14:paraId="0DA4531C" w14:textId="77777777"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741520A7" w14:textId="77777777"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14:paraId="69928B72" w14:textId="77777777"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14:paraId="35FC7A18" w14:textId="77777777"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Student eHandbook:</w:t>
      </w:r>
    </w:p>
    <w:p w14:paraId="28803A8C" w14:textId="324B0C67" w:rsidR="00F959B2"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14:paraId="33FFB109" w14:textId="04279740" w:rsidR="006679EE" w:rsidRDefault="006679EE">
      <w:pPr>
        <w:rPr>
          <w:rFonts w:ascii="Arial" w:eastAsiaTheme="minorEastAsia" w:hAnsi="Arial" w:cs="Arial"/>
          <w:sz w:val="24"/>
          <w:szCs w:val="24"/>
          <w:lang w:eastAsia="ja-JP"/>
        </w:rPr>
      </w:pPr>
      <w:r>
        <w:rPr>
          <w:rFonts w:ascii="Arial" w:eastAsiaTheme="minorEastAsia" w:hAnsi="Arial" w:cs="Arial"/>
          <w:sz w:val="24"/>
          <w:szCs w:val="24"/>
          <w:lang w:eastAsia="ja-JP"/>
        </w:rPr>
        <w:br w:type="page"/>
      </w:r>
    </w:p>
    <w:p w14:paraId="7DE21ED4" w14:textId="77777777" w:rsidR="00F959B2" w:rsidRPr="00BA7217" w:rsidRDefault="00F959B2" w:rsidP="00D545EA">
      <w:pPr>
        <w:rPr>
          <w:rFonts w:ascii="Arial" w:eastAsiaTheme="minorEastAsia" w:hAnsi="Arial" w:cs="Arial"/>
          <w:sz w:val="24"/>
          <w:szCs w:val="24"/>
          <w:lang w:eastAsia="ja-JP"/>
        </w:rPr>
      </w:pPr>
    </w:p>
    <w:p w14:paraId="0AD80197" w14:textId="77777777" w:rsidR="00D545EA" w:rsidRPr="00BA7217" w:rsidRDefault="00D545EA" w:rsidP="00D545EA">
      <w:pPr>
        <w:widowControl w:val="0"/>
        <w:shd w:val="clear" w:color="auto" w:fill="F7964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610"/>
        <w:gridCol w:w="2880"/>
        <w:gridCol w:w="2204"/>
      </w:tblGrid>
      <w:tr w:rsidR="00D545EA" w:rsidRPr="00477043" w14:paraId="21A97E73" w14:textId="77777777" w:rsidTr="00246274">
        <w:tc>
          <w:tcPr>
            <w:tcW w:w="805" w:type="dxa"/>
          </w:tcPr>
          <w:p w14:paraId="1BC1C75D"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Date</w:t>
            </w:r>
          </w:p>
        </w:tc>
        <w:tc>
          <w:tcPr>
            <w:tcW w:w="2610" w:type="dxa"/>
          </w:tcPr>
          <w:p w14:paraId="7409F587"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Topic for the Week </w:t>
            </w:r>
          </w:p>
        </w:tc>
        <w:tc>
          <w:tcPr>
            <w:tcW w:w="2880" w:type="dxa"/>
          </w:tcPr>
          <w:p w14:paraId="3D1D2578"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Readings</w:t>
            </w:r>
          </w:p>
        </w:tc>
        <w:tc>
          <w:tcPr>
            <w:tcW w:w="2204" w:type="dxa"/>
          </w:tcPr>
          <w:p w14:paraId="223335F3"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Assignment Due</w:t>
            </w:r>
          </w:p>
        </w:tc>
      </w:tr>
      <w:tr w:rsidR="00F959B2" w:rsidRPr="00477043" w14:paraId="71E7D6F9" w14:textId="77777777" w:rsidTr="00DE4DAC">
        <w:tc>
          <w:tcPr>
            <w:tcW w:w="805" w:type="dxa"/>
          </w:tcPr>
          <w:p w14:paraId="7E64CD14" w14:textId="75642800" w:rsidR="00F959B2" w:rsidRPr="00477043" w:rsidRDefault="00F959B2" w:rsidP="00246274">
            <w:pPr>
              <w:spacing w:line="240" w:lineRule="auto"/>
              <w:rPr>
                <w:rFonts w:ascii="Arial" w:hAnsi="Arial" w:cs="Arial"/>
                <w:sz w:val="24"/>
                <w:szCs w:val="24"/>
              </w:rPr>
            </w:pPr>
            <w:r w:rsidRPr="00477043">
              <w:rPr>
                <w:rFonts w:ascii="Arial" w:hAnsi="Arial" w:cs="Arial"/>
                <w:sz w:val="24"/>
                <w:szCs w:val="24"/>
              </w:rPr>
              <w:t>1/1</w:t>
            </w:r>
            <w:r>
              <w:rPr>
                <w:rFonts w:ascii="Arial" w:hAnsi="Arial" w:cs="Arial"/>
                <w:sz w:val="24"/>
                <w:szCs w:val="24"/>
              </w:rPr>
              <w:t>5</w:t>
            </w:r>
          </w:p>
        </w:tc>
        <w:tc>
          <w:tcPr>
            <w:tcW w:w="7694" w:type="dxa"/>
            <w:gridSpan w:val="3"/>
          </w:tcPr>
          <w:p w14:paraId="5979CABE" w14:textId="4B346229" w:rsidR="00F959B2" w:rsidRPr="00477043" w:rsidRDefault="00F959B2" w:rsidP="00246274">
            <w:pPr>
              <w:spacing w:line="240" w:lineRule="auto"/>
              <w:rPr>
                <w:rFonts w:ascii="Arial" w:hAnsi="Arial" w:cs="Arial"/>
                <w:sz w:val="24"/>
                <w:szCs w:val="24"/>
              </w:rPr>
            </w:pPr>
            <w:r>
              <w:rPr>
                <w:rFonts w:ascii="Arial" w:hAnsi="Arial" w:cs="Arial"/>
                <w:sz w:val="24"/>
                <w:szCs w:val="24"/>
              </w:rPr>
              <w:t xml:space="preserve">No Class-Martin Luther King, Jr. Day  (University is Closed) </w:t>
            </w:r>
          </w:p>
          <w:p w14:paraId="051E2E6E" w14:textId="3E68E72F" w:rsidR="00F959B2" w:rsidRPr="00477043" w:rsidRDefault="00F959B2" w:rsidP="00246274">
            <w:pPr>
              <w:spacing w:line="240" w:lineRule="auto"/>
              <w:rPr>
                <w:rFonts w:ascii="Arial" w:hAnsi="Arial" w:cs="Arial"/>
                <w:sz w:val="24"/>
                <w:szCs w:val="24"/>
              </w:rPr>
            </w:pPr>
            <w:r w:rsidRPr="00477043">
              <w:rPr>
                <w:rFonts w:ascii="Arial" w:hAnsi="Arial" w:cs="Arial"/>
                <w:sz w:val="24"/>
                <w:szCs w:val="24"/>
              </w:rPr>
              <w:t xml:space="preserve"> </w:t>
            </w:r>
          </w:p>
        </w:tc>
      </w:tr>
      <w:tr w:rsidR="00F959B2" w:rsidRPr="00477043" w14:paraId="0FB70DC2" w14:textId="77777777" w:rsidTr="00246274">
        <w:trPr>
          <w:trHeight w:val="665"/>
        </w:trPr>
        <w:tc>
          <w:tcPr>
            <w:tcW w:w="805" w:type="dxa"/>
          </w:tcPr>
          <w:p w14:paraId="3E04C894" w14:textId="1435D0C8" w:rsidR="00F959B2" w:rsidRPr="00477043" w:rsidRDefault="00F959B2" w:rsidP="00246274">
            <w:pPr>
              <w:spacing w:line="240" w:lineRule="auto"/>
              <w:rPr>
                <w:rFonts w:ascii="Arial" w:hAnsi="Arial" w:cs="Arial"/>
                <w:sz w:val="24"/>
                <w:szCs w:val="24"/>
              </w:rPr>
            </w:pPr>
            <w:r w:rsidRPr="00477043">
              <w:rPr>
                <w:rFonts w:ascii="Arial" w:hAnsi="Arial" w:cs="Arial"/>
                <w:sz w:val="24"/>
                <w:szCs w:val="24"/>
              </w:rPr>
              <w:t>1/</w:t>
            </w:r>
            <w:r>
              <w:rPr>
                <w:rFonts w:ascii="Arial" w:hAnsi="Arial" w:cs="Arial"/>
                <w:sz w:val="24"/>
                <w:szCs w:val="24"/>
              </w:rPr>
              <w:t>22</w:t>
            </w:r>
          </w:p>
        </w:tc>
        <w:tc>
          <w:tcPr>
            <w:tcW w:w="2610" w:type="dxa"/>
          </w:tcPr>
          <w:p w14:paraId="588FA843" w14:textId="424C327E" w:rsidR="00F959B2" w:rsidRPr="00477043" w:rsidRDefault="00F959B2" w:rsidP="00246274">
            <w:pPr>
              <w:spacing w:line="240" w:lineRule="auto"/>
              <w:rPr>
                <w:rFonts w:ascii="Arial" w:hAnsi="Arial" w:cs="Arial"/>
                <w:sz w:val="24"/>
                <w:szCs w:val="24"/>
              </w:rPr>
            </w:pPr>
            <w:r>
              <w:rPr>
                <w:rFonts w:ascii="Arial" w:hAnsi="Arial" w:cs="Arial"/>
                <w:sz w:val="24"/>
                <w:szCs w:val="24"/>
              </w:rPr>
              <w:t xml:space="preserve">Introduction </w:t>
            </w:r>
          </w:p>
        </w:tc>
        <w:tc>
          <w:tcPr>
            <w:tcW w:w="2880" w:type="dxa"/>
          </w:tcPr>
          <w:p w14:paraId="1A36EBA8" w14:textId="77777777" w:rsidR="00F959B2" w:rsidRDefault="00F959B2" w:rsidP="00246274">
            <w:pPr>
              <w:spacing w:line="240" w:lineRule="auto"/>
              <w:rPr>
                <w:rFonts w:ascii="Arial" w:hAnsi="Arial" w:cs="Arial"/>
                <w:sz w:val="24"/>
                <w:szCs w:val="24"/>
              </w:rPr>
            </w:pPr>
          </w:p>
        </w:tc>
        <w:tc>
          <w:tcPr>
            <w:tcW w:w="2204" w:type="dxa"/>
          </w:tcPr>
          <w:p w14:paraId="47FB534A" w14:textId="77777777" w:rsidR="00F959B2" w:rsidRPr="00477043" w:rsidRDefault="00F959B2" w:rsidP="00246274">
            <w:pPr>
              <w:spacing w:line="240" w:lineRule="auto"/>
              <w:rPr>
                <w:rFonts w:ascii="Arial" w:hAnsi="Arial" w:cs="Arial"/>
                <w:sz w:val="24"/>
                <w:szCs w:val="24"/>
              </w:rPr>
            </w:pPr>
          </w:p>
        </w:tc>
      </w:tr>
      <w:tr w:rsidR="00D545EA" w:rsidRPr="00477043" w14:paraId="650F69BD" w14:textId="77777777" w:rsidTr="00246274">
        <w:trPr>
          <w:trHeight w:val="665"/>
        </w:trPr>
        <w:tc>
          <w:tcPr>
            <w:tcW w:w="805" w:type="dxa"/>
          </w:tcPr>
          <w:p w14:paraId="662F0451" w14:textId="5BA6A67D" w:rsidR="00D545EA" w:rsidRPr="00477043" w:rsidRDefault="00F959B2" w:rsidP="00246274">
            <w:pPr>
              <w:spacing w:line="240" w:lineRule="auto"/>
              <w:rPr>
                <w:rFonts w:ascii="Arial" w:hAnsi="Arial" w:cs="Arial"/>
                <w:sz w:val="24"/>
                <w:szCs w:val="24"/>
              </w:rPr>
            </w:pPr>
            <w:r w:rsidRPr="00477043">
              <w:rPr>
                <w:rFonts w:ascii="Arial" w:hAnsi="Arial" w:cs="Arial"/>
                <w:sz w:val="24"/>
                <w:szCs w:val="24"/>
              </w:rPr>
              <w:t>1/2</w:t>
            </w:r>
            <w:r>
              <w:rPr>
                <w:rFonts w:ascii="Arial" w:hAnsi="Arial" w:cs="Arial"/>
                <w:sz w:val="24"/>
                <w:szCs w:val="24"/>
              </w:rPr>
              <w:t>9</w:t>
            </w:r>
          </w:p>
        </w:tc>
        <w:tc>
          <w:tcPr>
            <w:tcW w:w="2610" w:type="dxa"/>
          </w:tcPr>
          <w:p w14:paraId="34C58CFD"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Culture &amp; Communication </w:t>
            </w:r>
          </w:p>
        </w:tc>
        <w:tc>
          <w:tcPr>
            <w:tcW w:w="2880" w:type="dxa"/>
          </w:tcPr>
          <w:p w14:paraId="19BE9F87" w14:textId="77777777" w:rsidR="005022F7" w:rsidRDefault="005022F7" w:rsidP="00246274">
            <w:pPr>
              <w:spacing w:line="240" w:lineRule="auto"/>
              <w:rPr>
                <w:rFonts w:ascii="Arial" w:hAnsi="Arial" w:cs="Arial"/>
                <w:sz w:val="24"/>
                <w:szCs w:val="24"/>
              </w:rPr>
            </w:pPr>
            <w:r>
              <w:rPr>
                <w:rFonts w:ascii="Arial" w:hAnsi="Arial" w:cs="Arial"/>
                <w:sz w:val="24"/>
                <w:szCs w:val="24"/>
              </w:rPr>
              <w:t>Samovar pp. 17- 67</w:t>
            </w:r>
          </w:p>
          <w:p w14:paraId="40FABACF"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2204" w:type="dxa"/>
          </w:tcPr>
          <w:p w14:paraId="6DDD7CF3" w14:textId="77777777" w:rsidR="00D545EA" w:rsidRPr="00477043" w:rsidRDefault="00D545EA" w:rsidP="00246274">
            <w:pPr>
              <w:spacing w:line="240" w:lineRule="auto"/>
              <w:rPr>
                <w:rFonts w:ascii="Arial" w:hAnsi="Arial" w:cs="Arial"/>
                <w:sz w:val="24"/>
                <w:szCs w:val="24"/>
              </w:rPr>
            </w:pPr>
          </w:p>
        </w:tc>
      </w:tr>
      <w:tr w:rsidR="00D545EA" w:rsidRPr="00477043" w14:paraId="7CF0C5B8" w14:textId="77777777" w:rsidTr="00246274">
        <w:tc>
          <w:tcPr>
            <w:tcW w:w="805" w:type="dxa"/>
          </w:tcPr>
          <w:p w14:paraId="1B58746B" w14:textId="446BB56D" w:rsidR="00D545EA" w:rsidRPr="00477043" w:rsidRDefault="00F959B2" w:rsidP="00246274">
            <w:pPr>
              <w:spacing w:line="240" w:lineRule="auto"/>
              <w:rPr>
                <w:rFonts w:ascii="Arial" w:hAnsi="Arial" w:cs="Arial"/>
                <w:sz w:val="24"/>
                <w:szCs w:val="24"/>
              </w:rPr>
            </w:pPr>
            <w:r w:rsidRPr="00477043">
              <w:rPr>
                <w:rFonts w:ascii="Arial" w:hAnsi="Arial" w:cs="Arial"/>
                <w:sz w:val="24"/>
                <w:szCs w:val="24"/>
              </w:rPr>
              <w:t>2/</w:t>
            </w:r>
            <w:r>
              <w:rPr>
                <w:rFonts w:ascii="Arial" w:hAnsi="Arial" w:cs="Arial"/>
                <w:sz w:val="24"/>
                <w:szCs w:val="24"/>
              </w:rPr>
              <w:t>5</w:t>
            </w:r>
          </w:p>
        </w:tc>
        <w:tc>
          <w:tcPr>
            <w:tcW w:w="2610" w:type="dxa"/>
          </w:tcPr>
          <w:p w14:paraId="2B76F0E8"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Culture &amp; Families</w:t>
            </w:r>
          </w:p>
        </w:tc>
        <w:tc>
          <w:tcPr>
            <w:tcW w:w="2880" w:type="dxa"/>
          </w:tcPr>
          <w:p w14:paraId="0D04CB6D" w14:textId="77777777" w:rsidR="00CE4C33" w:rsidRPr="00477043" w:rsidRDefault="00D545EA" w:rsidP="00246274">
            <w:pPr>
              <w:spacing w:line="240" w:lineRule="auto"/>
              <w:rPr>
                <w:rFonts w:ascii="Arial" w:hAnsi="Arial" w:cs="Arial"/>
                <w:sz w:val="24"/>
                <w:szCs w:val="24"/>
              </w:rPr>
            </w:pPr>
            <w:r w:rsidRPr="00477043">
              <w:rPr>
                <w:rFonts w:ascii="Arial" w:hAnsi="Arial" w:cs="Arial"/>
                <w:sz w:val="24"/>
                <w:szCs w:val="24"/>
              </w:rPr>
              <w:t>Samovar Chapter 3</w:t>
            </w:r>
          </w:p>
          <w:p w14:paraId="0BFCD198" w14:textId="77777777" w:rsidR="00862FCC"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Guo </w:t>
            </w:r>
          </w:p>
          <w:p w14:paraId="7D016225"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H: Cavilcante </w:t>
            </w:r>
          </w:p>
        </w:tc>
        <w:tc>
          <w:tcPr>
            <w:tcW w:w="2204" w:type="dxa"/>
          </w:tcPr>
          <w:p w14:paraId="391F32E8" w14:textId="77777777" w:rsidR="00D545EA" w:rsidRPr="00477043" w:rsidRDefault="00D545EA" w:rsidP="00246274">
            <w:pPr>
              <w:spacing w:line="240" w:lineRule="auto"/>
              <w:rPr>
                <w:rFonts w:ascii="Arial" w:hAnsi="Arial" w:cs="Arial"/>
                <w:sz w:val="24"/>
                <w:szCs w:val="24"/>
              </w:rPr>
            </w:pPr>
          </w:p>
        </w:tc>
      </w:tr>
      <w:tr w:rsidR="00D545EA" w:rsidRPr="00477043" w14:paraId="1CC9113A" w14:textId="77777777" w:rsidTr="00246274">
        <w:tc>
          <w:tcPr>
            <w:tcW w:w="805" w:type="dxa"/>
          </w:tcPr>
          <w:p w14:paraId="3BDE2313" w14:textId="05977840" w:rsidR="00D545EA" w:rsidRPr="00477043" w:rsidRDefault="00F959B2" w:rsidP="00246274">
            <w:pPr>
              <w:spacing w:line="240" w:lineRule="auto"/>
              <w:rPr>
                <w:rFonts w:ascii="Arial" w:hAnsi="Arial" w:cs="Arial"/>
                <w:sz w:val="24"/>
                <w:szCs w:val="24"/>
              </w:rPr>
            </w:pPr>
            <w:r w:rsidRPr="00477043">
              <w:rPr>
                <w:rFonts w:ascii="Arial" w:hAnsi="Arial" w:cs="Arial"/>
                <w:sz w:val="24"/>
                <w:szCs w:val="24"/>
              </w:rPr>
              <w:t>2/</w:t>
            </w:r>
            <w:r>
              <w:rPr>
                <w:rFonts w:ascii="Arial" w:hAnsi="Arial" w:cs="Arial"/>
                <w:sz w:val="24"/>
                <w:szCs w:val="24"/>
              </w:rPr>
              <w:t>12</w:t>
            </w:r>
          </w:p>
        </w:tc>
        <w:tc>
          <w:tcPr>
            <w:tcW w:w="2610" w:type="dxa"/>
          </w:tcPr>
          <w:p w14:paraId="53F453DD"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Culture &amp; History </w:t>
            </w:r>
          </w:p>
        </w:tc>
        <w:tc>
          <w:tcPr>
            <w:tcW w:w="2880" w:type="dxa"/>
          </w:tcPr>
          <w:p w14:paraId="5F421575" w14:textId="77777777" w:rsidR="00521EDC" w:rsidRDefault="00521EDC" w:rsidP="00246274">
            <w:pPr>
              <w:spacing w:line="240" w:lineRule="auto"/>
              <w:rPr>
                <w:rFonts w:ascii="Arial" w:hAnsi="Arial" w:cs="Arial"/>
                <w:sz w:val="24"/>
                <w:szCs w:val="24"/>
              </w:rPr>
            </w:pPr>
            <w:r>
              <w:rPr>
                <w:rFonts w:ascii="Arial" w:hAnsi="Arial" w:cs="Arial"/>
                <w:sz w:val="24"/>
                <w:szCs w:val="24"/>
              </w:rPr>
              <w:t xml:space="preserve">Martin &amp; Nakayama </w:t>
            </w:r>
          </w:p>
          <w:p w14:paraId="053E10FC" w14:textId="77777777" w:rsidR="00D545EA" w:rsidRPr="00477043" w:rsidRDefault="006F4341" w:rsidP="00246274">
            <w:pPr>
              <w:spacing w:line="240" w:lineRule="auto"/>
              <w:rPr>
                <w:rFonts w:ascii="Arial" w:hAnsi="Arial" w:cs="Arial"/>
                <w:sz w:val="24"/>
                <w:szCs w:val="24"/>
              </w:rPr>
            </w:pPr>
            <w:r w:rsidRPr="00477043">
              <w:rPr>
                <w:rFonts w:ascii="Arial" w:hAnsi="Arial" w:cs="Arial"/>
                <w:sz w:val="24"/>
                <w:szCs w:val="24"/>
              </w:rPr>
              <w:t>Herrera 2015 Chapter 2</w:t>
            </w:r>
          </w:p>
          <w:p w14:paraId="391E411B"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H:  PerezFirmat </w:t>
            </w:r>
          </w:p>
        </w:tc>
        <w:tc>
          <w:tcPr>
            <w:tcW w:w="2204" w:type="dxa"/>
          </w:tcPr>
          <w:p w14:paraId="58B46D11" w14:textId="77777777" w:rsidR="00D545EA" w:rsidRPr="00477043" w:rsidRDefault="00D545EA" w:rsidP="00246274">
            <w:pPr>
              <w:spacing w:line="240" w:lineRule="auto"/>
              <w:rPr>
                <w:rFonts w:ascii="Arial" w:hAnsi="Arial" w:cs="Arial"/>
                <w:sz w:val="24"/>
                <w:szCs w:val="24"/>
              </w:rPr>
            </w:pPr>
          </w:p>
        </w:tc>
      </w:tr>
      <w:tr w:rsidR="00D545EA" w:rsidRPr="00477043" w14:paraId="4C7354E9" w14:textId="77777777" w:rsidTr="00246274">
        <w:tc>
          <w:tcPr>
            <w:tcW w:w="805" w:type="dxa"/>
          </w:tcPr>
          <w:p w14:paraId="68A68EB2" w14:textId="5FD4B4C0" w:rsidR="00D545EA" w:rsidRPr="00477043" w:rsidRDefault="00F959B2" w:rsidP="00246274">
            <w:pPr>
              <w:spacing w:line="240" w:lineRule="auto"/>
              <w:rPr>
                <w:rFonts w:ascii="Arial" w:hAnsi="Arial" w:cs="Arial"/>
                <w:sz w:val="24"/>
                <w:szCs w:val="24"/>
              </w:rPr>
            </w:pPr>
            <w:r w:rsidRPr="00477043">
              <w:rPr>
                <w:rFonts w:ascii="Arial" w:hAnsi="Arial" w:cs="Arial"/>
                <w:sz w:val="24"/>
                <w:szCs w:val="24"/>
              </w:rPr>
              <w:t>2/1</w:t>
            </w:r>
            <w:r>
              <w:rPr>
                <w:rFonts w:ascii="Arial" w:hAnsi="Arial" w:cs="Arial"/>
                <w:sz w:val="24"/>
                <w:szCs w:val="24"/>
              </w:rPr>
              <w:t>9</w:t>
            </w:r>
          </w:p>
        </w:tc>
        <w:tc>
          <w:tcPr>
            <w:tcW w:w="2610" w:type="dxa"/>
          </w:tcPr>
          <w:p w14:paraId="58BD3E72" w14:textId="5BAB46D3"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Culture </w:t>
            </w:r>
            <w:r w:rsidR="00360D6A">
              <w:rPr>
                <w:rFonts w:ascii="Arial" w:hAnsi="Arial" w:cs="Arial"/>
                <w:sz w:val="24"/>
                <w:szCs w:val="24"/>
              </w:rPr>
              <w:t xml:space="preserve">&amp; Values </w:t>
            </w:r>
          </w:p>
        </w:tc>
        <w:tc>
          <w:tcPr>
            <w:tcW w:w="2880" w:type="dxa"/>
          </w:tcPr>
          <w:p w14:paraId="6F1177F3" w14:textId="77777777" w:rsidR="00DF4712" w:rsidRPr="00477043" w:rsidRDefault="00D545EA" w:rsidP="00246274">
            <w:pPr>
              <w:spacing w:line="240" w:lineRule="auto"/>
              <w:rPr>
                <w:rFonts w:ascii="Arial" w:hAnsi="Arial" w:cs="Arial"/>
                <w:sz w:val="24"/>
                <w:szCs w:val="24"/>
              </w:rPr>
            </w:pPr>
            <w:r w:rsidRPr="00477043">
              <w:rPr>
                <w:rFonts w:ascii="Arial" w:hAnsi="Arial" w:cs="Arial"/>
                <w:sz w:val="24"/>
                <w:szCs w:val="24"/>
              </w:rPr>
              <w:t xml:space="preserve">Samovar Chapter 6 </w:t>
            </w:r>
          </w:p>
          <w:p w14:paraId="0C338BA2" w14:textId="77777777" w:rsidR="00D545EA" w:rsidRPr="00477043" w:rsidRDefault="00D545EA" w:rsidP="00246274">
            <w:pPr>
              <w:spacing w:line="240" w:lineRule="auto"/>
              <w:rPr>
                <w:rFonts w:ascii="Arial" w:hAnsi="Arial" w:cs="Arial"/>
                <w:sz w:val="24"/>
                <w:szCs w:val="24"/>
              </w:rPr>
            </w:pPr>
            <w:r w:rsidRPr="00477043">
              <w:rPr>
                <w:rFonts w:ascii="Arial" w:hAnsi="Arial" w:cs="Arial"/>
                <w:sz w:val="24"/>
                <w:szCs w:val="24"/>
              </w:rPr>
              <w:t>H: Ihedigbo</w:t>
            </w:r>
          </w:p>
        </w:tc>
        <w:tc>
          <w:tcPr>
            <w:tcW w:w="2204" w:type="dxa"/>
          </w:tcPr>
          <w:p w14:paraId="30807E20" w14:textId="77777777" w:rsidR="00D545EA" w:rsidRPr="00477043" w:rsidRDefault="00E41BA8" w:rsidP="00246274">
            <w:pPr>
              <w:spacing w:line="240" w:lineRule="auto"/>
              <w:rPr>
                <w:rFonts w:ascii="Arial" w:hAnsi="Arial" w:cs="Arial"/>
                <w:sz w:val="24"/>
                <w:szCs w:val="24"/>
              </w:rPr>
            </w:pPr>
            <w:r>
              <w:rPr>
                <w:rFonts w:ascii="Arial" w:hAnsi="Arial" w:cs="Arial"/>
                <w:sz w:val="24"/>
                <w:szCs w:val="24"/>
              </w:rPr>
              <w:t>Engagement Plan Due</w:t>
            </w:r>
          </w:p>
        </w:tc>
      </w:tr>
      <w:tr w:rsidR="001D6E7B" w:rsidRPr="00477043" w14:paraId="08CA0B35" w14:textId="77777777" w:rsidTr="00246274">
        <w:tc>
          <w:tcPr>
            <w:tcW w:w="805" w:type="dxa"/>
          </w:tcPr>
          <w:p w14:paraId="7F8D4CD3" w14:textId="3FBF61B1"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2/2</w:t>
            </w:r>
            <w:r>
              <w:rPr>
                <w:rFonts w:ascii="Arial" w:hAnsi="Arial" w:cs="Arial"/>
                <w:sz w:val="24"/>
                <w:szCs w:val="24"/>
              </w:rPr>
              <w:t>6</w:t>
            </w:r>
          </w:p>
        </w:tc>
        <w:tc>
          <w:tcPr>
            <w:tcW w:w="2610" w:type="dxa"/>
          </w:tcPr>
          <w:p w14:paraId="6AC94737" w14:textId="3BD470BD" w:rsidR="001D6E7B" w:rsidRPr="00477043" w:rsidRDefault="001D6E7B" w:rsidP="001D6E7B">
            <w:pPr>
              <w:spacing w:line="240" w:lineRule="auto"/>
              <w:rPr>
                <w:rFonts w:ascii="Arial" w:hAnsi="Arial" w:cs="Arial"/>
                <w:sz w:val="24"/>
                <w:szCs w:val="24"/>
              </w:rPr>
            </w:pPr>
            <w:r>
              <w:rPr>
                <w:rFonts w:ascii="Arial" w:hAnsi="Arial" w:cs="Arial"/>
                <w:sz w:val="24"/>
                <w:szCs w:val="24"/>
              </w:rPr>
              <w:t>Culture &amp; Identity</w:t>
            </w:r>
          </w:p>
        </w:tc>
        <w:tc>
          <w:tcPr>
            <w:tcW w:w="2880" w:type="dxa"/>
          </w:tcPr>
          <w:p w14:paraId="75BA1070" w14:textId="747802E1" w:rsidR="001D6E7B" w:rsidRDefault="001D6E7B" w:rsidP="001D6E7B">
            <w:pPr>
              <w:spacing w:line="240" w:lineRule="auto"/>
              <w:rPr>
                <w:rFonts w:ascii="Arial" w:hAnsi="Arial" w:cs="Arial"/>
                <w:sz w:val="24"/>
                <w:szCs w:val="24"/>
              </w:rPr>
            </w:pPr>
            <w:r w:rsidRPr="00477043">
              <w:rPr>
                <w:rFonts w:ascii="Arial" w:hAnsi="Arial" w:cs="Arial"/>
                <w:sz w:val="24"/>
                <w:szCs w:val="24"/>
              </w:rPr>
              <w:t>Samovar Chapter 7</w:t>
            </w:r>
          </w:p>
          <w:p w14:paraId="732106A4" w14:textId="76C35F46" w:rsidR="00E77464" w:rsidRDefault="00E77464" w:rsidP="001D6E7B">
            <w:pPr>
              <w:spacing w:line="240" w:lineRule="auto"/>
              <w:rPr>
                <w:rFonts w:ascii="Arial" w:hAnsi="Arial" w:cs="Arial"/>
                <w:sz w:val="24"/>
                <w:szCs w:val="24"/>
              </w:rPr>
            </w:pPr>
            <w:r>
              <w:rPr>
                <w:rFonts w:ascii="Arial" w:hAnsi="Arial" w:cs="Arial"/>
                <w:sz w:val="24"/>
                <w:szCs w:val="24"/>
              </w:rPr>
              <w:t xml:space="preserve">Compton-Lilly </w:t>
            </w:r>
          </w:p>
          <w:p w14:paraId="46BDFFE4" w14:textId="3B136BF2"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 xml:space="preserve">H: Ansary  </w:t>
            </w:r>
          </w:p>
        </w:tc>
        <w:tc>
          <w:tcPr>
            <w:tcW w:w="2204" w:type="dxa"/>
          </w:tcPr>
          <w:p w14:paraId="020EB1DD" w14:textId="5BB20F36"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Reaction Paper 1 Due</w:t>
            </w:r>
          </w:p>
        </w:tc>
      </w:tr>
      <w:tr w:rsidR="001D6E7B" w:rsidRPr="00477043" w14:paraId="0EA0B6A0" w14:textId="77777777" w:rsidTr="008A663B">
        <w:tc>
          <w:tcPr>
            <w:tcW w:w="805" w:type="dxa"/>
          </w:tcPr>
          <w:p w14:paraId="4A1CB245" w14:textId="5776577E"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3/</w:t>
            </w:r>
            <w:r>
              <w:rPr>
                <w:rFonts w:ascii="Arial" w:hAnsi="Arial" w:cs="Arial"/>
                <w:sz w:val="24"/>
                <w:szCs w:val="24"/>
              </w:rPr>
              <w:t>5</w:t>
            </w:r>
          </w:p>
        </w:tc>
        <w:tc>
          <w:tcPr>
            <w:tcW w:w="2610" w:type="dxa"/>
            <w:tcBorders>
              <w:bottom w:val="single" w:sz="4" w:space="0" w:color="auto"/>
            </w:tcBorders>
          </w:tcPr>
          <w:p w14:paraId="49EFCC82" w14:textId="0D73E516"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 xml:space="preserve">Culture &amp; </w:t>
            </w:r>
            <w:r>
              <w:rPr>
                <w:rFonts w:ascii="Arial" w:hAnsi="Arial" w:cs="Arial"/>
                <w:sz w:val="24"/>
                <w:szCs w:val="24"/>
              </w:rPr>
              <w:t>Gender</w:t>
            </w:r>
          </w:p>
        </w:tc>
        <w:tc>
          <w:tcPr>
            <w:tcW w:w="2880" w:type="dxa"/>
            <w:tcBorders>
              <w:bottom w:val="single" w:sz="4" w:space="0" w:color="auto"/>
            </w:tcBorders>
          </w:tcPr>
          <w:p w14:paraId="4CFD4490" w14:textId="77777777" w:rsidR="001D6E7B" w:rsidRDefault="001D6E7B" w:rsidP="001D6E7B">
            <w:pPr>
              <w:spacing w:line="240" w:lineRule="auto"/>
              <w:rPr>
                <w:rFonts w:ascii="Arial" w:hAnsi="Arial" w:cs="Arial"/>
                <w:sz w:val="24"/>
                <w:szCs w:val="24"/>
              </w:rPr>
            </w:pPr>
            <w:r>
              <w:rPr>
                <w:rFonts w:ascii="Arial" w:hAnsi="Arial" w:cs="Arial"/>
                <w:sz w:val="24"/>
                <w:szCs w:val="24"/>
              </w:rPr>
              <w:t>Samovar pp. 81-88</w:t>
            </w:r>
          </w:p>
          <w:p w14:paraId="02C33BA1" w14:textId="77777777" w:rsidR="005E4AAE" w:rsidRDefault="005E4AAE" w:rsidP="001D6E7B">
            <w:pPr>
              <w:spacing w:line="240" w:lineRule="auto"/>
              <w:rPr>
                <w:rFonts w:ascii="Arial" w:hAnsi="Arial" w:cs="Arial"/>
                <w:sz w:val="24"/>
                <w:szCs w:val="24"/>
              </w:rPr>
            </w:pPr>
            <w:r>
              <w:rPr>
                <w:rFonts w:ascii="Arial" w:hAnsi="Arial" w:cs="Arial"/>
                <w:sz w:val="24"/>
                <w:szCs w:val="24"/>
              </w:rPr>
              <w:t>Qin-Hillard</w:t>
            </w:r>
          </w:p>
          <w:p w14:paraId="2B3C3436" w14:textId="1551EB79" w:rsidR="001D6E7B" w:rsidRDefault="001D6E7B" w:rsidP="001D6E7B">
            <w:pPr>
              <w:spacing w:line="240" w:lineRule="auto"/>
              <w:rPr>
                <w:rFonts w:ascii="Arial" w:hAnsi="Arial" w:cs="Arial"/>
                <w:sz w:val="24"/>
                <w:szCs w:val="24"/>
              </w:rPr>
            </w:pPr>
            <w:r>
              <w:rPr>
                <w:rFonts w:ascii="Arial" w:hAnsi="Arial" w:cs="Arial"/>
                <w:sz w:val="24"/>
                <w:szCs w:val="24"/>
              </w:rPr>
              <w:t>Berger</w:t>
            </w:r>
          </w:p>
          <w:p w14:paraId="0519A978" w14:textId="3FABC4AC"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H: Hayslip</w:t>
            </w:r>
          </w:p>
        </w:tc>
        <w:tc>
          <w:tcPr>
            <w:tcW w:w="2204" w:type="dxa"/>
            <w:tcBorders>
              <w:bottom w:val="single" w:sz="4" w:space="0" w:color="auto"/>
            </w:tcBorders>
          </w:tcPr>
          <w:p w14:paraId="44871E43" w14:textId="2470B060" w:rsidR="001D6E7B" w:rsidRPr="00477043" w:rsidRDefault="001D6E7B" w:rsidP="001D6E7B">
            <w:pPr>
              <w:spacing w:line="240" w:lineRule="auto"/>
              <w:rPr>
                <w:rFonts w:ascii="Arial" w:hAnsi="Arial" w:cs="Arial"/>
                <w:sz w:val="24"/>
                <w:szCs w:val="24"/>
              </w:rPr>
            </w:pPr>
          </w:p>
        </w:tc>
      </w:tr>
      <w:tr w:rsidR="001D6E7B" w:rsidRPr="00477043" w14:paraId="51087232" w14:textId="77777777" w:rsidTr="008A663B">
        <w:tc>
          <w:tcPr>
            <w:tcW w:w="805" w:type="dxa"/>
            <w:tcBorders>
              <w:right w:val="single" w:sz="4" w:space="0" w:color="auto"/>
            </w:tcBorders>
          </w:tcPr>
          <w:p w14:paraId="468ADA23" w14:textId="29A1355D"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3/</w:t>
            </w:r>
            <w:r>
              <w:rPr>
                <w:rFonts w:ascii="Arial" w:hAnsi="Arial" w:cs="Arial"/>
                <w:sz w:val="24"/>
                <w:szCs w:val="24"/>
              </w:rPr>
              <w:t>12</w:t>
            </w:r>
          </w:p>
        </w:tc>
        <w:tc>
          <w:tcPr>
            <w:tcW w:w="7694" w:type="dxa"/>
            <w:gridSpan w:val="3"/>
            <w:tcBorders>
              <w:top w:val="single" w:sz="4" w:space="0" w:color="auto"/>
              <w:left w:val="single" w:sz="4" w:space="0" w:color="auto"/>
              <w:bottom w:val="single" w:sz="4" w:space="0" w:color="auto"/>
              <w:right w:val="single" w:sz="4" w:space="0" w:color="auto"/>
            </w:tcBorders>
          </w:tcPr>
          <w:p w14:paraId="1989A841" w14:textId="286FE82E" w:rsidR="001D6E7B" w:rsidRPr="00477043" w:rsidRDefault="001D6E7B" w:rsidP="001D6E7B">
            <w:pPr>
              <w:spacing w:line="240" w:lineRule="auto"/>
              <w:rPr>
                <w:rFonts w:ascii="Arial" w:hAnsi="Arial" w:cs="Arial"/>
                <w:sz w:val="24"/>
                <w:szCs w:val="24"/>
              </w:rPr>
            </w:pPr>
            <w:r>
              <w:rPr>
                <w:rFonts w:ascii="Arial" w:hAnsi="Arial" w:cs="Arial"/>
                <w:sz w:val="24"/>
                <w:szCs w:val="24"/>
              </w:rPr>
              <w:t xml:space="preserve">Spring Break </w:t>
            </w:r>
          </w:p>
        </w:tc>
      </w:tr>
      <w:tr w:rsidR="001D6E7B" w:rsidRPr="00477043" w14:paraId="79877D47" w14:textId="63386ABC" w:rsidTr="008A663B">
        <w:trPr>
          <w:gridAfter w:val="1"/>
          <w:wAfter w:w="2204" w:type="dxa"/>
        </w:trPr>
        <w:tc>
          <w:tcPr>
            <w:tcW w:w="805" w:type="dxa"/>
            <w:tcBorders>
              <w:right w:val="single" w:sz="4" w:space="0" w:color="auto"/>
            </w:tcBorders>
          </w:tcPr>
          <w:p w14:paraId="4C11C4ED" w14:textId="5B33BF01"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3/1</w:t>
            </w:r>
            <w:r>
              <w:rPr>
                <w:rFonts w:ascii="Arial" w:hAnsi="Arial" w:cs="Arial"/>
                <w:sz w:val="24"/>
                <w:szCs w:val="24"/>
              </w:rPr>
              <w:t>9</w:t>
            </w:r>
          </w:p>
        </w:tc>
        <w:tc>
          <w:tcPr>
            <w:tcW w:w="2610" w:type="dxa"/>
            <w:tcBorders>
              <w:top w:val="single" w:sz="4" w:space="0" w:color="auto"/>
              <w:left w:val="single" w:sz="4" w:space="0" w:color="auto"/>
              <w:bottom w:val="single" w:sz="4" w:space="0" w:color="auto"/>
              <w:right w:val="single" w:sz="4" w:space="0" w:color="auto"/>
            </w:tcBorders>
          </w:tcPr>
          <w:p w14:paraId="60BC8CFD" w14:textId="79E9CE6C"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 xml:space="preserve">Culture </w:t>
            </w:r>
            <w:r>
              <w:rPr>
                <w:rFonts w:ascii="Arial" w:hAnsi="Arial" w:cs="Arial"/>
                <w:sz w:val="24"/>
                <w:szCs w:val="24"/>
              </w:rPr>
              <w:t xml:space="preserve">&amp; Language </w:t>
            </w:r>
          </w:p>
        </w:tc>
        <w:tc>
          <w:tcPr>
            <w:tcW w:w="2880" w:type="dxa"/>
            <w:tcBorders>
              <w:top w:val="single" w:sz="4" w:space="0" w:color="auto"/>
              <w:left w:val="single" w:sz="4" w:space="0" w:color="auto"/>
              <w:bottom w:val="single" w:sz="4" w:space="0" w:color="auto"/>
              <w:right w:val="single" w:sz="4" w:space="0" w:color="auto"/>
            </w:tcBorders>
          </w:tcPr>
          <w:p w14:paraId="19A10F08" w14:textId="77777777" w:rsidR="001D6E7B" w:rsidRDefault="001D6E7B" w:rsidP="001D6E7B">
            <w:pPr>
              <w:spacing w:line="240" w:lineRule="auto"/>
              <w:rPr>
                <w:rFonts w:ascii="Arial" w:hAnsi="Arial" w:cs="Arial"/>
                <w:sz w:val="24"/>
                <w:szCs w:val="24"/>
              </w:rPr>
            </w:pPr>
            <w:r w:rsidRPr="00477043">
              <w:rPr>
                <w:rFonts w:ascii="Arial" w:hAnsi="Arial" w:cs="Arial"/>
                <w:sz w:val="24"/>
                <w:szCs w:val="24"/>
              </w:rPr>
              <w:t xml:space="preserve">Samovar Chapter 8 </w:t>
            </w:r>
            <w:r w:rsidRPr="008E46D6">
              <w:rPr>
                <w:rFonts w:ascii="Arial" w:hAnsi="Arial" w:cs="Arial"/>
                <w:sz w:val="24"/>
                <w:szCs w:val="24"/>
              </w:rPr>
              <w:t>DeCapua &amp; Wintergerst</w:t>
            </w:r>
            <w:r w:rsidRPr="00477043">
              <w:rPr>
                <w:rFonts w:ascii="Arial" w:hAnsi="Arial" w:cs="Arial"/>
                <w:sz w:val="24"/>
                <w:szCs w:val="24"/>
              </w:rPr>
              <w:t xml:space="preserve"> </w:t>
            </w:r>
          </w:p>
          <w:p w14:paraId="0663A49D" w14:textId="52CA5AE1" w:rsidR="001D6E7B" w:rsidRPr="00477043" w:rsidRDefault="001D6E7B" w:rsidP="001D6E7B">
            <w:r w:rsidRPr="00477043">
              <w:rPr>
                <w:rFonts w:ascii="Arial" w:hAnsi="Arial" w:cs="Arial"/>
                <w:sz w:val="24"/>
                <w:szCs w:val="24"/>
              </w:rPr>
              <w:t>H: Reyes</w:t>
            </w:r>
          </w:p>
        </w:tc>
      </w:tr>
      <w:tr w:rsidR="001D6E7B" w:rsidRPr="00477043" w14:paraId="6441CDB4" w14:textId="77777777" w:rsidTr="008A663B">
        <w:tc>
          <w:tcPr>
            <w:tcW w:w="805" w:type="dxa"/>
          </w:tcPr>
          <w:p w14:paraId="5DDE105E" w14:textId="2CC09A1C"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3/2</w:t>
            </w:r>
            <w:r>
              <w:rPr>
                <w:rFonts w:ascii="Arial" w:hAnsi="Arial" w:cs="Arial"/>
                <w:sz w:val="24"/>
                <w:szCs w:val="24"/>
              </w:rPr>
              <w:t>6</w:t>
            </w:r>
          </w:p>
        </w:tc>
        <w:tc>
          <w:tcPr>
            <w:tcW w:w="2610" w:type="dxa"/>
            <w:tcBorders>
              <w:top w:val="single" w:sz="4" w:space="0" w:color="auto"/>
            </w:tcBorders>
          </w:tcPr>
          <w:p w14:paraId="64A27417" w14:textId="316F6E50" w:rsidR="001D6E7B" w:rsidRPr="00477043" w:rsidRDefault="001D6E7B" w:rsidP="001D6E7B">
            <w:pPr>
              <w:spacing w:line="240" w:lineRule="auto"/>
              <w:rPr>
                <w:rFonts w:ascii="Arial" w:hAnsi="Arial" w:cs="Arial"/>
                <w:sz w:val="24"/>
                <w:szCs w:val="24"/>
              </w:rPr>
            </w:pPr>
            <w:r>
              <w:rPr>
                <w:rFonts w:ascii="Arial" w:hAnsi="Arial" w:cs="Arial"/>
                <w:sz w:val="24"/>
                <w:szCs w:val="24"/>
              </w:rPr>
              <w:t>Culture and Non-verbal Communication</w:t>
            </w:r>
            <w:r w:rsidRPr="00477043">
              <w:rPr>
                <w:rFonts w:ascii="Arial" w:hAnsi="Arial" w:cs="Arial"/>
                <w:sz w:val="24"/>
                <w:szCs w:val="24"/>
              </w:rPr>
              <w:t xml:space="preserve"> </w:t>
            </w:r>
          </w:p>
        </w:tc>
        <w:tc>
          <w:tcPr>
            <w:tcW w:w="2880" w:type="dxa"/>
            <w:tcBorders>
              <w:top w:val="single" w:sz="4" w:space="0" w:color="auto"/>
            </w:tcBorders>
          </w:tcPr>
          <w:p w14:paraId="1AE7BD9E" w14:textId="516C47A9"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 xml:space="preserve">Samovar Chapter 9  Gregersen </w:t>
            </w:r>
          </w:p>
          <w:p w14:paraId="04E70B2C" w14:textId="77777777" w:rsidR="001D6E7B" w:rsidRDefault="001D6E7B" w:rsidP="001D6E7B">
            <w:pPr>
              <w:spacing w:line="240" w:lineRule="auto"/>
              <w:rPr>
                <w:rFonts w:ascii="Arial" w:hAnsi="Arial" w:cs="Arial"/>
                <w:sz w:val="24"/>
                <w:szCs w:val="24"/>
              </w:rPr>
            </w:pPr>
            <w:r w:rsidRPr="00477043">
              <w:rPr>
                <w:rFonts w:ascii="Arial" w:hAnsi="Arial" w:cs="Arial"/>
                <w:sz w:val="24"/>
                <w:szCs w:val="24"/>
              </w:rPr>
              <w:lastRenderedPageBreak/>
              <w:t>H: Samuelsson</w:t>
            </w:r>
          </w:p>
          <w:p w14:paraId="474C8C71" w14:textId="4DF9D82D" w:rsidR="001604D7" w:rsidRPr="00477043" w:rsidRDefault="001604D7" w:rsidP="001D6E7B">
            <w:pPr>
              <w:spacing w:line="240" w:lineRule="auto"/>
              <w:rPr>
                <w:rFonts w:ascii="Arial" w:hAnsi="Arial" w:cs="Arial"/>
                <w:sz w:val="24"/>
                <w:szCs w:val="24"/>
              </w:rPr>
            </w:pPr>
          </w:p>
        </w:tc>
        <w:tc>
          <w:tcPr>
            <w:tcW w:w="2204" w:type="dxa"/>
          </w:tcPr>
          <w:p w14:paraId="0866A12C" w14:textId="3D57304C" w:rsidR="001D6E7B" w:rsidRPr="00477043" w:rsidRDefault="00D37400" w:rsidP="001D6E7B">
            <w:pPr>
              <w:spacing w:line="240" w:lineRule="auto"/>
              <w:rPr>
                <w:rFonts w:ascii="Arial" w:hAnsi="Arial" w:cs="Arial"/>
                <w:sz w:val="24"/>
                <w:szCs w:val="24"/>
              </w:rPr>
            </w:pPr>
            <w:r>
              <w:rPr>
                <w:rFonts w:ascii="Arial" w:hAnsi="Arial" w:cs="Arial"/>
                <w:sz w:val="24"/>
                <w:szCs w:val="24"/>
              </w:rPr>
              <w:lastRenderedPageBreak/>
              <w:t>Test</w:t>
            </w:r>
            <w:r w:rsidR="001D6E7B">
              <w:rPr>
                <w:rFonts w:ascii="Arial" w:hAnsi="Arial" w:cs="Arial"/>
                <w:sz w:val="24"/>
                <w:szCs w:val="24"/>
              </w:rPr>
              <w:t xml:space="preserve"> Due</w:t>
            </w:r>
          </w:p>
        </w:tc>
      </w:tr>
      <w:tr w:rsidR="001D6E7B" w:rsidRPr="00477043" w14:paraId="3E1A0695" w14:textId="77777777" w:rsidTr="00246274">
        <w:tc>
          <w:tcPr>
            <w:tcW w:w="805" w:type="dxa"/>
          </w:tcPr>
          <w:p w14:paraId="4B7D5F7C" w14:textId="2B59419C" w:rsidR="001D6E7B" w:rsidRPr="00477043" w:rsidRDefault="001D6E7B" w:rsidP="001D6E7B">
            <w:pPr>
              <w:spacing w:line="240" w:lineRule="auto"/>
              <w:rPr>
                <w:rFonts w:ascii="Arial" w:hAnsi="Arial" w:cs="Arial"/>
                <w:sz w:val="24"/>
                <w:szCs w:val="24"/>
              </w:rPr>
            </w:pPr>
            <w:r>
              <w:rPr>
                <w:rFonts w:ascii="Arial" w:hAnsi="Arial" w:cs="Arial"/>
                <w:sz w:val="24"/>
                <w:szCs w:val="24"/>
              </w:rPr>
              <w:t>4/2</w:t>
            </w:r>
          </w:p>
        </w:tc>
        <w:tc>
          <w:tcPr>
            <w:tcW w:w="2610" w:type="dxa"/>
          </w:tcPr>
          <w:p w14:paraId="23C503DF" w14:textId="5EA43A30"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 xml:space="preserve">Culture </w:t>
            </w:r>
            <w:r>
              <w:rPr>
                <w:rFonts w:ascii="Arial" w:hAnsi="Arial" w:cs="Arial"/>
                <w:sz w:val="24"/>
                <w:szCs w:val="24"/>
              </w:rPr>
              <w:t>in Contexts</w:t>
            </w:r>
            <w:r w:rsidRPr="00477043">
              <w:rPr>
                <w:rFonts w:ascii="Arial" w:hAnsi="Arial" w:cs="Arial"/>
                <w:sz w:val="24"/>
                <w:szCs w:val="24"/>
              </w:rPr>
              <w:t xml:space="preserve"> </w:t>
            </w:r>
          </w:p>
        </w:tc>
        <w:tc>
          <w:tcPr>
            <w:tcW w:w="2880" w:type="dxa"/>
          </w:tcPr>
          <w:p w14:paraId="5D591A81" w14:textId="5322F6FE"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 xml:space="preserve">Samovar Chapter 10 </w:t>
            </w:r>
          </w:p>
          <w:p w14:paraId="3E5AA340" w14:textId="77777777"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Neuliep</w:t>
            </w:r>
          </w:p>
          <w:p w14:paraId="1B6B54DE" w14:textId="3635A6AB"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H: Yang</w:t>
            </w:r>
          </w:p>
        </w:tc>
        <w:tc>
          <w:tcPr>
            <w:tcW w:w="2204" w:type="dxa"/>
          </w:tcPr>
          <w:p w14:paraId="7FA37DB2" w14:textId="100C7BE7" w:rsidR="001D6E7B" w:rsidRPr="00477043" w:rsidRDefault="001D6E7B" w:rsidP="001D6E7B">
            <w:pPr>
              <w:spacing w:line="240" w:lineRule="auto"/>
              <w:rPr>
                <w:rFonts w:ascii="Arial" w:hAnsi="Arial" w:cs="Arial"/>
                <w:sz w:val="24"/>
                <w:szCs w:val="24"/>
              </w:rPr>
            </w:pPr>
          </w:p>
        </w:tc>
      </w:tr>
      <w:tr w:rsidR="001D6E7B" w:rsidRPr="00477043" w14:paraId="266A6E76" w14:textId="77777777" w:rsidTr="00246274">
        <w:tc>
          <w:tcPr>
            <w:tcW w:w="805" w:type="dxa"/>
          </w:tcPr>
          <w:p w14:paraId="077B51C8" w14:textId="5F8791D3"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4/</w:t>
            </w:r>
            <w:r>
              <w:rPr>
                <w:rFonts w:ascii="Arial" w:hAnsi="Arial" w:cs="Arial"/>
                <w:sz w:val="24"/>
                <w:szCs w:val="24"/>
              </w:rPr>
              <w:t>9</w:t>
            </w:r>
          </w:p>
        </w:tc>
        <w:tc>
          <w:tcPr>
            <w:tcW w:w="2610" w:type="dxa"/>
          </w:tcPr>
          <w:p w14:paraId="20FD1C5B" w14:textId="618FE935" w:rsidR="001D6E7B" w:rsidRPr="00477043" w:rsidRDefault="001D6E7B" w:rsidP="001D6E7B">
            <w:pPr>
              <w:spacing w:line="240" w:lineRule="auto"/>
              <w:rPr>
                <w:rFonts w:ascii="Arial" w:hAnsi="Arial" w:cs="Arial"/>
                <w:sz w:val="24"/>
                <w:szCs w:val="24"/>
              </w:rPr>
            </w:pPr>
            <w:r>
              <w:rPr>
                <w:rFonts w:ascii="Arial" w:hAnsi="Arial" w:cs="Arial"/>
                <w:sz w:val="24"/>
                <w:szCs w:val="24"/>
              </w:rPr>
              <w:t>Culture &amp; Racism</w:t>
            </w:r>
          </w:p>
        </w:tc>
        <w:tc>
          <w:tcPr>
            <w:tcW w:w="2880" w:type="dxa"/>
          </w:tcPr>
          <w:p w14:paraId="68F26F6B" w14:textId="3B16D9D0" w:rsidR="001D6E7B" w:rsidRPr="00A8652E" w:rsidRDefault="001D6E7B" w:rsidP="001D6E7B">
            <w:pPr>
              <w:spacing w:line="240" w:lineRule="auto"/>
              <w:rPr>
                <w:rFonts w:ascii="Arial" w:hAnsi="Arial" w:cs="Arial"/>
                <w:sz w:val="24"/>
                <w:szCs w:val="24"/>
              </w:rPr>
            </w:pPr>
            <w:r w:rsidRPr="00A8652E">
              <w:rPr>
                <w:rFonts w:ascii="Arial" w:hAnsi="Arial" w:cs="Arial"/>
                <w:sz w:val="24"/>
                <w:szCs w:val="24"/>
              </w:rPr>
              <w:t xml:space="preserve">Nieto Chapter 4 </w:t>
            </w:r>
          </w:p>
          <w:p w14:paraId="37A93B8E" w14:textId="77777777" w:rsidR="001D6E7B" w:rsidRPr="00477043" w:rsidRDefault="001D6E7B" w:rsidP="001D6E7B">
            <w:pPr>
              <w:spacing w:line="240" w:lineRule="auto"/>
              <w:rPr>
                <w:rFonts w:ascii="Arial" w:hAnsi="Arial" w:cs="Arial"/>
                <w:sz w:val="24"/>
                <w:szCs w:val="24"/>
              </w:rPr>
            </w:pPr>
            <w:r w:rsidRPr="00A8652E">
              <w:rPr>
                <w:rFonts w:ascii="Arial" w:hAnsi="Arial" w:cs="Arial"/>
                <w:sz w:val="24"/>
                <w:szCs w:val="24"/>
              </w:rPr>
              <w:t>Ting-Toomey &amp;</w:t>
            </w:r>
            <w:r>
              <w:rPr>
                <w:rFonts w:ascii="Arial" w:hAnsi="Arial" w:cs="Arial"/>
                <w:sz w:val="24"/>
                <w:szCs w:val="24"/>
              </w:rPr>
              <w:t xml:space="preserve"> Chung ch. 8</w:t>
            </w:r>
          </w:p>
          <w:p w14:paraId="1398C1FC" w14:textId="725E8EB3"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H: Dumas</w:t>
            </w:r>
          </w:p>
        </w:tc>
        <w:tc>
          <w:tcPr>
            <w:tcW w:w="2204" w:type="dxa"/>
          </w:tcPr>
          <w:p w14:paraId="6656AE52" w14:textId="30955A3F"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Cultural Miscommunication Paper Due</w:t>
            </w:r>
          </w:p>
        </w:tc>
      </w:tr>
      <w:tr w:rsidR="001D6E7B" w:rsidRPr="00477043" w14:paraId="7840D6E1" w14:textId="77777777" w:rsidTr="00246274">
        <w:tc>
          <w:tcPr>
            <w:tcW w:w="805" w:type="dxa"/>
          </w:tcPr>
          <w:p w14:paraId="6F6A6658" w14:textId="01CC839B"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4/</w:t>
            </w:r>
            <w:r w:rsidR="00F122C0">
              <w:rPr>
                <w:rFonts w:ascii="Arial" w:hAnsi="Arial" w:cs="Arial"/>
                <w:sz w:val="24"/>
                <w:szCs w:val="24"/>
              </w:rPr>
              <w:t>16</w:t>
            </w:r>
          </w:p>
        </w:tc>
        <w:tc>
          <w:tcPr>
            <w:tcW w:w="2610" w:type="dxa"/>
          </w:tcPr>
          <w:p w14:paraId="5FE5267E" w14:textId="40D99963"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 xml:space="preserve">Cultural Competence for Teachers </w:t>
            </w:r>
          </w:p>
        </w:tc>
        <w:tc>
          <w:tcPr>
            <w:tcW w:w="2880" w:type="dxa"/>
          </w:tcPr>
          <w:p w14:paraId="76DE4E9E" w14:textId="77777777" w:rsidR="001D6E7B" w:rsidRPr="00477043" w:rsidRDefault="001D6E7B" w:rsidP="001D6E7B">
            <w:pPr>
              <w:spacing w:line="240" w:lineRule="auto"/>
              <w:rPr>
                <w:rFonts w:ascii="Arial" w:hAnsi="Arial" w:cs="Arial"/>
                <w:sz w:val="24"/>
                <w:szCs w:val="24"/>
              </w:rPr>
            </w:pPr>
            <w:r>
              <w:rPr>
                <w:rFonts w:ascii="Arial" w:hAnsi="Arial" w:cs="Arial"/>
                <w:sz w:val="24"/>
                <w:szCs w:val="24"/>
              </w:rPr>
              <w:t xml:space="preserve">Gay Chapter 2 </w:t>
            </w:r>
          </w:p>
          <w:p w14:paraId="497AF391" w14:textId="77777777" w:rsidR="001D6E7B" w:rsidRDefault="001D6E7B" w:rsidP="001D6E7B">
            <w:pPr>
              <w:spacing w:line="240" w:lineRule="auto"/>
              <w:rPr>
                <w:rFonts w:ascii="Arial" w:hAnsi="Arial" w:cs="Arial"/>
                <w:sz w:val="24"/>
                <w:szCs w:val="24"/>
              </w:rPr>
            </w:pPr>
            <w:r>
              <w:rPr>
                <w:rFonts w:ascii="Arial" w:hAnsi="Arial" w:cs="Arial"/>
                <w:sz w:val="24"/>
                <w:szCs w:val="24"/>
              </w:rPr>
              <w:t xml:space="preserve">Cervantes &amp; Shelby </w:t>
            </w:r>
          </w:p>
          <w:p w14:paraId="78913C6C" w14:textId="0CDED85F" w:rsidR="001D6E7B" w:rsidRPr="008E46D6" w:rsidRDefault="001D6E7B" w:rsidP="001D6E7B">
            <w:pPr>
              <w:spacing w:line="240" w:lineRule="auto"/>
              <w:rPr>
                <w:rFonts w:ascii="Arial" w:hAnsi="Arial" w:cs="Arial"/>
                <w:sz w:val="24"/>
                <w:szCs w:val="24"/>
              </w:rPr>
            </w:pPr>
            <w:r w:rsidRPr="00477043">
              <w:rPr>
                <w:rFonts w:ascii="Arial" w:hAnsi="Arial" w:cs="Arial"/>
                <w:sz w:val="24"/>
                <w:szCs w:val="24"/>
              </w:rPr>
              <w:t xml:space="preserve">H: Ung </w:t>
            </w:r>
          </w:p>
        </w:tc>
        <w:tc>
          <w:tcPr>
            <w:tcW w:w="2204" w:type="dxa"/>
          </w:tcPr>
          <w:p w14:paraId="711CC866" w14:textId="5C1F6E0E" w:rsidR="001D6E7B" w:rsidRPr="00A762C2" w:rsidRDefault="001D6E7B" w:rsidP="001D6E7B">
            <w:pPr>
              <w:jc w:val="center"/>
              <w:rPr>
                <w:rFonts w:ascii="Arial" w:hAnsi="Arial" w:cs="Arial"/>
                <w:sz w:val="24"/>
                <w:szCs w:val="24"/>
              </w:rPr>
            </w:pPr>
            <w:r w:rsidRPr="00477043">
              <w:rPr>
                <w:rFonts w:ascii="Arial" w:hAnsi="Arial" w:cs="Arial"/>
                <w:sz w:val="24"/>
                <w:szCs w:val="24"/>
              </w:rPr>
              <w:t>Reaction Paper 2 Due</w:t>
            </w:r>
          </w:p>
        </w:tc>
      </w:tr>
      <w:tr w:rsidR="001D6E7B" w:rsidRPr="00477043" w14:paraId="02A493F4" w14:textId="77777777" w:rsidTr="00246274">
        <w:tc>
          <w:tcPr>
            <w:tcW w:w="805" w:type="dxa"/>
          </w:tcPr>
          <w:p w14:paraId="6A80703E" w14:textId="0F98FD36" w:rsidR="001D6E7B" w:rsidRPr="00477043" w:rsidRDefault="001D6E7B" w:rsidP="001D6E7B">
            <w:pPr>
              <w:spacing w:line="240" w:lineRule="auto"/>
              <w:rPr>
                <w:rFonts w:ascii="Arial" w:hAnsi="Arial" w:cs="Arial"/>
                <w:sz w:val="24"/>
                <w:szCs w:val="24"/>
              </w:rPr>
            </w:pPr>
            <w:r>
              <w:rPr>
                <w:rFonts w:ascii="Arial" w:hAnsi="Arial" w:cs="Arial"/>
                <w:sz w:val="24"/>
                <w:szCs w:val="24"/>
              </w:rPr>
              <w:t>4/</w:t>
            </w:r>
            <w:r w:rsidR="00F122C0">
              <w:rPr>
                <w:rFonts w:ascii="Arial" w:hAnsi="Arial" w:cs="Arial"/>
                <w:sz w:val="24"/>
                <w:szCs w:val="24"/>
              </w:rPr>
              <w:t>23</w:t>
            </w:r>
          </w:p>
        </w:tc>
        <w:tc>
          <w:tcPr>
            <w:tcW w:w="2610" w:type="dxa"/>
          </w:tcPr>
          <w:p w14:paraId="5C5EFA20" w14:textId="6414EA48" w:rsidR="001D6E7B" w:rsidRPr="00477043" w:rsidRDefault="001D6E7B" w:rsidP="001D6E7B">
            <w:pPr>
              <w:spacing w:line="240" w:lineRule="auto"/>
              <w:rPr>
                <w:rFonts w:ascii="Arial" w:hAnsi="Arial" w:cs="Arial"/>
                <w:sz w:val="24"/>
                <w:szCs w:val="24"/>
              </w:rPr>
            </w:pPr>
            <w:r>
              <w:rPr>
                <w:rFonts w:ascii="Arial" w:hAnsi="Arial" w:cs="Arial"/>
                <w:sz w:val="24"/>
                <w:szCs w:val="24"/>
              </w:rPr>
              <w:t xml:space="preserve">Wrap-up Discussions &amp; Activities </w:t>
            </w:r>
            <w:r w:rsidRPr="00477043">
              <w:rPr>
                <w:rFonts w:ascii="Arial" w:hAnsi="Arial" w:cs="Arial"/>
                <w:sz w:val="24"/>
                <w:szCs w:val="24"/>
              </w:rPr>
              <w:t xml:space="preserve"> </w:t>
            </w:r>
          </w:p>
        </w:tc>
        <w:tc>
          <w:tcPr>
            <w:tcW w:w="2880" w:type="dxa"/>
          </w:tcPr>
          <w:p w14:paraId="1CD4EF9D" w14:textId="116CA8EC" w:rsidR="001D6E7B" w:rsidRPr="00477043" w:rsidRDefault="001D6E7B" w:rsidP="001D6E7B">
            <w:pPr>
              <w:spacing w:line="240" w:lineRule="auto"/>
              <w:rPr>
                <w:rFonts w:ascii="Arial" w:hAnsi="Arial" w:cs="Arial"/>
                <w:sz w:val="24"/>
                <w:szCs w:val="24"/>
              </w:rPr>
            </w:pPr>
            <w:r>
              <w:rPr>
                <w:rFonts w:ascii="Arial" w:hAnsi="Arial" w:cs="Arial"/>
                <w:sz w:val="24"/>
                <w:szCs w:val="24"/>
              </w:rPr>
              <w:t xml:space="preserve">Vandrick </w:t>
            </w:r>
          </w:p>
        </w:tc>
        <w:tc>
          <w:tcPr>
            <w:tcW w:w="2204" w:type="dxa"/>
          </w:tcPr>
          <w:p w14:paraId="2FF91B99" w14:textId="41A2A256" w:rsidR="001D6E7B" w:rsidRPr="00477043" w:rsidRDefault="001D6E7B" w:rsidP="001D6E7B">
            <w:pPr>
              <w:spacing w:line="240" w:lineRule="auto"/>
              <w:rPr>
                <w:rFonts w:ascii="Arial" w:hAnsi="Arial" w:cs="Arial"/>
                <w:sz w:val="24"/>
                <w:szCs w:val="24"/>
              </w:rPr>
            </w:pPr>
            <w:r w:rsidRPr="00477043">
              <w:rPr>
                <w:rFonts w:ascii="Arial" w:hAnsi="Arial" w:cs="Arial"/>
                <w:sz w:val="24"/>
                <w:szCs w:val="24"/>
              </w:rPr>
              <w:t>Bo</w:t>
            </w:r>
            <w:r w:rsidR="00140D97">
              <w:rPr>
                <w:rFonts w:ascii="Arial" w:hAnsi="Arial" w:cs="Arial"/>
                <w:sz w:val="24"/>
                <w:szCs w:val="24"/>
              </w:rPr>
              <w:t>undary</w:t>
            </w:r>
            <w:r w:rsidRPr="00477043">
              <w:rPr>
                <w:rFonts w:ascii="Arial" w:hAnsi="Arial" w:cs="Arial"/>
                <w:sz w:val="24"/>
                <w:szCs w:val="24"/>
              </w:rPr>
              <w:t xml:space="preserve"> Crossing Activity Due</w:t>
            </w:r>
          </w:p>
        </w:tc>
      </w:tr>
      <w:tr w:rsidR="001D6E7B" w:rsidRPr="00477043" w14:paraId="2F234D67" w14:textId="77777777" w:rsidTr="00246274">
        <w:tc>
          <w:tcPr>
            <w:tcW w:w="805" w:type="dxa"/>
          </w:tcPr>
          <w:p w14:paraId="7ECCA32C" w14:textId="6A90C908" w:rsidR="001D6E7B" w:rsidRPr="00477043" w:rsidRDefault="001D6E7B" w:rsidP="001D6E7B">
            <w:pPr>
              <w:spacing w:line="240" w:lineRule="auto"/>
              <w:rPr>
                <w:rFonts w:ascii="Arial" w:hAnsi="Arial" w:cs="Arial"/>
                <w:sz w:val="24"/>
                <w:szCs w:val="24"/>
              </w:rPr>
            </w:pPr>
          </w:p>
        </w:tc>
        <w:tc>
          <w:tcPr>
            <w:tcW w:w="2610" w:type="dxa"/>
          </w:tcPr>
          <w:p w14:paraId="0B9CBD49" w14:textId="3A5746EA" w:rsidR="001D6E7B" w:rsidRPr="00477043" w:rsidRDefault="001D6E7B" w:rsidP="001D6E7B">
            <w:pPr>
              <w:spacing w:line="240" w:lineRule="auto"/>
              <w:rPr>
                <w:rFonts w:ascii="Arial" w:hAnsi="Arial" w:cs="Arial"/>
                <w:sz w:val="24"/>
                <w:szCs w:val="24"/>
              </w:rPr>
            </w:pPr>
          </w:p>
        </w:tc>
        <w:tc>
          <w:tcPr>
            <w:tcW w:w="2880" w:type="dxa"/>
          </w:tcPr>
          <w:p w14:paraId="17164C19" w14:textId="61ACB98D" w:rsidR="001D6E7B" w:rsidRPr="00477043" w:rsidRDefault="001D6E7B" w:rsidP="001D6E7B">
            <w:pPr>
              <w:spacing w:line="240" w:lineRule="auto"/>
              <w:rPr>
                <w:rFonts w:ascii="Arial" w:hAnsi="Arial" w:cs="Arial"/>
                <w:sz w:val="24"/>
                <w:szCs w:val="24"/>
              </w:rPr>
            </w:pPr>
          </w:p>
        </w:tc>
        <w:tc>
          <w:tcPr>
            <w:tcW w:w="2204" w:type="dxa"/>
          </w:tcPr>
          <w:p w14:paraId="4D7225DC" w14:textId="19EAD9A8" w:rsidR="001D6E7B" w:rsidRPr="00477043" w:rsidRDefault="001D6E7B" w:rsidP="001D6E7B">
            <w:pPr>
              <w:spacing w:line="240" w:lineRule="auto"/>
              <w:rPr>
                <w:rFonts w:ascii="Arial" w:hAnsi="Arial" w:cs="Arial"/>
                <w:sz w:val="24"/>
                <w:szCs w:val="24"/>
              </w:rPr>
            </w:pPr>
          </w:p>
        </w:tc>
      </w:tr>
    </w:tbl>
    <w:p w14:paraId="785D3225" w14:textId="367ACC48" w:rsidR="00D545EA" w:rsidRPr="00477043" w:rsidRDefault="00246274" w:rsidP="00D545EA">
      <w:pPr>
        <w:rPr>
          <w:rFonts w:ascii="Arial" w:hAnsi="Arial" w:cs="Arial"/>
          <w:sz w:val="24"/>
          <w:szCs w:val="24"/>
        </w:rPr>
      </w:pPr>
      <w:r>
        <w:rPr>
          <w:rFonts w:ascii="Arial" w:hAnsi="Arial" w:cs="Arial"/>
          <w:sz w:val="24"/>
          <w:szCs w:val="24"/>
        </w:rPr>
        <w:br w:type="textWrapping" w:clear="all"/>
      </w:r>
    </w:p>
    <w:p w14:paraId="2A59AB75" w14:textId="77777777"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14:paraId="4D135E47" w14:textId="77777777" w:rsidR="005F6FEF" w:rsidRDefault="00D545EA" w:rsidP="005F6FEF">
      <w:pPr>
        <w:ind w:left="720" w:hanging="720"/>
        <w:rPr>
          <w:rFonts w:ascii="Arial" w:hAnsi="Arial" w:cs="Arial"/>
          <w:b/>
          <w:sz w:val="24"/>
          <w:szCs w:val="24"/>
        </w:rPr>
      </w:pPr>
      <w:r w:rsidRPr="00BA7217">
        <w:rPr>
          <w:rFonts w:ascii="Arial" w:hAnsi="Arial" w:cs="Arial"/>
          <w:b/>
          <w:sz w:val="24"/>
          <w:szCs w:val="24"/>
        </w:rPr>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005F6FEF" w:rsidRPr="005F6FEF">
        <w:rPr>
          <w:rStyle w:val="a-size-base"/>
          <w:rFonts w:ascii="Arial" w:hAnsi="Arial" w:cs="Arial"/>
          <w:b/>
          <w:color w:val="111111"/>
          <w:sz w:val="24"/>
          <w:szCs w:val="24"/>
          <w:shd w:val="clear" w:color="auto" w:fill="FFFFFF"/>
        </w:rPr>
        <w:t>ISBN-10:</w:t>
      </w:r>
      <w:r w:rsidR="005F6FEF" w:rsidRPr="005F6FEF">
        <w:rPr>
          <w:rStyle w:val="apple-converted-space"/>
          <w:rFonts w:ascii="Arial" w:hAnsi="Arial" w:cs="Arial"/>
          <w:b/>
          <w:color w:val="111111"/>
          <w:sz w:val="24"/>
          <w:szCs w:val="24"/>
          <w:shd w:val="clear" w:color="auto" w:fill="FFFFFF"/>
        </w:rPr>
        <w:t> </w:t>
      </w:r>
      <w:r w:rsidR="005F6FEF" w:rsidRPr="005F6FEF">
        <w:rPr>
          <w:rStyle w:val="a-size-base"/>
          <w:rFonts w:ascii="Arial" w:hAnsi="Arial" w:cs="Arial"/>
          <w:b/>
          <w:color w:val="111111"/>
          <w:sz w:val="24"/>
          <w:szCs w:val="24"/>
          <w:shd w:val="clear" w:color="auto" w:fill="FFFFFF"/>
        </w:rPr>
        <w:t>1285444620</w:t>
      </w:r>
    </w:p>
    <w:p w14:paraId="7B149B29" w14:textId="77777777" w:rsidR="005F6FEF" w:rsidRPr="005F6FEF" w:rsidRDefault="00D545EA" w:rsidP="005F6FEF">
      <w:pPr>
        <w:ind w:left="720" w:hanging="720"/>
        <w:rPr>
          <w:rFonts w:ascii="Arial" w:hAnsi="Arial" w:cs="Arial"/>
          <w:b/>
          <w:sz w:val="24"/>
          <w:szCs w:val="24"/>
        </w:rPr>
      </w:pPr>
      <w:r w:rsidRPr="00BA7217">
        <w:rPr>
          <w:rFonts w:ascii="Arial" w:hAnsi="Arial" w:cs="Arial"/>
          <w:b/>
          <w:sz w:val="24"/>
          <w:szCs w:val="24"/>
        </w:rPr>
        <w:t>Hutner, G. (Ed).  (2015</w:t>
      </w:r>
      <w:r w:rsidRPr="00BA7217">
        <w:rPr>
          <w:rFonts w:ascii="Arial" w:hAnsi="Arial" w:cs="Arial"/>
          <w:b/>
          <w:i/>
          <w:sz w:val="24"/>
          <w:szCs w:val="24"/>
        </w:rPr>
        <w:t>).  Immigrant Voices Volume II</w:t>
      </w:r>
      <w:r w:rsidRPr="00BA7217">
        <w:rPr>
          <w:rFonts w:ascii="Arial" w:hAnsi="Arial" w:cs="Arial"/>
          <w:b/>
          <w:sz w:val="24"/>
          <w:szCs w:val="24"/>
        </w:rPr>
        <w:t xml:space="preserve">.  New York: New American Library. </w:t>
      </w:r>
      <w:r w:rsidR="005F6FEF" w:rsidRPr="005F6FEF">
        <w:rPr>
          <w:rFonts w:ascii="Arial" w:eastAsia="Times New Roman" w:hAnsi="Arial" w:cs="Arial"/>
          <w:b/>
          <w:bCs/>
          <w:color w:val="333333"/>
          <w:sz w:val="24"/>
          <w:szCs w:val="24"/>
        </w:rPr>
        <w:t>ISBN-10:</w:t>
      </w:r>
      <w:r w:rsidR="005F6FEF" w:rsidRPr="005F6FEF">
        <w:rPr>
          <w:rFonts w:ascii="Arial" w:eastAsia="Times New Roman" w:hAnsi="Arial" w:cs="Arial"/>
          <w:b/>
          <w:color w:val="333333"/>
          <w:sz w:val="24"/>
          <w:szCs w:val="24"/>
        </w:rPr>
        <w:t> 0451472810</w:t>
      </w:r>
    </w:p>
    <w:p w14:paraId="60917E23" w14:textId="77777777" w:rsidR="00D545EA" w:rsidRPr="005F6FEF" w:rsidRDefault="00D545EA" w:rsidP="00FD3AB4">
      <w:pPr>
        <w:ind w:left="720" w:hanging="720"/>
        <w:rPr>
          <w:rFonts w:ascii="Arial" w:hAnsi="Arial" w:cs="Arial"/>
          <w:b/>
          <w:sz w:val="24"/>
          <w:szCs w:val="24"/>
        </w:rPr>
      </w:pPr>
    </w:p>
    <w:p w14:paraId="48A0E380" w14:textId="77777777" w:rsidR="00D545EA" w:rsidRPr="00BA7217" w:rsidRDefault="00D545EA" w:rsidP="00FD3AB4">
      <w:pPr>
        <w:ind w:left="720" w:hanging="720"/>
        <w:rPr>
          <w:rFonts w:ascii="Arial" w:hAnsi="Arial" w:cs="Arial"/>
          <w:b/>
          <w:sz w:val="24"/>
          <w:szCs w:val="24"/>
        </w:rPr>
      </w:pPr>
    </w:p>
    <w:p w14:paraId="5F4476B8" w14:textId="77777777" w:rsidR="00D545EA" w:rsidRPr="00BA7217" w:rsidRDefault="00FD3AB4" w:rsidP="00D545EA">
      <w:pPr>
        <w:rPr>
          <w:rFonts w:ascii="Arial" w:hAnsi="Arial" w:cs="Arial"/>
          <w:b/>
          <w:sz w:val="24"/>
          <w:szCs w:val="24"/>
        </w:rPr>
      </w:pPr>
      <w:r w:rsidRPr="00BA7217">
        <w:rPr>
          <w:rFonts w:ascii="Arial" w:hAnsi="Arial" w:cs="Arial"/>
          <w:b/>
          <w:sz w:val="24"/>
          <w:szCs w:val="24"/>
        </w:rPr>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14:paraId="608B6D26" w14:textId="77777777"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14:paraId="5FE731C1" w14:textId="77777777" w:rsidR="00515F8F" w:rsidRDefault="00515F8F" w:rsidP="00FD3AB4">
      <w:pPr>
        <w:ind w:left="720" w:hanging="720"/>
        <w:rPr>
          <w:rFonts w:ascii="Arial" w:hAnsi="Arial" w:cs="Arial"/>
          <w:bCs/>
          <w:sz w:val="24"/>
          <w:szCs w:val="24"/>
        </w:rPr>
      </w:pPr>
      <w:r>
        <w:rPr>
          <w:rFonts w:ascii="Arial" w:hAnsi="Arial" w:cs="Arial"/>
          <w:bCs/>
          <w:sz w:val="24"/>
          <w:szCs w:val="24"/>
        </w:rPr>
        <w:t xml:space="preserve">Cervantes, R. C. &amp; Shelby, T. M. (2013). Chapter 9 Mental health issues for immigrant adolescents: Research &amp; practice. In E. L Grigorienko (ed.) </w:t>
      </w:r>
      <w:r w:rsidR="002E1ED2" w:rsidRPr="002E1ED2">
        <w:rPr>
          <w:rFonts w:ascii="Arial" w:hAnsi="Arial" w:cs="Arial"/>
          <w:bCs/>
          <w:i/>
          <w:sz w:val="24"/>
          <w:szCs w:val="24"/>
        </w:rPr>
        <w:t>US immigration and education: Cultural and policy issues across the lifespan</w:t>
      </w:r>
      <w:r w:rsidR="002E1ED2">
        <w:rPr>
          <w:rFonts w:ascii="Arial" w:hAnsi="Arial" w:cs="Arial"/>
          <w:bCs/>
          <w:sz w:val="24"/>
          <w:szCs w:val="24"/>
        </w:rPr>
        <w:t xml:space="preserve"> </w:t>
      </w:r>
      <w:r>
        <w:rPr>
          <w:rFonts w:ascii="Arial" w:hAnsi="Arial" w:cs="Arial"/>
          <w:bCs/>
          <w:sz w:val="24"/>
          <w:szCs w:val="24"/>
        </w:rPr>
        <w:t xml:space="preserve">(pp. 163-178). New York: Springer. </w:t>
      </w:r>
    </w:p>
    <w:p w14:paraId="1C2C1F40" w14:textId="023CF5EF" w:rsidR="00E77464" w:rsidRDefault="00E77464" w:rsidP="00FD3AB4">
      <w:pPr>
        <w:ind w:left="720" w:hanging="720"/>
        <w:rPr>
          <w:rFonts w:ascii="Arial" w:hAnsi="Arial" w:cs="Arial"/>
          <w:bCs/>
          <w:sz w:val="24"/>
          <w:szCs w:val="24"/>
        </w:rPr>
      </w:pPr>
      <w:r w:rsidRPr="00E77464">
        <w:rPr>
          <w:rFonts w:ascii="Arial" w:hAnsi="Arial" w:cs="Arial"/>
          <w:bCs/>
          <w:sz w:val="24"/>
          <w:szCs w:val="24"/>
        </w:rPr>
        <w:lastRenderedPageBreak/>
        <w:t xml:space="preserve">Compton-Lilly, C., Papoi, K., Venegas, P., Hamman, L., &amp; Schwabenbauer, B. (2017). Intersectional </w:t>
      </w:r>
      <w:r>
        <w:rPr>
          <w:rFonts w:ascii="Arial" w:hAnsi="Arial" w:cs="Arial"/>
          <w:bCs/>
          <w:sz w:val="24"/>
          <w:szCs w:val="24"/>
        </w:rPr>
        <w:t>i</w:t>
      </w:r>
      <w:r w:rsidRPr="00E77464">
        <w:rPr>
          <w:rFonts w:ascii="Arial" w:hAnsi="Arial" w:cs="Arial"/>
          <w:bCs/>
          <w:sz w:val="24"/>
          <w:szCs w:val="24"/>
        </w:rPr>
        <w:t xml:space="preserve">dentity </w:t>
      </w:r>
      <w:r>
        <w:rPr>
          <w:rFonts w:ascii="Arial" w:hAnsi="Arial" w:cs="Arial"/>
          <w:bCs/>
          <w:sz w:val="24"/>
          <w:szCs w:val="24"/>
        </w:rPr>
        <w:t>n</w:t>
      </w:r>
      <w:r w:rsidRPr="00E77464">
        <w:rPr>
          <w:rFonts w:ascii="Arial" w:hAnsi="Arial" w:cs="Arial"/>
          <w:bCs/>
          <w:sz w:val="24"/>
          <w:szCs w:val="24"/>
        </w:rPr>
        <w:t xml:space="preserve">egotiation: The </w:t>
      </w:r>
      <w:r>
        <w:rPr>
          <w:rFonts w:ascii="Arial" w:hAnsi="Arial" w:cs="Arial"/>
          <w:bCs/>
          <w:sz w:val="24"/>
          <w:szCs w:val="24"/>
        </w:rPr>
        <w:t>c</w:t>
      </w:r>
      <w:r w:rsidRPr="00E77464">
        <w:rPr>
          <w:rFonts w:ascii="Arial" w:hAnsi="Arial" w:cs="Arial"/>
          <w:bCs/>
          <w:sz w:val="24"/>
          <w:szCs w:val="24"/>
        </w:rPr>
        <w:t xml:space="preserve">ase of </w:t>
      </w:r>
      <w:r>
        <w:rPr>
          <w:rFonts w:ascii="Arial" w:hAnsi="Arial" w:cs="Arial"/>
          <w:bCs/>
          <w:sz w:val="24"/>
          <w:szCs w:val="24"/>
        </w:rPr>
        <w:t>y</w:t>
      </w:r>
      <w:r w:rsidRPr="00E77464">
        <w:rPr>
          <w:rFonts w:ascii="Arial" w:hAnsi="Arial" w:cs="Arial"/>
          <w:bCs/>
          <w:sz w:val="24"/>
          <w:szCs w:val="24"/>
        </w:rPr>
        <w:t xml:space="preserve">oung </w:t>
      </w:r>
      <w:r>
        <w:rPr>
          <w:rFonts w:ascii="Arial" w:hAnsi="Arial" w:cs="Arial"/>
          <w:bCs/>
          <w:sz w:val="24"/>
          <w:szCs w:val="24"/>
        </w:rPr>
        <w:t>i</w:t>
      </w:r>
      <w:r w:rsidRPr="00E77464">
        <w:rPr>
          <w:rFonts w:ascii="Arial" w:hAnsi="Arial" w:cs="Arial"/>
          <w:bCs/>
          <w:sz w:val="24"/>
          <w:szCs w:val="24"/>
        </w:rPr>
        <w:t xml:space="preserve">mmigrant </w:t>
      </w:r>
      <w:r>
        <w:rPr>
          <w:rFonts w:ascii="Arial" w:hAnsi="Arial" w:cs="Arial"/>
          <w:bCs/>
          <w:sz w:val="24"/>
          <w:szCs w:val="24"/>
        </w:rPr>
        <w:t>c</w:t>
      </w:r>
      <w:r w:rsidRPr="00E77464">
        <w:rPr>
          <w:rFonts w:ascii="Arial" w:hAnsi="Arial" w:cs="Arial"/>
          <w:bCs/>
          <w:sz w:val="24"/>
          <w:szCs w:val="24"/>
        </w:rPr>
        <w:t xml:space="preserve">hildren. </w:t>
      </w:r>
      <w:r w:rsidRPr="00E77464">
        <w:rPr>
          <w:rFonts w:ascii="Arial" w:hAnsi="Arial" w:cs="Arial"/>
          <w:bCs/>
          <w:i/>
          <w:sz w:val="24"/>
          <w:szCs w:val="24"/>
        </w:rPr>
        <w:t>Journal of Literacy Research, 49</w:t>
      </w:r>
      <w:r w:rsidRPr="00E77464">
        <w:rPr>
          <w:rFonts w:ascii="Arial" w:hAnsi="Arial" w:cs="Arial"/>
          <w:bCs/>
          <w:sz w:val="24"/>
          <w:szCs w:val="24"/>
        </w:rPr>
        <w:t>(1), 115-140.</w:t>
      </w:r>
    </w:p>
    <w:p w14:paraId="5308ECF2" w14:textId="77777777" w:rsidR="002545DD" w:rsidRPr="00CF31E5" w:rsidRDefault="002545DD" w:rsidP="002545DD">
      <w:pPr>
        <w:spacing w:line="240" w:lineRule="auto"/>
        <w:rPr>
          <w:rFonts w:ascii="Arial" w:hAnsi="Arial" w:cs="Arial"/>
          <w:i/>
          <w:sz w:val="24"/>
          <w:szCs w:val="24"/>
        </w:rPr>
      </w:pPr>
      <w:r w:rsidRPr="00CF31E5">
        <w:rPr>
          <w:rFonts w:ascii="Arial" w:hAnsi="Arial" w:cs="Arial"/>
          <w:sz w:val="24"/>
          <w:szCs w:val="24"/>
        </w:rPr>
        <w:t xml:space="preserve">Corbett, J. (2003). Implementing an </w:t>
      </w:r>
      <w:r>
        <w:rPr>
          <w:rFonts w:ascii="Arial" w:hAnsi="Arial" w:cs="Arial"/>
          <w:sz w:val="24"/>
          <w:szCs w:val="24"/>
        </w:rPr>
        <w:t>i</w:t>
      </w:r>
      <w:r w:rsidRPr="00CF31E5">
        <w:rPr>
          <w:rFonts w:ascii="Arial" w:hAnsi="Arial" w:cs="Arial"/>
          <w:sz w:val="24"/>
          <w:szCs w:val="24"/>
        </w:rPr>
        <w:t xml:space="preserve">ntercultural </w:t>
      </w:r>
      <w:r>
        <w:rPr>
          <w:rFonts w:ascii="Arial" w:hAnsi="Arial" w:cs="Arial"/>
          <w:sz w:val="24"/>
          <w:szCs w:val="24"/>
        </w:rPr>
        <w:t>a</w:t>
      </w:r>
      <w:r w:rsidRPr="00CF31E5">
        <w:rPr>
          <w:rFonts w:ascii="Arial" w:hAnsi="Arial" w:cs="Arial"/>
          <w:sz w:val="24"/>
          <w:szCs w:val="24"/>
        </w:rPr>
        <w:t xml:space="preserve">pproach. In </w:t>
      </w:r>
      <w:r w:rsidRPr="00CF31E5">
        <w:rPr>
          <w:rFonts w:ascii="Arial" w:hAnsi="Arial" w:cs="Arial"/>
          <w:i/>
          <w:sz w:val="24"/>
          <w:szCs w:val="24"/>
        </w:rPr>
        <w:t xml:space="preserve">An Intercultural Approach </w:t>
      </w:r>
    </w:p>
    <w:p w14:paraId="77B381DA" w14:textId="213F21CA" w:rsidR="002545DD" w:rsidRPr="002545DD" w:rsidRDefault="002545DD" w:rsidP="002545DD">
      <w:pPr>
        <w:spacing w:line="240" w:lineRule="auto"/>
        <w:ind w:firstLine="720"/>
        <w:rPr>
          <w:rFonts w:ascii="Arial" w:hAnsi="Arial" w:cs="Arial"/>
          <w:sz w:val="24"/>
          <w:szCs w:val="24"/>
          <w:highlight w:val="yellow"/>
        </w:rPr>
      </w:pPr>
      <w:r w:rsidRPr="00CF31E5">
        <w:rPr>
          <w:rFonts w:ascii="Arial" w:hAnsi="Arial" w:cs="Arial"/>
          <w:i/>
          <w:sz w:val="24"/>
          <w:szCs w:val="24"/>
        </w:rPr>
        <w:t xml:space="preserve">to English Language Teaching (pp.31-46). </w:t>
      </w:r>
      <w:r w:rsidRPr="00CF31E5">
        <w:rPr>
          <w:rFonts w:ascii="Arial" w:hAnsi="Arial" w:cs="Arial"/>
          <w:sz w:val="24"/>
          <w:szCs w:val="24"/>
        </w:rPr>
        <w:t>Tonawanda, NY: Multilingual Matters</w:t>
      </w:r>
      <w:r>
        <w:rPr>
          <w:rFonts w:ascii="Arial" w:hAnsi="Arial" w:cs="Arial"/>
          <w:sz w:val="24"/>
          <w:szCs w:val="24"/>
        </w:rPr>
        <w:t>.</w:t>
      </w:r>
    </w:p>
    <w:p w14:paraId="436CA8FB" w14:textId="56733103" w:rsidR="00B069DD" w:rsidRDefault="00B069DD" w:rsidP="00FD3AB4">
      <w:pPr>
        <w:ind w:left="720" w:hanging="720"/>
        <w:rPr>
          <w:rFonts w:ascii="Arial" w:hAnsi="Arial" w:cs="Arial"/>
          <w:bCs/>
          <w:sz w:val="24"/>
          <w:szCs w:val="24"/>
        </w:rPr>
      </w:pPr>
      <w:r>
        <w:rPr>
          <w:rFonts w:ascii="Arial" w:hAnsi="Arial" w:cs="Arial"/>
          <w:bCs/>
          <w:sz w:val="24"/>
          <w:szCs w:val="24"/>
        </w:rPr>
        <w:t>DeCapua, A. &amp; Wintergerst,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14:paraId="3A9B864B" w14:textId="77777777" w:rsidR="00E40E4D" w:rsidRDefault="00E40E4D" w:rsidP="00FD3AB4">
      <w:pPr>
        <w:ind w:left="720" w:hanging="720"/>
        <w:rPr>
          <w:rFonts w:ascii="Arial" w:hAnsi="Arial" w:cs="Arial"/>
          <w:bCs/>
          <w:sz w:val="24"/>
          <w:szCs w:val="24"/>
        </w:rPr>
      </w:pPr>
      <w:r>
        <w:rPr>
          <w:rFonts w:ascii="Arial" w:hAnsi="Arial" w:cs="Arial"/>
          <w:bCs/>
          <w:sz w:val="24"/>
          <w:szCs w:val="24"/>
        </w:rPr>
        <w:t xml:space="preserve">Gay, G. (2010). Chapter 2.  Pedagogical potential of cultural responsiveness. In </w:t>
      </w:r>
      <w:r w:rsidRPr="00E40E4D">
        <w:rPr>
          <w:rFonts w:ascii="Arial" w:hAnsi="Arial" w:cs="Arial"/>
          <w:bCs/>
          <w:i/>
          <w:sz w:val="24"/>
          <w:szCs w:val="24"/>
        </w:rPr>
        <w:t>Culturally Responsive Teaching</w:t>
      </w:r>
      <w:r>
        <w:rPr>
          <w:rFonts w:ascii="Arial" w:hAnsi="Arial" w:cs="Arial"/>
          <w:bCs/>
          <w:i/>
          <w:sz w:val="24"/>
          <w:szCs w:val="24"/>
        </w:rPr>
        <w:t>, 2</w:t>
      </w:r>
      <w:r w:rsidRPr="00E40E4D">
        <w:rPr>
          <w:rFonts w:ascii="Arial" w:hAnsi="Arial" w:cs="Arial"/>
          <w:bCs/>
          <w:i/>
          <w:sz w:val="24"/>
          <w:szCs w:val="24"/>
          <w:vertAlign w:val="superscript"/>
        </w:rPr>
        <w:t>nd</w:t>
      </w:r>
      <w:r>
        <w:rPr>
          <w:rFonts w:ascii="Arial" w:hAnsi="Arial" w:cs="Arial"/>
          <w:bCs/>
          <w:i/>
          <w:sz w:val="24"/>
          <w:szCs w:val="24"/>
        </w:rPr>
        <w:t xml:space="preserve"> ed</w:t>
      </w:r>
      <w:r>
        <w:rPr>
          <w:rFonts w:ascii="Arial" w:hAnsi="Arial" w:cs="Arial"/>
          <w:bCs/>
          <w:sz w:val="24"/>
          <w:szCs w:val="24"/>
        </w:rPr>
        <w:t xml:space="preserve"> (pp. 22-46). New York: Teacher’s College Press. </w:t>
      </w:r>
    </w:p>
    <w:p w14:paraId="7B7BAE4E" w14:textId="77777777"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Gregerson, T.</w:t>
      </w:r>
      <w:r w:rsidR="00E072AD">
        <w:rPr>
          <w:rFonts w:ascii="Arial" w:hAnsi="Arial" w:cs="Arial"/>
          <w:bCs/>
          <w:sz w:val="24"/>
          <w:szCs w:val="24"/>
        </w:rPr>
        <w:t xml:space="preserve"> </w:t>
      </w:r>
      <w:r w:rsidRPr="00BA7217">
        <w:rPr>
          <w:rFonts w:ascii="Arial" w:hAnsi="Arial" w:cs="Arial"/>
          <w:bCs/>
          <w:sz w:val="24"/>
          <w:szCs w:val="24"/>
        </w:rPr>
        <w:t xml:space="preserve">(2007).  Language learning beyond words: Incorporating body language into classroom activities.  </w:t>
      </w:r>
      <w:r w:rsidRPr="00BA7217">
        <w:rPr>
          <w:rFonts w:ascii="Arial" w:hAnsi="Arial" w:cs="Arial"/>
          <w:bCs/>
          <w:i/>
          <w:sz w:val="24"/>
          <w:szCs w:val="24"/>
        </w:rPr>
        <w:t>Reflections on English Language Teaching, 6</w:t>
      </w:r>
      <w:r w:rsidRPr="00BA7217">
        <w:rPr>
          <w:rFonts w:ascii="Arial" w:hAnsi="Arial" w:cs="Arial"/>
          <w:bCs/>
          <w:sz w:val="24"/>
          <w:szCs w:val="24"/>
        </w:rPr>
        <w:t xml:space="preserve"> (1),  51-64</w:t>
      </w:r>
    </w:p>
    <w:p w14:paraId="52DAD5FA" w14:textId="77777777"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 xml:space="preserve">Guo, Y. (2011). Beyond deficit paradigms: Exploring informal learning of immigrant parents. </w:t>
      </w:r>
      <w:r w:rsidRPr="00BA7217">
        <w:rPr>
          <w:rFonts w:ascii="Arial" w:hAnsi="Arial" w:cs="Arial"/>
          <w:bCs/>
          <w:i/>
          <w:sz w:val="24"/>
          <w:szCs w:val="24"/>
        </w:rPr>
        <w:t xml:space="preserve">The Canadian Journal for the Study of Adult Education, 24 </w:t>
      </w:r>
      <w:r w:rsidRPr="00BA7217">
        <w:rPr>
          <w:rFonts w:ascii="Arial" w:hAnsi="Arial" w:cs="Arial"/>
          <w:bCs/>
          <w:sz w:val="24"/>
          <w:szCs w:val="24"/>
        </w:rPr>
        <w:t xml:space="preserve">(1), 45-59. </w:t>
      </w:r>
    </w:p>
    <w:p w14:paraId="0019C722" w14:textId="77777777" w:rsidR="00D545EA"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G. (2015). Chapter 2 Biography driven instruction. In Biography driven culturally responsive teaching (pp. 16-28). New York: Teacher’s College Press. </w:t>
      </w:r>
    </w:p>
    <w:p w14:paraId="2E29379B" w14:textId="77777777" w:rsidR="003A0595" w:rsidRDefault="00ED1B1F" w:rsidP="00A0769D">
      <w:pPr>
        <w:ind w:left="720" w:hanging="720"/>
        <w:rPr>
          <w:rFonts w:ascii="Arial" w:hAnsi="Arial" w:cs="Arial"/>
          <w:bCs/>
          <w:sz w:val="24"/>
          <w:szCs w:val="24"/>
        </w:rPr>
      </w:pPr>
      <w:r>
        <w:rPr>
          <w:rFonts w:ascii="Arial" w:hAnsi="Arial" w:cs="Arial"/>
          <w:bCs/>
          <w:sz w:val="24"/>
          <w:szCs w:val="24"/>
        </w:rPr>
        <w:t>Martin, J. N.</w:t>
      </w:r>
      <w:r w:rsidR="008E46D6">
        <w:rPr>
          <w:rFonts w:ascii="Arial" w:hAnsi="Arial" w:cs="Arial"/>
          <w:bCs/>
          <w:sz w:val="24"/>
          <w:szCs w:val="24"/>
        </w:rPr>
        <w:t>,</w:t>
      </w:r>
      <w:r>
        <w:rPr>
          <w:rFonts w:ascii="Arial" w:hAnsi="Arial" w:cs="Arial"/>
          <w:bCs/>
          <w:sz w:val="24"/>
          <w:szCs w:val="24"/>
        </w:rPr>
        <w:t xml:space="preserve"> &amp; Nakayama, T. K. (2013).  Chapter 4 History and intercultural communication.  In </w:t>
      </w:r>
      <w:r w:rsidRPr="00E40E4D">
        <w:rPr>
          <w:rFonts w:ascii="Arial" w:hAnsi="Arial" w:cs="Arial"/>
          <w:bCs/>
          <w:i/>
          <w:sz w:val="24"/>
          <w:szCs w:val="24"/>
        </w:rPr>
        <w:t>Intercultural Communication in Contexts</w:t>
      </w:r>
      <w:r>
        <w:rPr>
          <w:rFonts w:ascii="Arial" w:hAnsi="Arial" w:cs="Arial"/>
          <w:bCs/>
          <w:sz w:val="24"/>
          <w:szCs w:val="24"/>
        </w:rPr>
        <w:t xml:space="preserve"> (pp. 126-166).  New York: McGraw-Hill. </w:t>
      </w:r>
    </w:p>
    <w:p w14:paraId="7E4700E8" w14:textId="77777777" w:rsidR="00E65C09" w:rsidRDefault="00D40250" w:rsidP="00196EAD">
      <w:pPr>
        <w:ind w:left="720" w:hanging="720"/>
        <w:rPr>
          <w:rFonts w:ascii="Arial" w:hAnsi="Arial" w:cs="Arial"/>
          <w:sz w:val="24"/>
          <w:szCs w:val="24"/>
        </w:rPr>
      </w:pPr>
      <w:r>
        <w:rPr>
          <w:rFonts w:ascii="Arial" w:hAnsi="Arial" w:cs="Arial"/>
          <w:sz w:val="24"/>
          <w:szCs w:val="24"/>
        </w:rPr>
        <w:t>Neuliep, J. W. (2015). Chapter 10</w:t>
      </w:r>
      <w:r w:rsidR="00E65C09">
        <w:rPr>
          <w:rFonts w:ascii="Arial" w:hAnsi="Arial" w:cs="Arial"/>
          <w:sz w:val="24"/>
          <w:szCs w:val="24"/>
        </w:rPr>
        <w:t xml:space="preserve"> Cultural conflict. In </w:t>
      </w:r>
      <w:r w:rsidR="00A0769D">
        <w:rPr>
          <w:rFonts w:ascii="Arial" w:hAnsi="Arial" w:cs="Arial"/>
          <w:i/>
          <w:sz w:val="24"/>
          <w:szCs w:val="24"/>
        </w:rPr>
        <w:t>Intercultural c</w:t>
      </w:r>
      <w:r w:rsidR="00E65C09" w:rsidRPr="00196EAD">
        <w:rPr>
          <w:rFonts w:ascii="Arial" w:hAnsi="Arial" w:cs="Arial"/>
          <w:i/>
          <w:sz w:val="24"/>
          <w:szCs w:val="24"/>
        </w:rPr>
        <w:t>ommunicat</w:t>
      </w:r>
      <w:r w:rsidR="00196EAD" w:rsidRPr="00196EAD">
        <w:rPr>
          <w:rFonts w:ascii="Arial" w:hAnsi="Arial" w:cs="Arial"/>
          <w:i/>
          <w:sz w:val="24"/>
          <w:szCs w:val="24"/>
        </w:rPr>
        <w:t>ion: A contextual approach</w:t>
      </w:r>
      <w:r w:rsidR="00196EAD">
        <w:rPr>
          <w:rFonts w:ascii="Arial" w:hAnsi="Arial" w:cs="Arial"/>
          <w:sz w:val="24"/>
          <w:szCs w:val="24"/>
        </w:rPr>
        <w:t xml:space="preserve"> (pp. 373-398).  Thousand Oaks, CA: Sage.  </w:t>
      </w:r>
    </w:p>
    <w:p w14:paraId="04FACF0D" w14:textId="77777777" w:rsidR="00D545EA" w:rsidRDefault="004A73E7" w:rsidP="004A73E7">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ontext of Multicultural Education 6th ed</w:t>
      </w:r>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p>
    <w:p w14:paraId="18EE020B" w14:textId="7D4D291A" w:rsidR="005E4AAE" w:rsidRDefault="005E4AAE" w:rsidP="005E4AAE">
      <w:pPr>
        <w:ind w:left="720" w:hanging="720"/>
        <w:rPr>
          <w:rFonts w:ascii="Arial" w:hAnsi="Arial" w:cs="Arial"/>
          <w:sz w:val="24"/>
          <w:szCs w:val="24"/>
        </w:rPr>
      </w:pPr>
      <w:r w:rsidRPr="005E4AAE">
        <w:rPr>
          <w:rFonts w:ascii="Arial" w:hAnsi="Arial" w:cs="Arial"/>
          <w:sz w:val="24"/>
          <w:szCs w:val="24"/>
        </w:rPr>
        <w:t xml:space="preserve">Qin- Hilliard, D. B. (2003). Gendered </w:t>
      </w:r>
      <w:r w:rsidRPr="00D93933">
        <w:rPr>
          <w:rFonts w:ascii="Arial" w:hAnsi="Arial" w:cs="Arial"/>
          <w:sz w:val="24"/>
          <w:szCs w:val="24"/>
        </w:rPr>
        <w:t>expectations and gendered experiences: Immigrant students’ adaptation in schools</w:t>
      </w:r>
      <w:r w:rsidRPr="00D93933">
        <w:rPr>
          <w:rFonts w:ascii="Arial" w:hAnsi="Arial" w:cs="Arial"/>
          <w:i/>
          <w:sz w:val="24"/>
          <w:szCs w:val="24"/>
        </w:rPr>
        <w:t>. New Directions for Youth Development</w:t>
      </w:r>
      <w:r w:rsidR="00D93933" w:rsidRPr="00D93933">
        <w:rPr>
          <w:rFonts w:ascii="Arial" w:hAnsi="Arial" w:cs="Arial"/>
          <w:i/>
          <w:sz w:val="24"/>
          <w:szCs w:val="24"/>
        </w:rPr>
        <w:t>,</w:t>
      </w:r>
      <w:r w:rsidR="00D93933">
        <w:rPr>
          <w:rFonts w:ascii="Arial" w:hAnsi="Arial" w:cs="Arial"/>
          <w:sz w:val="24"/>
          <w:szCs w:val="24"/>
        </w:rPr>
        <w:t xml:space="preserve"> 100, </w:t>
      </w:r>
      <w:r w:rsidRPr="005E4AAE">
        <w:rPr>
          <w:rFonts w:ascii="Arial" w:hAnsi="Arial" w:cs="Arial"/>
          <w:sz w:val="24"/>
          <w:szCs w:val="24"/>
        </w:rPr>
        <w:t>91-109.</w:t>
      </w:r>
    </w:p>
    <w:p w14:paraId="24E5E87C" w14:textId="0D0F243D" w:rsidR="00826D9C" w:rsidRDefault="00826D9C" w:rsidP="004A73E7">
      <w:pPr>
        <w:ind w:left="720" w:hanging="720"/>
        <w:rPr>
          <w:rFonts w:ascii="Arial" w:hAnsi="Arial" w:cs="Arial"/>
          <w:sz w:val="24"/>
          <w:szCs w:val="24"/>
        </w:rPr>
      </w:pPr>
      <w:r>
        <w:rPr>
          <w:rFonts w:ascii="Arial" w:hAnsi="Arial" w:cs="Arial"/>
          <w:sz w:val="24"/>
          <w:szCs w:val="24"/>
        </w:rPr>
        <w:t xml:space="preserve">Ting-Toomey, S. &amp; Chung, L.L. (2011). Chapter 8: What causes us to hold biases against outgroups?  In </w:t>
      </w:r>
      <w:r w:rsidRPr="00643FC6">
        <w:rPr>
          <w:rFonts w:ascii="Arial" w:hAnsi="Arial" w:cs="Arial"/>
          <w:i/>
          <w:sz w:val="24"/>
          <w:szCs w:val="24"/>
        </w:rPr>
        <w:t>Understanding In</w:t>
      </w:r>
      <w:r w:rsidR="00514EAD" w:rsidRPr="00643FC6">
        <w:rPr>
          <w:rFonts w:ascii="Arial" w:hAnsi="Arial" w:cs="Arial"/>
          <w:i/>
          <w:sz w:val="24"/>
          <w:szCs w:val="24"/>
        </w:rPr>
        <w:t>tercultural Communication</w:t>
      </w:r>
      <w:r w:rsidR="00514EAD">
        <w:rPr>
          <w:rFonts w:ascii="Arial" w:hAnsi="Arial" w:cs="Arial"/>
          <w:sz w:val="24"/>
          <w:szCs w:val="24"/>
        </w:rPr>
        <w:t xml:space="preserve"> (pp.157-178</w:t>
      </w:r>
      <w:r>
        <w:rPr>
          <w:rFonts w:ascii="Arial" w:hAnsi="Arial" w:cs="Arial"/>
          <w:sz w:val="24"/>
          <w:szCs w:val="24"/>
        </w:rPr>
        <w:t xml:space="preserve">). New York: Oxford University Press. </w:t>
      </w:r>
    </w:p>
    <w:p w14:paraId="2314B0D2" w14:textId="77777777" w:rsidR="006A12B0" w:rsidRDefault="006A12B0" w:rsidP="004A73E7">
      <w:pPr>
        <w:ind w:left="720" w:hanging="720"/>
        <w:rPr>
          <w:rFonts w:ascii="Arial" w:hAnsi="Arial" w:cs="Arial"/>
          <w:sz w:val="24"/>
          <w:szCs w:val="24"/>
        </w:rPr>
      </w:pPr>
      <w:r>
        <w:rPr>
          <w:rFonts w:ascii="Arial" w:hAnsi="Arial" w:cs="Arial"/>
          <w:sz w:val="24"/>
          <w:szCs w:val="24"/>
        </w:rPr>
        <w:t xml:space="preserve">Vandrick, S. (2015). No “knapsack of Invisible privilege” for ESL university students. </w:t>
      </w:r>
      <w:r w:rsidRPr="006A12B0">
        <w:rPr>
          <w:rFonts w:ascii="Arial" w:hAnsi="Arial" w:cs="Arial"/>
          <w:i/>
          <w:sz w:val="24"/>
          <w:szCs w:val="24"/>
        </w:rPr>
        <w:t>Journal of Language, Identity &amp; Education, 14</w:t>
      </w:r>
      <w:r w:rsidRPr="006A12B0">
        <w:rPr>
          <w:rFonts w:ascii="Arial" w:hAnsi="Arial" w:cs="Arial"/>
          <w:sz w:val="24"/>
          <w:szCs w:val="24"/>
        </w:rPr>
        <w:t>(1), 54-59</w:t>
      </w:r>
    </w:p>
    <w:p w14:paraId="6BD01E9C" w14:textId="77777777" w:rsidR="00CE4C33" w:rsidRPr="00BA7217" w:rsidRDefault="00E65C09" w:rsidP="00E65C09">
      <w:pPr>
        <w:ind w:left="720" w:hanging="720"/>
        <w:rPr>
          <w:rFonts w:ascii="Arial" w:hAnsi="Arial" w:cs="Arial"/>
          <w:sz w:val="24"/>
          <w:szCs w:val="24"/>
        </w:rPr>
      </w:pPr>
      <w:r>
        <w:rPr>
          <w:rFonts w:ascii="Arial" w:hAnsi="Arial" w:cs="Arial"/>
          <w:sz w:val="24"/>
          <w:szCs w:val="24"/>
        </w:rPr>
        <w:lastRenderedPageBreak/>
        <w:t xml:space="preserve">Wintergerst,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14:paraId="2A333AF6" w14:textId="5D2DFACC"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BA7217">
        <w:rPr>
          <w:rFonts w:ascii="Arial" w:hAnsi="Arial" w:cs="Arial"/>
          <w:sz w:val="24"/>
          <w:szCs w:val="24"/>
        </w:rPr>
        <w:t>5</w:t>
      </w:r>
      <w:r w:rsidRPr="00BA7217">
        <w:rPr>
          <w:rFonts w:ascii="Arial" w:hAnsi="Arial" w:cs="Arial"/>
          <w:sz w:val="24"/>
          <w:szCs w:val="24"/>
          <w:shd w:val="clear" w:color="auto" w:fill="D9E2F3" w:themeFill="accent5" w:themeFillTint="33"/>
          <w14:stylisticSets>
            <w14:styleSet w14:id="1"/>
          </w14:stylisticSets>
        </w:rPr>
        <w:t xml:space="preserve">.  </w:t>
      </w:r>
      <w:r w:rsidRPr="00BA7217">
        <w:rPr>
          <w:rStyle w:val="IntenseReference"/>
          <w:rFonts w:ascii="Arial" w:hAnsi="Arial" w:cs="Arial"/>
          <w:sz w:val="24"/>
          <w:szCs w:val="24"/>
          <w:shd w:val="clear" w:color="auto" w:fill="D9E2F3" w:themeFill="accent5" w:themeFillTint="33"/>
          <w14:stylisticSets>
            <w14:styleSet w14:id="1"/>
          </w14:stylisticSets>
        </w:rPr>
        <w:t>Course Student Learning Outcomes</w:t>
      </w:r>
    </w:p>
    <w:p w14:paraId="0A69C59D" w14:textId="77777777"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14:paraId="16CECE23"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14:paraId="16C6CDBD"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14:paraId="63CF87E7"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14:paraId="2B9D8442"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14:paraId="54E79B90"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14:paraId="5447B702"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assimilation and acculturation.</w:t>
      </w:r>
    </w:p>
    <w:p w14:paraId="5E449D71"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14:paraId="0958F077"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14:paraId="340DB4BC"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14:paraId="0CDB704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home/school connections to build partnerships with ELLs’ families (e.g., Parent Leadership Councils (PLC).</w:t>
      </w:r>
    </w:p>
    <w:p w14:paraId="596F47C8"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14:paraId="1D21A464" w14:textId="77777777" w:rsidR="005C4A32" w:rsidRPr="00BA7217" w:rsidRDefault="005C4A32" w:rsidP="005C4A32">
      <w:pPr>
        <w:rPr>
          <w:rFonts w:ascii="Arial" w:hAnsi="Arial" w:cs="Arial"/>
          <w:bCs/>
          <w:sz w:val="24"/>
          <w:szCs w:val="24"/>
        </w:rPr>
      </w:pPr>
    </w:p>
    <w:p w14:paraId="2EAC56E9" w14:textId="77777777" w:rsidR="00D77B8E" w:rsidRPr="00BA7217" w:rsidRDefault="00D77B8E" w:rsidP="005C4A32">
      <w:pPr>
        <w:rPr>
          <w:rFonts w:ascii="Arial" w:hAnsi="Arial" w:cs="Arial"/>
          <w:bCs/>
          <w:sz w:val="24"/>
          <w:szCs w:val="24"/>
        </w:rPr>
      </w:pPr>
      <w:r w:rsidRPr="00BA7217">
        <w:rPr>
          <w:rFonts w:ascii="Arial" w:hAnsi="Arial" w:cs="Arial"/>
          <w:bCs/>
          <w:sz w:val="24"/>
          <w:szCs w:val="24"/>
        </w:rPr>
        <w:t>6.  Teacher Education Standards Addressed</w:t>
      </w:r>
    </w:p>
    <w:p w14:paraId="248F0688" w14:textId="77777777"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14:paraId="1DFA59BD"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14:paraId="28516255"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14:paraId="553612F8"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ELLs’ learning. </w:t>
      </w:r>
    </w:p>
    <w:p w14:paraId="1682A7DC"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14:paraId="2D6E6EC0"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14:paraId="009B8EB3"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lastRenderedPageBreak/>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p>
    <w:p w14:paraId="6ABE1F6C" w14:textId="77777777"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14:paraId="1AC86D7F" w14:textId="77777777"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14:paraId="161D585D" w14:textId="77777777"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14:paraId="7ED3963D" w14:textId="77777777"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14:paraId="163793AE" w14:textId="77777777"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14:paraId="6D2934E1" w14:textId="77777777"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14:paraId="60DE7E31"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14:paraId="529C11B7" w14:textId="77777777"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14:paraId="4860733F" w14:textId="77777777"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14:paraId="37320297" w14:textId="77777777" w:rsidR="0039738A" w:rsidRPr="0039738A" w:rsidRDefault="0039738A" w:rsidP="0039738A">
      <w:pPr>
        <w:pStyle w:val="Default"/>
        <w:ind w:left="1440"/>
        <w:rPr>
          <w:rFonts w:ascii="Arial" w:hAnsi="Arial" w:cs="Arial"/>
        </w:rPr>
      </w:pPr>
      <w:r w:rsidRPr="0039738A">
        <w:rPr>
          <w:rFonts w:ascii="Arial" w:hAnsi="Arial" w:cs="Arial"/>
        </w:rPr>
        <w:t xml:space="preserve">(IV) The interrelationship between language and culture and the roles of language and ethnicity in a multicultural society. </w:t>
      </w:r>
    </w:p>
    <w:p w14:paraId="149A385E" w14:textId="77777777"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14:paraId="7B713BFF"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14:paraId="42179B46"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14:paraId="1EACAD2A"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14:paraId="617BEAD7"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14:paraId="69ED17FD" w14:textId="77777777"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14:paraId="47BE359A" w14:textId="77777777"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14:paraId="671B35FA" w14:textId="77777777"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14:paraId="19F29A47" w14:textId="77777777"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ELLs’ learning. </w:t>
      </w:r>
    </w:p>
    <w:p w14:paraId="0B156333" w14:textId="77777777"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14:paraId="4E8B40FE" w14:textId="77777777"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14:paraId="4F492338" w14:textId="77777777" w:rsidR="0039738A" w:rsidRPr="0039738A" w:rsidRDefault="0039738A" w:rsidP="0039738A">
      <w:pPr>
        <w:pStyle w:val="Default"/>
        <w:ind w:left="1440"/>
        <w:rPr>
          <w:rFonts w:ascii="Arial" w:hAnsi="Arial" w:cs="Arial"/>
        </w:rPr>
      </w:pPr>
      <w:r w:rsidRPr="0039738A">
        <w:rPr>
          <w:rFonts w:ascii="Arial" w:hAnsi="Arial" w:cs="Arial"/>
        </w:rPr>
        <w:lastRenderedPageBreak/>
        <w:t xml:space="preserve">(II) Implement activities and/or cultural events that promote the ELLs’ cultures and foster their learning. </w:t>
      </w:r>
    </w:p>
    <w:p w14:paraId="43D8F81B" w14:textId="77777777" w:rsidR="0039738A" w:rsidRPr="0039738A" w:rsidRDefault="0039738A" w:rsidP="0039738A">
      <w:pPr>
        <w:ind w:left="1440"/>
        <w:rPr>
          <w:rFonts w:ascii="Arial" w:hAnsi="Arial" w:cs="Arial"/>
          <w:bCs/>
          <w:sz w:val="24"/>
          <w:szCs w:val="24"/>
        </w:rPr>
      </w:pPr>
      <w:r w:rsidRPr="0039738A">
        <w:rPr>
          <w:rFonts w:ascii="Arial" w:hAnsi="Arial" w:cs="Arial"/>
          <w:sz w:val="24"/>
          <w:szCs w:val="24"/>
        </w:rPr>
        <w:t>(III) Include ELLs’ cultural experience when building background for instruction</w:t>
      </w:r>
      <w:r>
        <w:rPr>
          <w:sz w:val="23"/>
          <w:szCs w:val="23"/>
        </w:rPr>
        <w:t>.</w:t>
      </w:r>
    </w:p>
    <w:p w14:paraId="75B2F8B3" w14:textId="77777777"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14:paraId="6DFBE382" w14:textId="77777777"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14:paraId="7353F56C" w14:textId="77777777"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14:paraId="76FB328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14:paraId="1DCE86D1" w14:textId="77777777"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a ESOL child’s education in a K-12 school context.  Each of the 5 strategies must be explained what the strategy is, </w:t>
      </w:r>
      <w:r w:rsidR="00C87443">
        <w:rPr>
          <w:rFonts w:ascii="Arial" w:hAnsi="Arial" w:cs="Arial"/>
          <w:sz w:val="24"/>
          <w:szCs w:val="24"/>
        </w:rPr>
        <w:t xml:space="preserve">and the 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14:paraId="1716B9B3" w14:textId="77777777"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14:paraId="5DDEBD3A" w14:textId="77777777"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14:paraId="450E3290"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14:paraId="4CB685A5" w14:textId="47FB4225"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students, and explain how </w:t>
      </w:r>
      <w:r w:rsidR="004B467D">
        <w:rPr>
          <w:rFonts w:ascii="Arial" w:hAnsi="Arial" w:cs="Arial"/>
          <w:sz w:val="24"/>
          <w:szCs w:val="24"/>
        </w:rPr>
        <w:t xml:space="preserve">the theoretical reasons that </w:t>
      </w:r>
      <w:r w:rsidR="00C87443">
        <w:rPr>
          <w:rFonts w:ascii="Arial" w:hAnsi="Arial" w:cs="Arial"/>
          <w:sz w:val="24"/>
          <w:szCs w:val="24"/>
        </w:rPr>
        <w:t>this strategy would benefit the long-term development of the students in terms of their language development and community engagement.</w:t>
      </w:r>
      <w:r>
        <w:rPr>
          <w:rFonts w:ascii="Arial" w:hAnsi="Arial" w:cs="Arial"/>
          <w:sz w:val="24"/>
          <w:szCs w:val="24"/>
        </w:rPr>
        <w:t xml:space="preserve"> </w:t>
      </w:r>
    </w:p>
    <w:p w14:paraId="1131E1C9" w14:textId="7F6A4650" w:rsidR="000F33F6"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14:paraId="2B185550" w14:textId="33F56DA1" w:rsidR="00196F33" w:rsidRPr="00E56EF9" w:rsidRDefault="00196F33"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For Rubric See Appendix A </w:t>
      </w:r>
    </w:p>
    <w:p w14:paraId="41AFA380"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14:paraId="0A204A48" w14:textId="2DF0C2AD" w:rsidR="00D7399B"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You will select a cultural group or event(s) to work with, attend, and/or investigate, individually or in a small group, outside of the in-school context.</w:t>
      </w:r>
      <w:r w:rsidR="00FD3782">
        <w:rPr>
          <w:rFonts w:ascii="Arial" w:hAnsi="Arial" w:cs="Arial"/>
          <w:sz w:val="24"/>
          <w:szCs w:val="24"/>
        </w:rPr>
        <w:t xml:space="preserve"> You are required to spend at least 1 hour in contact with the cultural group.</w:t>
      </w:r>
      <w:r w:rsidRPr="00BA7217">
        <w:rPr>
          <w:rFonts w:ascii="Arial" w:hAnsi="Arial" w:cs="Arial"/>
          <w:sz w:val="24"/>
          <w:szCs w:val="24"/>
        </w:rPr>
        <w:t xml:space="preserve"> This might involve volunteering at a community center for a particular ethnic/language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w:t>
      </w:r>
      <w:r w:rsidRPr="00BA7217">
        <w:rPr>
          <w:rFonts w:ascii="Arial" w:hAnsi="Arial" w:cs="Arial"/>
          <w:sz w:val="24"/>
          <w:szCs w:val="24"/>
        </w:rPr>
        <w:lastRenderedPageBreak/>
        <w:t xml:space="preserve">relates to what we have discussed in class, and what conclusions of relevance to teaching ELL students that you can draw. </w:t>
      </w:r>
    </w:p>
    <w:p w14:paraId="08693274" w14:textId="3026A901" w:rsidR="000F1EF4" w:rsidRPr="00BA7217" w:rsidRDefault="000F1EF4" w:rsidP="00BA7217">
      <w:pPr>
        <w:spacing w:before="100" w:beforeAutospacing="1" w:after="100" w:afterAutospacing="1"/>
        <w:ind w:left="360"/>
        <w:rPr>
          <w:rFonts w:ascii="Arial" w:hAnsi="Arial" w:cs="Arial"/>
          <w:sz w:val="24"/>
          <w:szCs w:val="24"/>
        </w:rPr>
      </w:pPr>
      <w:r>
        <w:rPr>
          <w:rFonts w:ascii="Arial" w:hAnsi="Arial" w:cs="Arial"/>
          <w:sz w:val="24"/>
          <w:szCs w:val="24"/>
        </w:rPr>
        <w:t>For Rubric See Appendix B</w:t>
      </w:r>
    </w:p>
    <w:p w14:paraId="13CE6B66"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Cultural Miscommunication Paper </w:t>
      </w:r>
    </w:p>
    <w:p w14:paraId="70FAE737" w14:textId="77777777"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14:paraId="64852DE7"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14:paraId="643ED9BF"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14:paraId="5A3464A1"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Offer at least two ways to minimize cultural misunderstanding of this phenomenon.</w:t>
      </w:r>
    </w:p>
    <w:p w14:paraId="1EBEF00E" w14:textId="77777777" w:rsidR="006679EE" w:rsidRDefault="00D7399B" w:rsidP="006679EE">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Conclude the paper with a description of how the knowledge that you have gained from this assignment will influence the way that you interact with ELLs in the classroom.</w:t>
      </w:r>
    </w:p>
    <w:p w14:paraId="122A77B9" w14:textId="7C428395" w:rsidR="00D7399B" w:rsidRPr="00BA7217" w:rsidRDefault="006679EE" w:rsidP="006679EE">
      <w:pPr>
        <w:pStyle w:val="NormalWeb"/>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 </w:t>
      </w:r>
      <w:r w:rsidR="00D7399B"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00D7399B"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00D7399B" w:rsidRPr="00BA7217">
        <w:rPr>
          <w:rFonts w:ascii="Arial" w:hAnsi="Arial" w:cs="Arial"/>
          <w:color w:val="000000"/>
          <w:szCs w:val="24"/>
          <w:shd w:val="clear" w:color="auto" w:fill="FEFEFE"/>
        </w:rPr>
        <w:t xml:space="preserve"> </w:t>
      </w:r>
    </w:p>
    <w:p w14:paraId="023FBF5D" w14:textId="70A48A7C" w:rsidR="00D7399B" w:rsidRPr="00BA7217" w:rsidRDefault="000F1EF4" w:rsidP="00D7399B">
      <w:pPr>
        <w:pStyle w:val="NormalWeb"/>
        <w:ind w:left="360"/>
        <w:rPr>
          <w:rFonts w:ascii="Arial" w:hAnsi="Arial" w:cs="Arial"/>
          <w:szCs w:val="24"/>
          <w:lang w:val="en"/>
        </w:rPr>
      </w:pPr>
      <w:r>
        <w:rPr>
          <w:rFonts w:ascii="Arial" w:hAnsi="Arial" w:cs="Arial"/>
          <w:szCs w:val="24"/>
          <w:lang w:val="en"/>
        </w:rPr>
        <w:t>For Rubric See Appendix C</w:t>
      </w:r>
    </w:p>
    <w:p w14:paraId="629D0D61" w14:textId="77777777"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14:paraId="3E171DBA" w14:textId="77777777" w:rsidR="00D7399B" w:rsidRPr="00BA7217" w:rsidRDefault="00D7399B" w:rsidP="00D7399B">
      <w:pPr>
        <w:pStyle w:val="NormalWeb"/>
        <w:ind w:left="360"/>
        <w:rPr>
          <w:rFonts w:ascii="Arial" w:hAnsi="Arial" w:cs="Arial"/>
          <w:szCs w:val="24"/>
        </w:rPr>
      </w:pPr>
      <w:r w:rsidRPr="00BA7217">
        <w:rPr>
          <w:rFonts w:ascii="Arial" w:hAnsi="Arial" w:cs="Arial"/>
          <w:szCs w:val="24"/>
        </w:rPr>
        <w:t>Participation in weekly assignments is your way of demonstrating your completion of reading assignments and your ability to apply what you have read to the field of 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14:paraId="17DC5119" w14:textId="77777777" w:rsidR="008C34D2" w:rsidRDefault="008C34D2" w:rsidP="008C34D2">
      <w:pPr>
        <w:pStyle w:val="NormalWeb"/>
        <w:rPr>
          <w:rFonts w:ascii="Arial" w:hAnsi="Arial" w:cs="Arial"/>
          <w:b/>
          <w:bCs/>
          <w:color w:val="000000"/>
          <w:szCs w:val="24"/>
        </w:rPr>
      </w:pPr>
    </w:p>
    <w:p w14:paraId="7A1FEE77" w14:textId="77777777" w:rsidR="008C34D2" w:rsidRPr="000F1EF4" w:rsidRDefault="008C34D2" w:rsidP="008C34D2">
      <w:pPr>
        <w:pStyle w:val="Header"/>
        <w:numPr>
          <w:ilvl w:val="0"/>
          <w:numId w:val="3"/>
        </w:numPr>
        <w:tabs>
          <w:tab w:val="clear" w:pos="4320"/>
          <w:tab w:val="clear" w:pos="8640"/>
        </w:tabs>
        <w:rPr>
          <w:rFonts w:ascii="Arial" w:hAnsi="Arial" w:cs="Arial"/>
          <w:b/>
          <w:i/>
        </w:rPr>
      </w:pPr>
      <w:r w:rsidRPr="000F1EF4">
        <w:rPr>
          <w:rFonts w:ascii="Arial" w:hAnsi="Arial" w:cs="Arial"/>
          <w:b/>
        </w:rPr>
        <w:t>Response Papers</w:t>
      </w:r>
      <w:r w:rsidRPr="000F1EF4">
        <w:rPr>
          <w:rFonts w:ascii="Arial" w:hAnsi="Arial" w:cs="Arial"/>
          <w:b/>
          <w:i/>
        </w:rPr>
        <w:t>:</w:t>
      </w:r>
    </w:p>
    <w:p w14:paraId="360C48E3" w14:textId="7361B0E1" w:rsidR="008C34D2" w:rsidRDefault="008C34D2" w:rsidP="00B84F89">
      <w:pPr>
        <w:pStyle w:val="NormalWeb"/>
        <w:ind w:left="720"/>
        <w:rPr>
          <w:rFonts w:ascii="Arial" w:hAnsi="Arial" w:cs="Arial"/>
          <w:b/>
          <w:bCs/>
          <w:color w:val="000000"/>
          <w:szCs w:val="24"/>
        </w:rPr>
      </w:pPr>
      <w:r w:rsidRPr="008C34D2">
        <w:rPr>
          <w:rFonts w:ascii="Arial" w:hAnsi="Arial" w:cs="Arial"/>
          <w:szCs w:val="24"/>
        </w:rPr>
        <w:tab/>
      </w:r>
      <w:r w:rsidRPr="008C34D2">
        <w:rPr>
          <w:rFonts w:ascii="Arial" w:eastAsia="Calibri" w:hAnsi="Arial" w:cs="Arial"/>
          <w:szCs w:val="24"/>
        </w:rP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8C34D2">
        <w:rPr>
          <w:rFonts w:ascii="Arial" w:eastAsia="Calibri" w:hAnsi="Arial" w:cs="Arial"/>
          <w:b/>
          <w:szCs w:val="24"/>
        </w:rPr>
        <w:t>The paper should be 3 pages long and be double spaced</w:t>
      </w:r>
      <w:r w:rsidRPr="008C34D2">
        <w:rPr>
          <w:rFonts w:ascii="Arial" w:eastAsia="Calibri" w:hAnsi="Arial" w:cs="Arial"/>
          <w:szCs w:val="24"/>
        </w:rPr>
        <w:t xml:space="preserve">.  Papers must be handed in on the day that that particular reading is discussed. </w:t>
      </w:r>
      <w:r>
        <w:rPr>
          <w:rFonts w:ascii="Arial" w:eastAsia="Calibri" w:hAnsi="Arial" w:cs="Arial"/>
          <w:szCs w:val="24"/>
        </w:rPr>
        <w:t xml:space="preserve">One paper should cover a reading from the first half of the semester, and the second paper should cover content from the second half of the semester. </w:t>
      </w:r>
      <w:r w:rsidRPr="008C34D2">
        <w:rPr>
          <w:rFonts w:ascii="Arial" w:eastAsia="Calibri" w:hAnsi="Arial" w:cs="Arial"/>
          <w:szCs w:val="24"/>
        </w:rPr>
        <w:t xml:space="preserve">Please submit to Canvas.  The due dates for the papers (2 of them) have been spaced </w:t>
      </w:r>
      <w:r w:rsidRPr="008C34D2">
        <w:rPr>
          <w:rFonts w:ascii="Arial" w:eastAsia="Calibri" w:hAnsi="Arial" w:cs="Arial"/>
          <w:szCs w:val="24"/>
        </w:rPr>
        <w:lastRenderedPageBreak/>
        <w:t>throughout the semester to prevent procrastination until the end of the semester. You cannot submit two papers on the same day</w:t>
      </w:r>
      <w:r w:rsidRPr="008C34D2">
        <w:rPr>
          <w:rFonts w:ascii="Arial" w:hAnsi="Arial" w:cs="Arial"/>
          <w:b/>
          <w:bCs/>
          <w:color w:val="000000"/>
          <w:szCs w:val="24"/>
        </w:rPr>
        <w:t xml:space="preserve"> </w:t>
      </w:r>
    </w:p>
    <w:p w14:paraId="3C38E244" w14:textId="3EC46D18" w:rsidR="000F1EF4" w:rsidRPr="000F1EF4" w:rsidRDefault="000F1EF4" w:rsidP="000F1EF4">
      <w:pPr>
        <w:pStyle w:val="NormalWeb"/>
        <w:rPr>
          <w:rFonts w:ascii="Arial" w:hAnsi="Arial" w:cs="Arial"/>
          <w:bCs/>
          <w:color w:val="000000"/>
          <w:szCs w:val="24"/>
        </w:rPr>
      </w:pPr>
      <w:r w:rsidRPr="000F1EF4">
        <w:rPr>
          <w:rFonts w:ascii="Arial" w:hAnsi="Arial" w:cs="Arial"/>
          <w:bCs/>
          <w:color w:val="000000"/>
          <w:szCs w:val="24"/>
        </w:rPr>
        <w:t>For rubric See Appendix D.</w:t>
      </w:r>
    </w:p>
    <w:p w14:paraId="1054F779" w14:textId="64B20A6E" w:rsidR="00D7399B" w:rsidRPr="000F1EF4" w:rsidRDefault="000F1EF4" w:rsidP="00D7399B">
      <w:pPr>
        <w:pStyle w:val="NormalWeb"/>
        <w:numPr>
          <w:ilvl w:val="0"/>
          <w:numId w:val="3"/>
        </w:numPr>
        <w:rPr>
          <w:rFonts w:ascii="Arial" w:hAnsi="Arial" w:cs="Arial"/>
          <w:b/>
          <w:bCs/>
          <w:color w:val="000000"/>
          <w:szCs w:val="24"/>
        </w:rPr>
      </w:pPr>
      <w:r w:rsidRPr="000F1EF4">
        <w:rPr>
          <w:rFonts w:ascii="Arial" w:hAnsi="Arial" w:cs="Arial"/>
          <w:b/>
          <w:bCs/>
          <w:color w:val="000000"/>
          <w:szCs w:val="24"/>
        </w:rPr>
        <w:t>Concept Test</w:t>
      </w:r>
    </w:p>
    <w:p w14:paraId="26A6899E" w14:textId="21CDCBD8" w:rsidR="008C34D2" w:rsidRDefault="00D7399B" w:rsidP="004629F4">
      <w:pPr>
        <w:pStyle w:val="NormalWeb"/>
        <w:ind w:left="360"/>
        <w:rPr>
          <w:rFonts w:ascii="Arial" w:hAnsi="Arial" w:cs="Arial"/>
          <w:szCs w:val="24"/>
        </w:rPr>
      </w:pPr>
      <w:r w:rsidRPr="00BA7217">
        <w:rPr>
          <w:rFonts w:ascii="Arial" w:hAnsi="Arial" w:cs="Arial"/>
          <w:szCs w:val="24"/>
        </w:rPr>
        <w:t xml:space="preserve">The </w:t>
      </w:r>
      <w:r w:rsidR="000F1EF4">
        <w:rPr>
          <w:rFonts w:ascii="Arial" w:hAnsi="Arial" w:cs="Arial"/>
          <w:szCs w:val="24"/>
        </w:rPr>
        <w:t>concept</w:t>
      </w:r>
      <w:r w:rsidRPr="00BA7217">
        <w:rPr>
          <w:rFonts w:ascii="Arial" w:hAnsi="Arial" w:cs="Arial"/>
          <w:szCs w:val="24"/>
        </w:rPr>
        <w:t xml:space="preserve"> </w:t>
      </w:r>
      <w:r w:rsidR="00FD3782">
        <w:rPr>
          <w:rFonts w:ascii="Arial" w:hAnsi="Arial" w:cs="Arial"/>
          <w:szCs w:val="24"/>
        </w:rPr>
        <w:t>test</w:t>
      </w:r>
      <w:r w:rsidRPr="00BA7217">
        <w:rPr>
          <w:rFonts w:ascii="Arial" w:hAnsi="Arial" w:cs="Arial"/>
          <w:szCs w:val="24"/>
        </w:rPr>
        <w:t xml:space="preserve"> </w:t>
      </w:r>
      <w:r w:rsidR="000F1EF4">
        <w:rPr>
          <w:rFonts w:ascii="Arial" w:hAnsi="Arial" w:cs="Arial"/>
          <w:szCs w:val="24"/>
        </w:rPr>
        <w:t>will</w:t>
      </w:r>
      <w:r w:rsidRPr="00BA7217">
        <w:rPr>
          <w:rFonts w:ascii="Arial" w:hAnsi="Arial" w:cs="Arial"/>
          <w:szCs w:val="24"/>
        </w:rPr>
        <w:t xml:space="preserve"> assess the standards and content taught in this course. </w:t>
      </w:r>
      <w:r w:rsidR="000F1EF4">
        <w:rPr>
          <w:rFonts w:ascii="Arial" w:hAnsi="Arial" w:cs="Arial"/>
          <w:szCs w:val="24"/>
        </w:rPr>
        <w:t>The format will be short answer and essay, but the test is completed at home, so it is open book, just don’t collaborate with your classmates</w:t>
      </w:r>
      <w:r w:rsidR="006679EE">
        <w:rPr>
          <w:rFonts w:ascii="Arial" w:hAnsi="Arial" w:cs="Arial"/>
          <w:szCs w:val="24"/>
        </w:rPr>
        <w:t>.</w:t>
      </w:r>
    </w:p>
    <w:p w14:paraId="6FFC56C2" w14:textId="4FF08515" w:rsidR="000F1EF4" w:rsidRPr="006679EE" w:rsidRDefault="006679EE" w:rsidP="001F6622">
      <w:pPr>
        <w:rPr>
          <w:rStyle w:val="Strong"/>
          <w:rFonts w:ascii="Arial" w:eastAsia="Times New Roman" w:hAnsi="Arial" w:cs="Arial"/>
          <w:b w:val="0"/>
          <w:bCs w:val="0"/>
          <w:sz w:val="24"/>
          <w:szCs w:val="24"/>
        </w:rPr>
      </w:pPr>
      <w:r>
        <w:rPr>
          <w:rFonts w:ascii="Arial" w:hAnsi="Arial" w:cs="Arial"/>
          <w:szCs w:val="24"/>
        </w:rPr>
        <w:br w:type="page"/>
      </w:r>
    </w:p>
    <w:p w14:paraId="5DFA2FC3" w14:textId="7D9C4B29" w:rsidR="001F6622" w:rsidRDefault="00BA7217" w:rsidP="001F6622">
      <w:pPr>
        <w:rPr>
          <w:rStyle w:val="Strong"/>
          <w:sz w:val="32"/>
          <w:szCs w:val="32"/>
        </w:rPr>
      </w:pPr>
      <w:r w:rsidRPr="00BA52E5">
        <w:rPr>
          <w:rStyle w:val="Strong"/>
          <w:sz w:val="32"/>
          <w:szCs w:val="32"/>
        </w:rPr>
        <w:lastRenderedPageBreak/>
        <w:t>Appendix A</w:t>
      </w:r>
      <w:r w:rsidR="00BA52E5" w:rsidRPr="00BA52E5">
        <w:rPr>
          <w:rStyle w:val="Strong"/>
          <w:sz w:val="32"/>
          <w:szCs w:val="32"/>
        </w:rPr>
        <w:t xml:space="preserve"> </w:t>
      </w:r>
      <w:r w:rsidR="001F6622">
        <w:rPr>
          <w:rStyle w:val="Strong"/>
          <w:sz w:val="32"/>
          <w:szCs w:val="32"/>
        </w:rPr>
        <w:t>Engagement Plan Rubric</w:t>
      </w:r>
    </w:p>
    <w:tbl>
      <w:tblPr>
        <w:tblStyle w:val="TableGrid"/>
        <w:tblW w:w="0" w:type="auto"/>
        <w:tblLook w:val="04A0" w:firstRow="1" w:lastRow="0" w:firstColumn="1" w:lastColumn="0" w:noHBand="0" w:noVBand="1"/>
      </w:tblPr>
      <w:tblGrid>
        <w:gridCol w:w="2337"/>
        <w:gridCol w:w="2337"/>
        <w:gridCol w:w="2338"/>
        <w:gridCol w:w="2338"/>
      </w:tblGrid>
      <w:tr w:rsidR="001F6622" w14:paraId="04BC0509" w14:textId="77777777" w:rsidTr="001F6622">
        <w:tc>
          <w:tcPr>
            <w:tcW w:w="2337" w:type="dxa"/>
          </w:tcPr>
          <w:p w14:paraId="620742F9" w14:textId="77777777" w:rsidR="001F6622" w:rsidRDefault="001F6622" w:rsidP="001F6622">
            <w:pPr>
              <w:rPr>
                <w:rStyle w:val="Strong"/>
                <w:sz w:val="32"/>
                <w:szCs w:val="32"/>
              </w:rPr>
            </w:pPr>
          </w:p>
        </w:tc>
        <w:tc>
          <w:tcPr>
            <w:tcW w:w="2337" w:type="dxa"/>
          </w:tcPr>
          <w:p w14:paraId="4BA14351" w14:textId="77777777" w:rsidR="001F6622" w:rsidRDefault="001F6622" w:rsidP="001F6622">
            <w:pPr>
              <w:rPr>
                <w:rStyle w:val="Strong"/>
                <w:sz w:val="32"/>
                <w:szCs w:val="32"/>
              </w:rPr>
            </w:pPr>
            <w:r>
              <w:rPr>
                <w:rStyle w:val="Strong"/>
                <w:sz w:val="32"/>
                <w:szCs w:val="32"/>
              </w:rPr>
              <w:t>5</w:t>
            </w:r>
          </w:p>
        </w:tc>
        <w:tc>
          <w:tcPr>
            <w:tcW w:w="2338" w:type="dxa"/>
          </w:tcPr>
          <w:p w14:paraId="04A053BF" w14:textId="77777777" w:rsidR="001F6622" w:rsidRDefault="001F6622" w:rsidP="001F6622">
            <w:pPr>
              <w:rPr>
                <w:rStyle w:val="Strong"/>
                <w:sz w:val="32"/>
                <w:szCs w:val="32"/>
              </w:rPr>
            </w:pPr>
            <w:r>
              <w:rPr>
                <w:rStyle w:val="Strong"/>
                <w:sz w:val="32"/>
                <w:szCs w:val="32"/>
              </w:rPr>
              <w:t>4-3</w:t>
            </w:r>
          </w:p>
        </w:tc>
        <w:tc>
          <w:tcPr>
            <w:tcW w:w="2338" w:type="dxa"/>
          </w:tcPr>
          <w:p w14:paraId="15B96748" w14:textId="77777777" w:rsidR="001F6622" w:rsidRDefault="001F6622" w:rsidP="001F6622">
            <w:pPr>
              <w:rPr>
                <w:rStyle w:val="Strong"/>
                <w:sz w:val="32"/>
                <w:szCs w:val="32"/>
              </w:rPr>
            </w:pPr>
            <w:r>
              <w:rPr>
                <w:rStyle w:val="Strong"/>
                <w:sz w:val="32"/>
                <w:szCs w:val="32"/>
              </w:rPr>
              <w:t>2-1</w:t>
            </w:r>
          </w:p>
        </w:tc>
      </w:tr>
      <w:tr w:rsidR="001F6622" w14:paraId="2DAA58AC" w14:textId="77777777" w:rsidTr="001F6622">
        <w:tc>
          <w:tcPr>
            <w:tcW w:w="2337" w:type="dxa"/>
          </w:tcPr>
          <w:p w14:paraId="3C19CF82" w14:textId="77777777" w:rsidR="001F6622" w:rsidRPr="001F6622" w:rsidRDefault="001F6622" w:rsidP="001F6622">
            <w:pPr>
              <w:rPr>
                <w:rStyle w:val="Strong"/>
                <w:b w:val="0"/>
                <w:sz w:val="24"/>
                <w:szCs w:val="24"/>
              </w:rPr>
            </w:pPr>
            <w:r w:rsidRPr="001F6622">
              <w:rPr>
                <w:rStyle w:val="Strong"/>
                <w:b w:val="0"/>
                <w:sz w:val="24"/>
                <w:szCs w:val="24"/>
              </w:rPr>
              <w:t xml:space="preserve">Description of Strategy </w:t>
            </w:r>
          </w:p>
        </w:tc>
        <w:tc>
          <w:tcPr>
            <w:tcW w:w="2337" w:type="dxa"/>
          </w:tcPr>
          <w:p w14:paraId="453A92A1" w14:textId="77777777" w:rsidR="001F6622" w:rsidRPr="000F33F6" w:rsidRDefault="004C518A" w:rsidP="001F6622">
            <w:pPr>
              <w:rPr>
                <w:rStyle w:val="Strong"/>
                <w:b w:val="0"/>
                <w:sz w:val="24"/>
                <w:szCs w:val="24"/>
              </w:rPr>
            </w:pPr>
            <w:r>
              <w:rPr>
                <w:rStyle w:val="Strong"/>
                <w:b w:val="0"/>
                <w:sz w:val="24"/>
                <w:szCs w:val="24"/>
              </w:rPr>
              <w:t xml:space="preserve">The writeup includes the specific steps needed for the teacher to implement the strategy.  </w:t>
            </w:r>
          </w:p>
        </w:tc>
        <w:tc>
          <w:tcPr>
            <w:tcW w:w="2338" w:type="dxa"/>
          </w:tcPr>
          <w:p w14:paraId="7318139C" w14:textId="4845FCBB" w:rsidR="001F6622" w:rsidRPr="004C518A" w:rsidRDefault="004C518A" w:rsidP="001F6622">
            <w:pPr>
              <w:rPr>
                <w:rStyle w:val="Strong"/>
                <w:b w:val="0"/>
                <w:sz w:val="24"/>
                <w:szCs w:val="24"/>
              </w:rPr>
            </w:pPr>
            <w:r w:rsidRPr="004C518A">
              <w:rPr>
                <w:rStyle w:val="Strong"/>
                <w:b w:val="0"/>
                <w:sz w:val="24"/>
                <w:szCs w:val="24"/>
              </w:rPr>
              <w:t>The</w:t>
            </w:r>
            <w:r>
              <w:rPr>
                <w:rStyle w:val="Strong"/>
                <w:b w:val="0"/>
                <w:sz w:val="24"/>
                <w:szCs w:val="24"/>
              </w:rPr>
              <w:t xml:space="preserve"> writeup lists the steps needed to implement the strategy, but there are some details that are missing</w:t>
            </w:r>
            <w:r w:rsidR="006679EE">
              <w:rPr>
                <w:rStyle w:val="Strong"/>
                <w:b w:val="0"/>
                <w:sz w:val="24"/>
                <w:szCs w:val="24"/>
              </w:rPr>
              <w:t>.</w:t>
            </w:r>
          </w:p>
        </w:tc>
        <w:tc>
          <w:tcPr>
            <w:tcW w:w="2338" w:type="dxa"/>
          </w:tcPr>
          <w:p w14:paraId="7DB541CD" w14:textId="77777777" w:rsidR="001F6622" w:rsidRPr="004C518A" w:rsidRDefault="004C518A" w:rsidP="001F6622">
            <w:pPr>
              <w:rPr>
                <w:rStyle w:val="Strong"/>
                <w:b w:val="0"/>
                <w:sz w:val="24"/>
                <w:szCs w:val="24"/>
              </w:rPr>
            </w:pPr>
            <w:r w:rsidRPr="004C518A">
              <w:rPr>
                <w:rStyle w:val="Strong"/>
                <w:b w:val="0"/>
                <w:sz w:val="24"/>
                <w:szCs w:val="24"/>
              </w:rPr>
              <w:t>The</w:t>
            </w:r>
            <w:r>
              <w:rPr>
                <w:rStyle w:val="Strong"/>
                <w:b w:val="0"/>
                <w:sz w:val="24"/>
                <w:szCs w:val="24"/>
              </w:rPr>
              <w:t xml:space="preserve"> strategy is not explained in terms of the steps needed to implement the strategy .  </w:t>
            </w:r>
          </w:p>
        </w:tc>
      </w:tr>
      <w:tr w:rsidR="00D642D6" w14:paraId="16B95185" w14:textId="77777777" w:rsidTr="001F6622">
        <w:tc>
          <w:tcPr>
            <w:tcW w:w="2337" w:type="dxa"/>
          </w:tcPr>
          <w:p w14:paraId="7B189A6B" w14:textId="77777777" w:rsidR="00D642D6" w:rsidRPr="001F6622" w:rsidRDefault="00D642D6" w:rsidP="00D642D6">
            <w:pPr>
              <w:rPr>
                <w:rStyle w:val="Strong"/>
                <w:b w:val="0"/>
                <w:sz w:val="24"/>
                <w:szCs w:val="24"/>
              </w:rPr>
            </w:pPr>
            <w:r w:rsidRPr="001F6622">
              <w:rPr>
                <w:rStyle w:val="Strong"/>
                <w:b w:val="0"/>
                <w:sz w:val="24"/>
                <w:szCs w:val="24"/>
              </w:rPr>
              <w:t xml:space="preserve">Benefit to student’s </w:t>
            </w:r>
            <w:r w:rsidRPr="000F33F6">
              <w:rPr>
                <w:rStyle w:val="Strong"/>
                <w:b w:val="0"/>
                <w:sz w:val="24"/>
                <w:szCs w:val="24"/>
              </w:rPr>
              <w:t>to family/teacher</w:t>
            </w:r>
          </w:p>
        </w:tc>
        <w:tc>
          <w:tcPr>
            <w:tcW w:w="2337" w:type="dxa"/>
          </w:tcPr>
          <w:p w14:paraId="79E8F633" w14:textId="77777777" w:rsidR="00D642D6" w:rsidRPr="00257BEE" w:rsidRDefault="00D642D6" w:rsidP="00D642D6">
            <w:pPr>
              <w:rPr>
                <w:rStyle w:val="Strong"/>
                <w:b w:val="0"/>
                <w:sz w:val="24"/>
                <w:szCs w:val="24"/>
              </w:rPr>
            </w:pPr>
            <w:r w:rsidRPr="00257BEE">
              <w:rPr>
                <w:rStyle w:val="Strong"/>
                <w:b w:val="0"/>
                <w:sz w:val="24"/>
                <w:szCs w:val="24"/>
              </w:rPr>
              <w:t>The</w:t>
            </w:r>
            <w:r>
              <w:rPr>
                <w:rStyle w:val="Strong"/>
                <w:b w:val="0"/>
                <w:sz w:val="24"/>
                <w:szCs w:val="24"/>
              </w:rPr>
              <w:t xml:space="preserve"> strategy clearly explains the benefit to the student, family OR community and teacher.</w:t>
            </w:r>
          </w:p>
        </w:tc>
        <w:tc>
          <w:tcPr>
            <w:tcW w:w="2338" w:type="dxa"/>
          </w:tcPr>
          <w:p w14:paraId="793A0221" w14:textId="77777777" w:rsidR="00D642D6" w:rsidRPr="00257BEE" w:rsidRDefault="00D642D6" w:rsidP="00D642D6">
            <w:pPr>
              <w:rPr>
                <w:rStyle w:val="Strong"/>
                <w:b w:val="0"/>
                <w:sz w:val="24"/>
                <w:szCs w:val="24"/>
              </w:rPr>
            </w:pPr>
            <w:r>
              <w:rPr>
                <w:rStyle w:val="Strong"/>
                <w:b w:val="0"/>
                <w:sz w:val="24"/>
                <w:szCs w:val="24"/>
              </w:rPr>
              <w:t>The strategy’</w:t>
            </w:r>
            <w:r w:rsidR="00E86ABE">
              <w:rPr>
                <w:rStyle w:val="Strong"/>
                <w:b w:val="0"/>
                <w:sz w:val="24"/>
                <w:szCs w:val="24"/>
              </w:rPr>
              <w:t xml:space="preserve">s benefits are lacking the benefit to  one of the student, family or community or teacher.  </w:t>
            </w:r>
          </w:p>
        </w:tc>
        <w:tc>
          <w:tcPr>
            <w:tcW w:w="2338" w:type="dxa"/>
          </w:tcPr>
          <w:p w14:paraId="417092B7" w14:textId="77777777" w:rsidR="00D642D6" w:rsidRPr="00257BEE" w:rsidRDefault="00D642D6" w:rsidP="00D642D6">
            <w:pPr>
              <w:rPr>
                <w:rStyle w:val="Strong"/>
                <w:b w:val="0"/>
                <w:sz w:val="24"/>
                <w:szCs w:val="24"/>
              </w:rPr>
            </w:pPr>
            <w:r>
              <w:rPr>
                <w:rStyle w:val="Strong"/>
                <w:b w:val="0"/>
                <w:sz w:val="24"/>
                <w:szCs w:val="24"/>
              </w:rPr>
              <w:t>The strategy’s benefits are</w:t>
            </w:r>
            <w:r w:rsidR="00E86ABE">
              <w:rPr>
                <w:rStyle w:val="Strong"/>
                <w:b w:val="0"/>
                <w:sz w:val="24"/>
                <w:szCs w:val="24"/>
              </w:rPr>
              <w:t xml:space="preserve"> not beneficial to the student, community or teacher </w:t>
            </w:r>
            <w:r>
              <w:rPr>
                <w:rStyle w:val="Strong"/>
                <w:b w:val="0"/>
                <w:sz w:val="24"/>
                <w:szCs w:val="24"/>
              </w:rPr>
              <w:t xml:space="preserve">.  </w:t>
            </w:r>
          </w:p>
        </w:tc>
      </w:tr>
      <w:tr w:rsidR="00D642D6" w14:paraId="6E07B76B" w14:textId="77777777" w:rsidTr="001F6622">
        <w:tc>
          <w:tcPr>
            <w:tcW w:w="2337" w:type="dxa"/>
          </w:tcPr>
          <w:p w14:paraId="5E792964" w14:textId="77777777" w:rsidR="00D642D6" w:rsidRPr="000F33F6" w:rsidRDefault="00D642D6" w:rsidP="00D642D6">
            <w:pPr>
              <w:rPr>
                <w:rStyle w:val="Strong"/>
                <w:b w:val="0"/>
                <w:sz w:val="24"/>
                <w:szCs w:val="24"/>
              </w:rPr>
            </w:pPr>
            <w:r>
              <w:rPr>
                <w:rStyle w:val="Strong"/>
                <w:b w:val="0"/>
                <w:sz w:val="24"/>
                <w:szCs w:val="24"/>
              </w:rPr>
              <w:t>Explanation of theoretical basis</w:t>
            </w:r>
          </w:p>
        </w:tc>
        <w:tc>
          <w:tcPr>
            <w:tcW w:w="2337" w:type="dxa"/>
          </w:tcPr>
          <w:p w14:paraId="6935C581" w14:textId="77777777" w:rsidR="00D642D6" w:rsidRPr="00257BEE" w:rsidRDefault="00D642D6" w:rsidP="00D642D6">
            <w:pPr>
              <w:rPr>
                <w:rStyle w:val="Strong"/>
                <w:b w:val="0"/>
                <w:sz w:val="24"/>
                <w:szCs w:val="24"/>
              </w:rPr>
            </w:pPr>
            <w:r>
              <w:rPr>
                <w:rStyle w:val="Strong"/>
                <w:b w:val="0"/>
                <w:sz w:val="24"/>
                <w:szCs w:val="24"/>
              </w:rPr>
              <w:t xml:space="preserve">The theoretical </w:t>
            </w:r>
            <w:r w:rsidR="00E86ABE">
              <w:rPr>
                <w:rStyle w:val="Strong"/>
                <w:b w:val="0"/>
                <w:sz w:val="24"/>
                <w:szCs w:val="24"/>
              </w:rPr>
              <w:t xml:space="preserve">basis of the strategy is tied to at least two separate best practices. </w:t>
            </w:r>
          </w:p>
        </w:tc>
        <w:tc>
          <w:tcPr>
            <w:tcW w:w="2338" w:type="dxa"/>
          </w:tcPr>
          <w:p w14:paraId="4EE6E072" w14:textId="77777777" w:rsidR="00D642D6" w:rsidRPr="00257BEE" w:rsidRDefault="00E86ABE" w:rsidP="00D642D6">
            <w:pPr>
              <w:rPr>
                <w:rStyle w:val="Strong"/>
                <w:b w:val="0"/>
                <w:sz w:val="24"/>
                <w:szCs w:val="24"/>
              </w:rPr>
            </w:pPr>
            <w:r>
              <w:rPr>
                <w:rStyle w:val="Strong"/>
                <w:b w:val="0"/>
                <w:sz w:val="24"/>
                <w:szCs w:val="24"/>
              </w:rPr>
              <w:t xml:space="preserve">The theoretical basis of the strategy is tied to at least one best practices.  </w:t>
            </w:r>
          </w:p>
        </w:tc>
        <w:tc>
          <w:tcPr>
            <w:tcW w:w="2338" w:type="dxa"/>
          </w:tcPr>
          <w:p w14:paraId="0A3D558D" w14:textId="77777777" w:rsidR="00D642D6" w:rsidRPr="00257BEE" w:rsidRDefault="00E86ABE" w:rsidP="00D642D6">
            <w:pPr>
              <w:rPr>
                <w:rStyle w:val="Strong"/>
                <w:b w:val="0"/>
                <w:sz w:val="24"/>
                <w:szCs w:val="24"/>
              </w:rPr>
            </w:pPr>
            <w:r>
              <w:rPr>
                <w:rStyle w:val="Strong"/>
                <w:b w:val="0"/>
                <w:sz w:val="24"/>
                <w:szCs w:val="24"/>
              </w:rPr>
              <w:t xml:space="preserve">The theoretical basis is not supported by any best practice.  </w:t>
            </w:r>
          </w:p>
        </w:tc>
      </w:tr>
    </w:tbl>
    <w:p w14:paraId="77C6207A" w14:textId="77777777" w:rsidR="006679EE" w:rsidRDefault="006679EE" w:rsidP="00E32260">
      <w:pPr>
        <w:rPr>
          <w:rStyle w:val="Strong"/>
          <w:sz w:val="32"/>
          <w:szCs w:val="32"/>
        </w:rPr>
      </w:pPr>
    </w:p>
    <w:p w14:paraId="4B93A075" w14:textId="77777777" w:rsidR="006679EE" w:rsidRDefault="006679EE">
      <w:pPr>
        <w:rPr>
          <w:rFonts w:ascii="Arial" w:hAnsi="Arial" w:cs="Arial"/>
          <w:b/>
        </w:rPr>
      </w:pPr>
      <w:r>
        <w:rPr>
          <w:rFonts w:ascii="Arial" w:hAnsi="Arial" w:cs="Arial"/>
          <w:b/>
        </w:rPr>
        <w:br w:type="page"/>
      </w:r>
    </w:p>
    <w:p w14:paraId="08B88A67" w14:textId="06D8F09E" w:rsidR="00E32260" w:rsidRPr="00E32260" w:rsidRDefault="00E32260" w:rsidP="00E32260">
      <w:pPr>
        <w:rPr>
          <w:rFonts w:ascii="Arial" w:hAnsi="Arial" w:cs="Arial"/>
          <w:b/>
          <w:sz w:val="24"/>
          <w:szCs w:val="24"/>
        </w:rPr>
      </w:pPr>
      <w:r w:rsidRPr="00E32260">
        <w:rPr>
          <w:rFonts w:ascii="Arial" w:hAnsi="Arial" w:cs="Arial"/>
          <w:b/>
          <w:sz w:val="24"/>
          <w:szCs w:val="24"/>
        </w:rPr>
        <w:lastRenderedPageBreak/>
        <w:t xml:space="preserve">Appendix B Boundary Crossing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976"/>
        <w:gridCol w:w="1981"/>
        <w:gridCol w:w="1891"/>
        <w:gridCol w:w="1703"/>
      </w:tblGrid>
      <w:tr w:rsidR="00E32260" w:rsidRPr="003B4D4D" w14:paraId="7CD811D0" w14:textId="77777777" w:rsidTr="00CF343C">
        <w:tc>
          <w:tcPr>
            <w:tcW w:w="1855" w:type="dxa"/>
          </w:tcPr>
          <w:p w14:paraId="2AA242A6" w14:textId="77777777" w:rsidR="00E32260" w:rsidRPr="003B4D4D" w:rsidRDefault="00E32260" w:rsidP="00CF343C">
            <w:pPr>
              <w:spacing w:after="0" w:line="240" w:lineRule="auto"/>
              <w:rPr>
                <w:rFonts w:ascii="Arial" w:hAnsi="Arial" w:cs="Arial"/>
                <w:sz w:val="20"/>
                <w:szCs w:val="20"/>
              </w:rPr>
            </w:pPr>
          </w:p>
        </w:tc>
        <w:tc>
          <w:tcPr>
            <w:tcW w:w="2026" w:type="dxa"/>
          </w:tcPr>
          <w:p w14:paraId="2DE39ABF"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5</w:t>
            </w:r>
          </w:p>
        </w:tc>
        <w:tc>
          <w:tcPr>
            <w:tcW w:w="2026" w:type="dxa"/>
          </w:tcPr>
          <w:p w14:paraId="0FB44CF5"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4-3</w:t>
            </w:r>
          </w:p>
        </w:tc>
        <w:tc>
          <w:tcPr>
            <w:tcW w:w="1926" w:type="dxa"/>
          </w:tcPr>
          <w:p w14:paraId="12F915FE"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2-1</w:t>
            </w:r>
          </w:p>
        </w:tc>
        <w:tc>
          <w:tcPr>
            <w:tcW w:w="1743" w:type="dxa"/>
          </w:tcPr>
          <w:p w14:paraId="78CD7395"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0</w:t>
            </w:r>
          </w:p>
        </w:tc>
      </w:tr>
      <w:tr w:rsidR="00E32260" w:rsidRPr="003B4D4D" w14:paraId="59A4272B" w14:textId="77777777" w:rsidTr="00CF343C">
        <w:tc>
          <w:tcPr>
            <w:tcW w:w="1855" w:type="dxa"/>
          </w:tcPr>
          <w:p w14:paraId="08304DFB"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Project time </w:t>
            </w:r>
          </w:p>
        </w:tc>
        <w:tc>
          <w:tcPr>
            <w:tcW w:w="2026" w:type="dxa"/>
          </w:tcPr>
          <w:p w14:paraId="402C3B93"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at least two hours of contact with the group or event, documented with time log and/or other documentation (e.g., programs, photos, signatures).</w:t>
            </w:r>
          </w:p>
        </w:tc>
        <w:tc>
          <w:tcPr>
            <w:tcW w:w="2026" w:type="dxa"/>
          </w:tcPr>
          <w:p w14:paraId="7BF64260"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at least one hour of contact with the group or event, documented with time log and/or other documentation (e.g., programs, photos, signatures).</w:t>
            </w:r>
          </w:p>
        </w:tc>
        <w:tc>
          <w:tcPr>
            <w:tcW w:w="1926" w:type="dxa"/>
          </w:tcPr>
          <w:p w14:paraId="315D641F"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less than one hour of contact with the group or event, or was not documented</w:t>
            </w:r>
          </w:p>
        </w:tc>
        <w:tc>
          <w:tcPr>
            <w:tcW w:w="1743" w:type="dxa"/>
          </w:tcPr>
          <w:p w14:paraId="66D6CDDB"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Event was not attended. </w:t>
            </w:r>
          </w:p>
        </w:tc>
      </w:tr>
      <w:tr w:rsidR="00E32260" w:rsidRPr="003B4D4D" w14:paraId="33B1A5D0" w14:textId="77777777" w:rsidTr="00CF343C">
        <w:tc>
          <w:tcPr>
            <w:tcW w:w="1855" w:type="dxa"/>
          </w:tcPr>
          <w:p w14:paraId="097F89F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Narrative of experiences and affective reactions</w:t>
            </w:r>
          </w:p>
        </w:tc>
        <w:tc>
          <w:tcPr>
            <w:tcW w:w="2026" w:type="dxa"/>
          </w:tcPr>
          <w:p w14:paraId="7CDBBCE9"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 narrative of the experiences and participant’s affective reactions, clearly demonstrating how participant crossed cultural boundaries.</w:t>
            </w:r>
          </w:p>
        </w:tc>
        <w:tc>
          <w:tcPr>
            <w:tcW w:w="2026" w:type="dxa"/>
          </w:tcPr>
          <w:p w14:paraId="14EB3919"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 narrative of experiences and reactions, but these are not fully detailed.</w:t>
            </w:r>
          </w:p>
        </w:tc>
        <w:tc>
          <w:tcPr>
            <w:tcW w:w="1926" w:type="dxa"/>
          </w:tcPr>
          <w:p w14:paraId="1EFA30B4"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either the narrative of experiences, or the affective reactions, but not both.</w:t>
            </w:r>
          </w:p>
        </w:tc>
        <w:tc>
          <w:tcPr>
            <w:tcW w:w="1743" w:type="dxa"/>
          </w:tcPr>
          <w:p w14:paraId="7F2B1AD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neither the narrative of experiences, nor the affective reactions.</w:t>
            </w:r>
          </w:p>
        </w:tc>
      </w:tr>
      <w:tr w:rsidR="00E32260" w:rsidRPr="003B4D4D" w14:paraId="71211399" w14:textId="77777777" w:rsidTr="00CF343C">
        <w:tc>
          <w:tcPr>
            <w:tcW w:w="1855" w:type="dxa"/>
          </w:tcPr>
          <w:p w14:paraId="4132F235"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Analysis </w:t>
            </w:r>
          </w:p>
        </w:tc>
        <w:tc>
          <w:tcPr>
            <w:tcW w:w="2026" w:type="dxa"/>
          </w:tcPr>
          <w:p w14:paraId="5A82A655"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an explicit analysis of the learning outcomes of the experience for the participant, including its relevance for ESOL.</w:t>
            </w:r>
          </w:p>
        </w:tc>
        <w:tc>
          <w:tcPr>
            <w:tcW w:w="2026" w:type="dxa"/>
          </w:tcPr>
          <w:p w14:paraId="6133E4DE"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mentions the learning outcomes but does not directly link to relevance for ESOL.</w:t>
            </w:r>
          </w:p>
        </w:tc>
        <w:tc>
          <w:tcPr>
            <w:tcW w:w="1926" w:type="dxa"/>
          </w:tcPr>
          <w:p w14:paraId="1EDFF84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implies learning outcomes but does not develop them explicitly.</w:t>
            </w:r>
          </w:p>
        </w:tc>
        <w:tc>
          <w:tcPr>
            <w:tcW w:w="1743" w:type="dxa"/>
          </w:tcPr>
          <w:p w14:paraId="1143CD21"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There is no evidence of the learning outcomes of the experience for the participant.</w:t>
            </w:r>
          </w:p>
        </w:tc>
      </w:tr>
      <w:tr w:rsidR="00E32260" w:rsidRPr="003B4D4D" w14:paraId="1882B2D8" w14:textId="77777777" w:rsidTr="00CF343C">
        <w:tc>
          <w:tcPr>
            <w:tcW w:w="1855" w:type="dxa"/>
          </w:tcPr>
          <w:p w14:paraId="1CF9BFA8"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Connection to theory </w:t>
            </w:r>
          </w:p>
        </w:tc>
        <w:tc>
          <w:tcPr>
            <w:tcW w:w="2026" w:type="dxa"/>
          </w:tcPr>
          <w:p w14:paraId="343A593D"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specifically and appropriately relates the experience and outcomes to at least two theoretical constructs discussed in the course.</w:t>
            </w:r>
          </w:p>
        </w:tc>
        <w:tc>
          <w:tcPr>
            <w:tcW w:w="2026" w:type="dxa"/>
          </w:tcPr>
          <w:p w14:paraId="3D7E3E65"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relates the experience and outcomes to at least two theoretical constructs discussed in the course, but not always appropriately</w:t>
            </w:r>
          </w:p>
        </w:tc>
        <w:tc>
          <w:tcPr>
            <w:tcW w:w="1926" w:type="dxa"/>
          </w:tcPr>
          <w:p w14:paraId="2F2C7C3D"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relates the experience and outcomes to one theoretical construct discussed in the course.</w:t>
            </w:r>
          </w:p>
        </w:tc>
        <w:tc>
          <w:tcPr>
            <w:tcW w:w="1743" w:type="dxa"/>
          </w:tcPr>
          <w:p w14:paraId="58A6F7F1"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does not relate the experience to any theoretical constructs from the course.</w:t>
            </w:r>
          </w:p>
        </w:tc>
      </w:tr>
      <w:tr w:rsidR="00E32260" w:rsidRPr="003B4D4D" w14:paraId="2A13B926" w14:textId="77777777" w:rsidTr="00CF343C">
        <w:tc>
          <w:tcPr>
            <w:tcW w:w="1855" w:type="dxa"/>
          </w:tcPr>
          <w:p w14:paraId="6913B739"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Writing </w:t>
            </w:r>
          </w:p>
        </w:tc>
        <w:tc>
          <w:tcPr>
            <w:tcW w:w="2026" w:type="dxa"/>
          </w:tcPr>
          <w:p w14:paraId="3468ECBC" w14:textId="77777777" w:rsidR="00E32260" w:rsidRPr="00F7705C" w:rsidRDefault="00E32260" w:rsidP="00CF343C">
            <w:pPr>
              <w:pStyle w:val="Default"/>
              <w:rPr>
                <w:rFonts w:ascii="Arial" w:hAnsi="Arial" w:cs="Arial"/>
                <w:sz w:val="20"/>
                <w:szCs w:val="20"/>
              </w:rPr>
            </w:pPr>
            <w:r w:rsidRPr="00F7705C">
              <w:rPr>
                <w:rFonts w:ascii="Arial" w:hAnsi="Arial" w:cs="Arial"/>
                <w:sz w:val="20"/>
                <w:szCs w:val="20"/>
              </w:rPr>
              <w:t>Project write-up is at least 3 pages, double spaces and uses standard written English and contains no errors of spelling, punctuation or usage.</w:t>
            </w:r>
          </w:p>
        </w:tc>
        <w:tc>
          <w:tcPr>
            <w:tcW w:w="2026" w:type="dxa"/>
          </w:tcPr>
          <w:p w14:paraId="384EB8C5" w14:textId="77777777" w:rsidR="00E32260" w:rsidRPr="00F7705C" w:rsidRDefault="00E32260" w:rsidP="00CF343C">
            <w:pPr>
              <w:pStyle w:val="Default"/>
              <w:rPr>
                <w:rFonts w:ascii="Arial" w:hAnsi="Arial" w:cs="Arial"/>
                <w:sz w:val="20"/>
                <w:szCs w:val="20"/>
              </w:rPr>
            </w:pPr>
            <w:r w:rsidRPr="003B4D4D">
              <w:rPr>
                <w:rFonts w:ascii="Arial" w:hAnsi="Arial" w:cs="Arial"/>
                <w:sz w:val="20"/>
                <w:szCs w:val="20"/>
              </w:rPr>
              <w:t>Project write-up is at least 2 pages, double spaced. Write-up contains some errors of spelling, punctuation or usage, but these do not impede comprehension</w:t>
            </w:r>
          </w:p>
        </w:tc>
        <w:tc>
          <w:tcPr>
            <w:tcW w:w="1926" w:type="dxa"/>
          </w:tcPr>
          <w:p w14:paraId="3F133A8E"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Project write-up is less than 2 pages in length or. </w:t>
            </w:r>
          </w:p>
          <w:p w14:paraId="5FBA1D05"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errors of spelling, punctuation or usage which impede comprehension</w:t>
            </w:r>
          </w:p>
        </w:tc>
        <w:tc>
          <w:tcPr>
            <w:tcW w:w="1743" w:type="dxa"/>
          </w:tcPr>
          <w:p w14:paraId="01F834F1"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Paper is not written in a narrative style or is not coherently organized </w:t>
            </w:r>
          </w:p>
        </w:tc>
      </w:tr>
    </w:tbl>
    <w:p w14:paraId="51B2B81A" w14:textId="77777777" w:rsidR="00E32260" w:rsidRDefault="00E32260">
      <w:pPr>
        <w:rPr>
          <w:rFonts w:ascii="Arial" w:hAnsi="Arial" w:cs="Arial"/>
          <w:sz w:val="24"/>
          <w:szCs w:val="24"/>
        </w:rPr>
      </w:pPr>
    </w:p>
    <w:p w14:paraId="504DB15C" w14:textId="77777777" w:rsidR="00E32260" w:rsidRDefault="00E32260">
      <w:pPr>
        <w:rPr>
          <w:rFonts w:ascii="Arial" w:hAnsi="Arial" w:cs="Arial"/>
          <w:sz w:val="24"/>
          <w:szCs w:val="24"/>
        </w:rPr>
      </w:pPr>
    </w:p>
    <w:p w14:paraId="4F99F02F" w14:textId="77777777" w:rsidR="00E32260" w:rsidRPr="00E32260" w:rsidRDefault="00E32260">
      <w:pPr>
        <w:rPr>
          <w:rFonts w:ascii="Arial" w:hAnsi="Arial" w:cs="Arial"/>
          <w:b/>
          <w:sz w:val="24"/>
          <w:szCs w:val="24"/>
        </w:rPr>
      </w:pPr>
      <w:r w:rsidRPr="00E32260">
        <w:rPr>
          <w:rFonts w:ascii="Arial" w:hAnsi="Arial" w:cs="Arial"/>
          <w:b/>
          <w:sz w:val="24"/>
          <w:szCs w:val="24"/>
        </w:rPr>
        <w:lastRenderedPageBreak/>
        <w:t xml:space="preserve">Appendix C: Cultural Miscommunication Paper </w:t>
      </w:r>
    </w:p>
    <w:tbl>
      <w:tblPr>
        <w:tblStyle w:val="TableGrid"/>
        <w:tblW w:w="9445" w:type="dxa"/>
        <w:tblLook w:val="04A0" w:firstRow="1" w:lastRow="0" w:firstColumn="1" w:lastColumn="0" w:noHBand="0" w:noVBand="1"/>
      </w:tblPr>
      <w:tblGrid>
        <w:gridCol w:w="2111"/>
        <w:gridCol w:w="2294"/>
        <w:gridCol w:w="2340"/>
        <w:gridCol w:w="2700"/>
      </w:tblGrid>
      <w:tr w:rsidR="00E32260" w14:paraId="23745421" w14:textId="77777777" w:rsidTr="00E32260">
        <w:tc>
          <w:tcPr>
            <w:tcW w:w="2111" w:type="dxa"/>
          </w:tcPr>
          <w:p w14:paraId="5FA02C24" w14:textId="77777777" w:rsidR="00E32260" w:rsidRDefault="00E32260" w:rsidP="00CF343C"/>
        </w:tc>
        <w:tc>
          <w:tcPr>
            <w:tcW w:w="2294" w:type="dxa"/>
          </w:tcPr>
          <w:p w14:paraId="1ECA3E97" w14:textId="77777777" w:rsidR="00E32260" w:rsidRDefault="00E32260" w:rsidP="00CF343C">
            <w:r>
              <w:t>10-8</w:t>
            </w:r>
          </w:p>
        </w:tc>
        <w:tc>
          <w:tcPr>
            <w:tcW w:w="2340" w:type="dxa"/>
          </w:tcPr>
          <w:p w14:paraId="4FCFF4B5" w14:textId="77777777" w:rsidR="00E32260" w:rsidRDefault="00E32260" w:rsidP="00CF343C">
            <w:r>
              <w:t>7-4</w:t>
            </w:r>
          </w:p>
        </w:tc>
        <w:tc>
          <w:tcPr>
            <w:tcW w:w="2700" w:type="dxa"/>
          </w:tcPr>
          <w:p w14:paraId="77EB9306" w14:textId="77777777" w:rsidR="00E32260" w:rsidRDefault="00E32260" w:rsidP="00CF343C">
            <w:r>
              <w:t>3-1</w:t>
            </w:r>
          </w:p>
        </w:tc>
      </w:tr>
      <w:tr w:rsidR="00E32260" w14:paraId="0E0ECD8E" w14:textId="77777777" w:rsidTr="00E32260">
        <w:tc>
          <w:tcPr>
            <w:tcW w:w="2111" w:type="dxa"/>
          </w:tcPr>
          <w:p w14:paraId="40CC2EB6" w14:textId="77777777" w:rsidR="00E32260" w:rsidRDefault="00E32260" w:rsidP="00CF343C">
            <w:r>
              <w:t xml:space="preserve">Description of cultural phenomenon </w:t>
            </w:r>
          </w:p>
        </w:tc>
        <w:tc>
          <w:tcPr>
            <w:tcW w:w="2294" w:type="dxa"/>
          </w:tcPr>
          <w:p w14:paraId="7428C2D9" w14:textId="77777777" w:rsidR="00E32260" w:rsidRDefault="00E32260" w:rsidP="00CF343C">
            <w:r>
              <w:t xml:space="preserve">The description is a specific cultural phenomenon that is attributable to a specific culture and the meaning to that culture is included. </w:t>
            </w:r>
          </w:p>
        </w:tc>
        <w:tc>
          <w:tcPr>
            <w:tcW w:w="2340" w:type="dxa"/>
          </w:tcPr>
          <w:p w14:paraId="5AC7EAA7" w14:textId="77777777" w:rsidR="00E32260" w:rsidRDefault="00E32260" w:rsidP="00CF343C">
            <w:r>
              <w:t xml:space="preserve">The description of the cultural phenomenon is not attributed to a specific culture but a region of the world, (For example, Asian instead of Chinese.) </w:t>
            </w:r>
          </w:p>
        </w:tc>
        <w:tc>
          <w:tcPr>
            <w:tcW w:w="2700" w:type="dxa"/>
          </w:tcPr>
          <w:p w14:paraId="4281F131" w14:textId="77777777" w:rsidR="00E32260" w:rsidRDefault="00E32260" w:rsidP="00CF343C">
            <w:r>
              <w:t xml:space="preserve">The description of the phenomenon does not include enough details to attribute it to any particular culture. OR No possible misinterpretations are included. </w:t>
            </w:r>
          </w:p>
        </w:tc>
      </w:tr>
      <w:tr w:rsidR="00E32260" w14:paraId="33FBC517" w14:textId="77777777" w:rsidTr="00E32260">
        <w:tc>
          <w:tcPr>
            <w:tcW w:w="2111" w:type="dxa"/>
          </w:tcPr>
          <w:p w14:paraId="68F07183" w14:textId="77777777" w:rsidR="00E32260" w:rsidRDefault="00E32260" w:rsidP="00CF343C">
            <w:r>
              <w:t xml:space="preserve">Consequences of Misinterpretation </w:t>
            </w:r>
          </w:p>
        </w:tc>
        <w:tc>
          <w:tcPr>
            <w:tcW w:w="2294" w:type="dxa"/>
          </w:tcPr>
          <w:p w14:paraId="6B3F9FE1" w14:textId="77777777" w:rsidR="00E32260" w:rsidRDefault="00E32260" w:rsidP="00CF343C">
            <w:r>
              <w:t xml:space="preserve">The paper offers three ways of how the phenomenon could be misinterpreted and the direct consequences of those misinterpretations in three different cultural contexts.  </w:t>
            </w:r>
          </w:p>
        </w:tc>
        <w:tc>
          <w:tcPr>
            <w:tcW w:w="2340" w:type="dxa"/>
          </w:tcPr>
          <w:p w14:paraId="02E56D28" w14:textId="77777777" w:rsidR="00E32260" w:rsidRDefault="00E32260" w:rsidP="00CF343C">
            <w:r>
              <w:t xml:space="preserve">The paper offers three ways of how the phenomenon could be misinterpreted but the consequences of misinterpretation are vaguely described. </w:t>
            </w:r>
          </w:p>
        </w:tc>
        <w:tc>
          <w:tcPr>
            <w:tcW w:w="2700" w:type="dxa"/>
          </w:tcPr>
          <w:p w14:paraId="36995918" w14:textId="77777777" w:rsidR="00E32260" w:rsidRDefault="00E32260" w:rsidP="00CF343C">
            <w:r>
              <w:t xml:space="preserve">The paper offers less than three different interpretations, or the details are not connected to a specific cultural context. </w:t>
            </w:r>
          </w:p>
        </w:tc>
      </w:tr>
      <w:tr w:rsidR="00E32260" w14:paraId="73E65EC2" w14:textId="77777777" w:rsidTr="00E32260">
        <w:tc>
          <w:tcPr>
            <w:tcW w:w="2111" w:type="dxa"/>
          </w:tcPr>
          <w:p w14:paraId="5CC4C5E4" w14:textId="77777777" w:rsidR="00E32260" w:rsidRDefault="00E32260" w:rsidP="00CF343C">
            <w:r>
              <w:t xml:space="preserve">Actions to minimize the possibility of miscommunication </w:t>
            </w:r>
          </w:p>
        </w:tc>
        <w:tc>
          <w:tcPr>
            <w:tcW w:w="2294" w:type="dxa"/>
          </w:tcPr>
          <w:p w14:paraId="03E8A10F" w14:textId="77777777" w:rsidR="00E32260" w:rsidRDefault="00E32260" w:rsidP="00CF343C">
            <w:r>
              <w:t>Three actions are included with a sound reasoning of how the action would alleviate miscommunication</w:t>
            </w:r>
          </w:p>
        </w:tc>
        <w:tc>
          <w:tcPr>
            <w:tcW w:w="2340" w:type="dxa"/>
          </w:tcPr>
          <w:p w14:paraId="0E777F24" w14:textId="77777777" w:rsidR="00E32260" w:rsidRDefault="00E32260" w:rsidP="00CF343C">
            <w:r>
              <w:t xml:space="preserve">Two actions are included, but the reasoning does not explain how the action would alleviate miscommunication. </w:t>
            </w:r>
          </w:p>
        </w:tc>
        <w:tc>
          <w:tcPr>
            <w:tcW w:w="2700" w:type="dxa"/>
          </w:tcPr>
          <w:p w14:paraId="19552E85" w14:textId="77777777" w:rsidR="00E32260" w:rsidRDefault="00E32260" w:rsidP="00CF343C">
            <w:r>
              <w:t>Only one action is included.</w:t>
            </w:r>
          </w:p>
        </w:tc>
      </w:tr>
      <w:tr w:rsidR="00E32260" w14:paraId="5986AE2E" w14:textId="77777777" w:rsidTr="00E32260">
        <w:tc>
          <w:tcPr>
            <w:tcW w:w="2111" w:type="dxa"/>
          </w:tcPr>
          <w:p w14:paraId="67CE2C63" w14:textId="77777777" w:rsidR="00E32260" w:rsidRDefault="00E32260" w:rsidP="00CF343C">
            <w:r>
              <w:t>Pedagogical Implications</w:t>
            </w:r>
          </w:p>
        </w:tc>
        <w:tc>
          <w:tcPr>
            <w:tcW w:w="2294" w:type="dxa"/>
          </w:tcPr>
          <w:p w14:paraId="6B89D22A" w14:textId="77777777" w:rsidR="00E32260" w:rsidRDefault="00E32260" w:rsidP="00CF343C">
            <w:r>
              <w:t xml:space="preserve">The paper offers specific ways in which the knowledge will influence instruction.   </w:t>
            </w:r>
          </w:p>
        </w:tc>
        <w:tc>
          <w:tcPr>
            <w:tcW w:w="2340" w:type="dxa"/>
          </w:tcPr>
          <w:p w14:paraId="21508D4C" w14:textId="77777777" w:rsidR="00E32260" w:rsidRDefault="00E32260" w:rsidP="00CF343C">
            <w:r>
              <w:t xml:space="preserve">The paper offers general strategies that can be used in the classroom, but there is little connection to the rest of the paper. </w:t>
            </w:r>
          </w:p>
        </w:tc>
        <w:tc>
          <w:tcPr>
            <w:tcW w:w="2700" w:type="dxa"/>
          </w:tcPr>
          <w:p w14:paraId="2A494FC9" w14:textId="77777777" w:rsidR="00E32260" w:rsidRDefault="00E32260" w:rsidP="00CF343C">
            <w:r>
              <w:t xml:space="preserve">The paper does offer specific classroom strategies. </w:t>
            </w:r>
          </w:p>
        </w:tc>
      </w:tr>
      <w:tr w:rsidR="00E32260" w14:paraId="152B99A6" w14:textId="77777777" w:rsidTr="00E32260">
        <w:tc>
          <w:tcPr>
            <w:tcW w:w="2111" w:type="dxa"/>
          </w:tcPr>
          <w:p w14:paraId="1ED50496" w14:textId="77777777" w:rsidR="00E32260" w:rsidRDefault="00E32260" w:rsidP="00CF343C">
            <w:r>
              <w:t xml:space="preserve">Writing &amp; Research Support </w:t>
            </w:r>
          </w:p>
        </w:tc>
        <w:tc>
          <w:tcPr>
            <w:tcW w:w="2294" w:type="dxa"/>
          </w:tcPr>
          <w:p w14:paraId="6D1DBB37" w14:textId="77777777" w:rsidR="00E32260" w:rsidRDefault="00E32260" w:rsidP="00CF343C">
            <w:r>
              <w:t xml:space="preserve">Paper is well-written and free of errors. Research support is amply included to support the points throughout the paper. </w:t>
            </w:r>
          </w:p>
        </w:tc>
        <w:tc>
          <w:tcPr>
            <w:tcW w:w="2340" w:type="dxa"/>
          </w:tcPr>
          <w:p w14:paraId="28A42D2F" w14:textId="77777777" w:rsidR="00E32260" w:rsidRDefault="00E32260" w:rsidP="00CF343C">
            <w:r>
              <w:t xml:space="preserve">Paper has an occasional error. Research is  occasionally used to support the points, but more support is needed. </w:t>
            </w:r>
          </w:p>
        </w:tc>
        <w:tc>
          <w:tcPr>
            <w:tcW w:w="2700" w:type="dxa"/>
          </w:tcPr>
          <w:p w14:paraId="3D6635D2" w14:textId="77777777" w:rsidR="00E32260" w:rsidRDefault="00E32260" w:rsidP="00CF343C">
            <w:r>
              <w:t xml:space="preserve">Paper has multiple errors that interfere with meaning. No research support is provided. </w:t>
            </w:r>
          </w:p>
        </w:tc>
      </w:tr>
    </w:tbl>
    <w:p w14:paraId="2EFCB602" w14:textId="77777777" w:rsidR="006679EE" w:rsidRDefault="006679EE" w:rsidP="008C34D2">
      <w:pPr>
        <w:pStyle w:val="Header"/>
        <w:tabs>
          <w:tab w:val="clear" w:pos="4320"/>
          <w:tab w:val="clear" w:pos="8640"/>
        </w:tabs>
        <w:rPr>
          <w:rFonts w:ascii="Arial" w:hAnsi="Arial" w:cs="Arial"/>
          <w:b/>
          <w:sz w:val="28"/>
          <w:szCs w:val="28"/>
        </w:rPr>
      </w:pPr>
    </w:p>
    <w:p w14:paraId="21C99232" w14:textId="77777777" w:rsidR="006679EE" w:rsidRDefault="006679EE">
      <w:pPr>
        <w:rPr>
          <w:rFonts w:ascii="Arial" w:eastAsia="Times New Roman" w:hAnsi="Arial" w:cs="Arial"/>
          <w:b/>
          <w:sz w:val="28"/>
          <w:szCs w:val="28"/>
        </w:rPr>
      </w:pPr>
      <w:r>
        <w:rPr>
          <w:rFonts w:ascii="Arial" w:hAnsi="Arial" w:cs="Arial"/>
          <w:b/>
          <w:sz w:val="28"/>
          <w:szCs w:val="28"/>
        </w:rPr>
        <w:br w:type="page"/>
      </w:r>
    </w:p>
    <w:p w14:paraId="6FA13C96" w14:textId="2FDF3A3A" w:rsidR="008C34D2" w:rsidRPr="00D816C6" w:rsidRDefault="00BB6A61" w:rsidP="008C34D2">
      <w:pPr>
        <w:pStyle w:val="Header"/>
        <w:tabs>
          <w:tab w:val="clear" w:pos="4320"/>
          <w:tab w:val="clear" w:pos="8640"/>
        </w:tabs>
        <w:rPr>
          <w:rFonts w:ascii="Arial" w:hAnsi="Arial" w:cs="Arial"/>
          <w:b/>
          <w:sz w:val="28"/>
          <w:szCs w:val="28"/>
        </w:rPr>
      </w:pPr>
      <w:r>
        <w:rPr>
          <w:rFonts w:ascii="Arial" w:hAnsi="Arial" w:cs="Arial"/>
          <w:b/>
          <w:sz w:val="28"/>
          <w:szCs w:val="28"/>
        </w:rPr>
        <w:lastRenderedPageBreak/>
        <w:t>Appendix D</w:t>
      </w:r>
      <w:r w:rsidR="008C34D2">
        <w:rPr>
          <w:rFonts w:ascii="Arial" w:hAnsi="Arial" w:cs="Arial"/>
          <w:b/>
          <w:sz w:val="28"/>
          <w:szCs w:val="28"/>
        </w:rPr>
        <w:t xml:space="preserve"> </w:t>
      </w:r>
      <w:r w:rsidR="008C34D2" w:rsidRPr="009D724F">
        <w:rPr>
          <w:rFonts w:ascii="Arial" w:hAnsi="Arial" w:cs="Arial"/>
          <w:b/>
          <w:sz w:val="28"/>
          <w:szCs w:val="28"/>
        </w:rPr>
        <w:t>Reader Response Paper Rubric</w:t>
      </w:r>
    </w:p>
    <w:tbl>
      <w:tblPr>
        <w:tblW w:w="9576" w:type="dxa"/>
        <w:tblBorders>
          <w:top w:val="nil"/>
          <w:left w:val="nil"/>
          <w:bottom w:val="nil"/>
          <w:right w:val="nil"/>
        </w:tblBorders>
        <w:tblLook w:val="0000" w:firstRow="0" w:lastRow="0" w:firstColumn="0" w:lastColumn="0" w:noHBand="0" w:noVBand="0"/>
      </w:tblPr>
      <w:tblGrid>
        <w:gridCol w:w="2197"/>
        <w:gridCol w:w="1653"/>
        <w:gridCol w:w="1694"/>
        <w:gridCol w:w="1854"/>
        <w:gridCol w:w="2178"/>
      </w:tblGrid>
      <w:tr w:rsidR="008C34D2" w:rsidRPr="00727892" w14:paraId="4EDBA016" w14:textId="77777777" w:rsidTr="00CF343C">
        <w:trPr>
          <w:trHeight w:val="50"/>
        </w:trPr>
        <w:tc>
          <w:tcPr>
            <w:tcW w:w="2197" w:type="dxa"/>
            <w:tcBorders>
              <w:top w:val="single" w:sz="12" w:space="0" w:color="CBCBCB"/>
              <w:left w:val="double" w:sz="12" w:space="0" w:color="CBCBCB"/>
              <w:bottom w:val="double" w:sz="7" w:space="0" w:color="CBCBCB"/>
              <w:right w:val="double" w:sz="12" w:space="0" w:color="CBCBCB"/>
            </w:tcBorders>
          </w:tcPr>
          <w:p w14:paraId="179E4127" w14:textId="77777777" w:rsidR="008C34D2" w:rsidRPr="00727892" w:rsidRDefault="008C34D2" w:rsidP="00CF343C">
            <w:pPr>
              <w:autoSpaceDE w:val="0"/>
              <w:autoSpaceDN w:val="0"/>
              <w:adjustRightInd w:val="0"/>
              <w:rPr>
                <w:rFonts w:ascii="PMARRW+Helvetica-Bold" w:eastAsia="Calibri" w:hAnsi="PMARRW+Helvetica-Bold" w:cs="PMARRW+Helvetica-Bold"/>
                <w:color w:val="000000"/>
                <w:sz w:val="19"/>
                <w:szCs w:val="19"/>
              </w:rPr>
            </w:pPr>
            <w:r w:rsidRPr="00727892">
              <w:rPr>
                <w:rFonts w:ascii="PMARRW+Helvetica-Bold" w:eastAsia="Calibri" w:hAnsi="PMARRW+Helvetica-Bold" w:cs="PMARRW+Helvetica-Bold"/>
                <w:b/>
                <w:bCs/>
                <w:color w:val="000000"/>
                <w:sz w:val="19"/>
                <w:szCs w:val="19"/>
              </w:rPr>
              <w:t xml:space="preserve">CRITERION: </w:t>
            </w:r>
          </w:p>
        </w:tc>
        <w:tc>
          <w:tcPr>
            <w:tcW w:w="1653" w:type="dxa"/>
            <w:tcBorders>
              <w:top w:val="single" w:sz="12" w:space="0" w:color="CBCBCB"/>
              <w:left w:val="double" w:sz="12" w:space="0" w:color="CBCBCB"/>
              <w:bottom w:val="double" w:sz="7" w:space="0" w:color="CBCBCB"/>
              <w:right w:val="double" w:sz="12" w:space="0" w:color="CBCBCB"/>
            </w:tcBorders>
          </w:tcPr>
          <w:p w14:paraId="2D3635FB" w14:textId="77777777" w:rsidR="008C34D2"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0</w:t>
            </w:r>
          </w:p>
        </w:tc>
        <w:tc>
          <w:tcPr>
            <w:tcW w:w="1694" w:type="dxa"/>
            <w:tcBorders>
              <w:top w:val="single" w:sz="12" w:space="0" w:color="CBCBCB"/>
              <w:left w:val="double" w:sz="12" w:space="0" w:color="CBCBCB"/>
              <w:bottom w:val="double" w:sz="7" w:space="0" w:color="CBCBCB"/>
              <w:right w:val="double" w:sz="12" w:space="0" w:color="CBCBCB"/>
            </w:tcBorders>
          </w:tcPr>
          <w:p w14:paraId="13C1BC99" w14:textId="77777777" w:rsidR="008C34D2"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1</w:t>
            </w:r>
          </w:p>
        </w:tc>
        <w:tc>
          <w:tcPr>
            <w:tcW w:w="1854" w:type="dxa"/>
            <w:tcBorders>
              <w:top w:val="single" w:sz="12" w:space="0" w:color="CBCBCB"/>
              <w:left w:val="double" w:sz="12" w:space="0" w:color="CBCBCB"/>
              <w:bottom w:val="double" w:sz="7" w:space="0" w:color="CBCBCB"/>
              <w:right w:val="double" w:sz="12" w:space="0" w:color="CBCBCB"/>
            </w:tcBorders>
          </w:tcPr>
          <w:p w14:paraId="0A6CE7F7" w14:textId="77777777" w:rsidR="008C34D2" w:rsidRPr="009D724F"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2-3</w:t>
            </w:r>
          </w:p>
        </w:tc>
        <w:tc>
          <w:tcPr>
            <w:tcW w:w="2178" w:type="dxa"/>
            <w:tcBorders>
              <w:top w:val="single" w:sz="12" w:space="0" w:color="CBCBCB"/>
              <w:left w:val="double" w:sz="12" w:space="0" w:color="CBCBCB"/>
              <w:bottom w:val="double" w:sz="7" w:space="0" w:color="CBCBCB"/>
              <w:right w:val="double" w:sz="12" w:space="0" w:color="CBCBCB"/>
            </w:tcBorders>
          </w:tcPr>
          <w:p w14:paraId="0F0BB2EB" w14:textId="77777777" w:rsidR="008C34D2" w:rsidRPr="009D724F" w:rsidRDefault="008C34D2" w:rsidP="00CF343C">
            <w:pPr>
              <w:autoSpaceDE w:val="0"/>
              <w:autoSpaceDN w:val="0"/>
              <w:adjustRightInd w:val="0"/>
              <w:rPr>
                <w:rFonts w:ascii="DQPKFB+Helvetica-Bold" w:eastAsia="DQPKFB+Helvetica-Bold" w:hAnsi="PMARRW+Helvetica-Bold" w:cs="DQPKFB+Helvetica-Bold"/>
                <w:b/>
                <w:color w:val="000000"/>
              </w:rPr>
            </w:pPr>
            <w:r>
              <w:rPr>
                <w:rFonts w:ascii="DQPKFB+Helvetica-Bold" w:eastAsia="DQPKFB+Helvetica-Bold" w:hAnsi="PMARRW+Helvetica-Bold" w:cs="DQPKFB+Helvetica-Bold"/>
                <w:b/>
                <w:color w:val="000000"/>
              </w:rPr>
              <w:t>4</w:t>
            </w:r>
          </w:p>
        </w:tc>
      </w:tr>
      <w:tr w:rsidR="008C34D2" w:rsidRPr="00727892" w14:paraId="271A789B"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5A99471B" w14:textId="77777777" w:rsidR="008C34D2" w:rsidRPr="00727892" w:rsidRDefault="008C34D2" w:rsidP="00CF343C">
            <w:pPr>
              <w:autoSpaceDE w:val="0"/>
              <w:autoSpaceDN w:val="0"/>
              <w:adjustRightInd w:val="0"/>
              <w:rPr>
                <w:rFonts w:ascii="PMARRW+Helvetica-Bold" w:eastAsia="Calibri" w:hAnsi="PMARRW+Helvetica-Bold" w:cs="PMARRW+Helvetica-Bold"/>
                <w:b/>
                <w:bCs/>
                <w:color w:val="000000"/>
                <w:sz w:val="19"/>
                <w:szCs w:val="19"/>
              </w:rPr>
            </w:pPr>
            <w:r>
              <w:rPr>
                <w:rFonts w:ascii="PMARRW+Helvetica-Bold" w:eastAsia="Calibri" w:hAnsi="PMARRW+Helvetica-Bold" w:cs="PMARRW+Helvetica-Bold"/>
                <w:b/>
                <w:bCs/>
                <w:color w:val="000000"/>
                <w:sz w:val="19"/>
                <w:szCs w:val="19"/>
              </w:rPr>
              <w:t>Summary</w:t>
            </w:r>
          </w:p>
        </w:tc>
        <w:tc>
          <w:tcPr>
            <w:tcW w:w="1653" w:type="dxa"/>
            <w:tcBorders>
              <w:top w:val="single" w:sz="12" w:space="0" w:color="CBCBCB"/>
              <w:left w:val="double" w:sz="12" w:space="0" w:color="CBCBCB"/>
              <w:bottom w:val="double" w:sz="12" w:space="0" w:color="CBCBCB"/>
              <w:right w:val="double" w:sz="12" w:space="0" w:color="CBCBCB"/>
            </w:tcBorders>
          </w:tcPr>
          <w:p w14:paraId="4549ABDA"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No summary is present in the paper</w:t>
            </w:r>
          </w:p>
        </w:tc>
        <w:tc>
          <w:tcPr>
            <w:tcW w:w="1694" w:type="dxa"/>
            <w:tcBorders>
              <w:top w:val="single" w:sz="12" w:space="0" w:color="CBCBCB"/>
              <w:left w:val="double" w:sz="12" w:space="0" w:color="CBCBCB"/>
              <w:bottom w:val="double" w:sz="12" w:space="0" w:color="CBCBCB"/>
              <w:right w:val="double" w:sz="12" w:space="0" w:color="CBCBCB"/>
            </w:tcBorders>
          </w:tcPr>
          <w:p w14:paraId="3652AA41"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is brief and is missing some major components of the reading. </w:t>
            </w:r>
          </w:p>
        </w:tc>
        <w:tc>
          <w:tcPr>
            <w:tcW w:w="1854" w:type="dxa"/>
            <w:tcBorders>
              <w:top w:val="single" w:sz="12" w:space="0" w:color="CBCBCB"/>
              <w:left w:val="double" w:sz="12" w:space="0" w:color="CBCBCB"/>
              <w:bottom w:val="double" w:sz="12" w:space="0" w:color="CBCBCB"/>
              <w:right w:val="double" w:sz="12" w:space="0" w:color="CBCBCB"/>
            </w:tcBorders>
          </w:tcPr>
          <w:p w14:paraId="1C5A5436"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provides a basic overview of the entire article, but more details are needed.  </w:t>
            </w:r>
          </w:p>
        </w:tc>
        <w:tc>
          <w:tcPr>
            <w:tcW w:w="2178" w:type="dxa"/>
            <w:tcBorders>
              <w:top w:val="single" w:sz="12" w:space="0" w:color="CBCBCB"/>
              <w:left w:val="double" w:sz="12" w:space="0" w:color="CBCBCB"/>
              <w:bottom w:val="double" w:sz="12" w:space="0" w:color="CBCBCB"/>
              <w:right w:val="double" w:sz="12" w:space="0" w:color="CBCBCB"/>
            </w:tcBorders>
          </w:tcPr>
          <w:p w14:paraId="505D51DD"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is one paragraph long and provides the highlights of the article </w:t>
            </w:r>
          </w:p>
        </w:tc>
      </w:tr>
      <w:tr w:rsidR="008C34D2" w:rsidRPr="00727892" w14:paraId="7A46F066"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3D91ACAC" w14:textId="77777777" w:rsidR="008C34D2" w:rsidRPr="00727892" w:rsidRDefault="008C34D2" w:rsidP="00CF343C">
            <w:pPr>
              <w:autoSpaceDE w:val="0"/>
              <w:autoSpaceDN w:val="0"/>
              <w:adjustRightInd w:val="0"/>
              <w:rPr>
                <w:rFonts w:ascii="PMARRW+Helvetica-Bold" w:eastAsia="Calibri" w:hAnsi="PMARRW+Helvetica-Bold" w:cs="PMARRW+Helvetica-Bold"/>
                <w:b/>
                <w:bCs/>
                <w:color w:val="000000"/>
                <w:sz w:val="19"/>
                <w:szCs w:val="19"/>
              </w:rPr>
            </w:pPr>
            <w:r>
              <w:rPr>
                <w:rFonts w:ascii="PMARRW+Helvetica-Bold" w:eastAsia="Calibri" w:hAnsi="PMARRW+Helvetica-Bold" w:cs="PMARRW+Helvetica-Bold"/>
                <w:b/>
                <w:bCs/>
                <w:color w:val="000000"/>
                <w:sz w:val="19"/>
                <w:szCs w:val="19"/>
              </w:rPr>
              <w:t xml:space="preserve">Organization </w:t>
            </w:r>
          </w:p>
        </w:tc>
        <w:tc>
          <w:tcPr>
            <w:tcW w:w="1653" w:type="dxa"/>
            <w:tcBorders>
              <w:top w:val="single" w:sz="12" w:space="0" w:color="CBCBCB"/>
              <w:left w:val="double" w:sz="12" w:space="0" w:color="CBCBCB"/>
              <w:bottom w:val="double" w:sz="12" w:space="0" w:color="CBCBCB"/>
              <w:right w:val="double" w:sz="12" w:space="0" w:color="CBCBCB"/>
            </w:tcBorders>
          </w:tcPr>
          <w:p w14:paraId="189A1E93"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Paper has no logical form of organization.</w:t>
            </w:r>
          </w:p>
        </w:tc>
        <w:tc>
          <w:tcPr>
            <w:tcW w:w="1694" w:type="dxa"/>
            <w:tcBorders>
              <w:top w:val="single" w:sz="12" w:space="0" w:color="CBCBCB"/>
              <w:left w:val="double" w:sz="12" w:space="0" w:color="CBCBCB"/>
              <w:bottom w:val="double" w:sz="12" w:space="0" w:color="CBCBCB"/>
              <w:right w:val="double" w:sz="12" w:space="0" w:color="CBCBCB"/>
            </w:tcBorders>
          </w:tcPr>
          <w:p w14:paraId="6B93A9F1"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Paper is loosely organized or tries to cover too many points.</w:t>
            </w:r>
          </w:p>
        </w:tc>
        <w:tc>
          <w:tcPr>
            <w:tcW w:w="1854" w:type="dxa"/>
            <w:tcBorders>
              <w:top w:val="single" w:sz="12" w:space="0" w:color="CBCBCB"/>
              <w:left w:val="double" w:sz="12" w:space="0" w:color="CBCBCB"/>
              <w:bottom w:val="double" w:sz="12" w:space="0" w:color="CBCBCB"/>
              <w:right w:val="double" w:sz="12" w:space="0" w:color="CBCBCB"/>
            </w:tcBorders>
          </w:tcPr>
          <w:p w14:paraId="1AEB79C4"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Paper has structure, but more connections between the points are needed.  </w:t>
            </w:r>
          </w:p>
        </w:tc>
        <w:tc>
          <w:tcPr>
            <w:tcW w:w="2178" w:type="dxa"/>
            <w:tcBorders>
              <w:top w:val="single" w:sz="12" w:space="0" w:color="CBCBCB"/>
              <w:left w:val="double" w:sz="12" w:space="0" w:color="CBCBCB"/>
              <w:bottom w:val="double" w:sz="12" w:space="0" w:color="CBCBCB"/>
              <w:right w:val="double" w:sz="12" w:space="0" w:color="CBCBCB"/>
            </w:tcBorders>
          </w:tcPr>
          <w:p w14:paraId="56AB0761" w14:textId="4CFA5ACF"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Paper provides a connection</w:t>
            </w:r>
            <w:bookmarkStart w:id="0" w:name="_GoBack"/>
            <w:bookmarkEnd w:id="0"/>
            <w:r>
              <w:rPr>
                <w:rFonts w:ascii="DGOLHU+Helvetica" w:eastAsia="Calibri" w:hAnsi="DGOLHU+Helvetica" w:cs="DGOLHU+Helvetica"/>
                <w:color w:val="000000"/>
                <w:sz w:val="19"/>
                <w:szCs w:val="19"/>
              </w:rPr>
              <w:t xml:space="preserve"> between the points of discussion.  </w:t>
            </w:r>
          </w:p>
        </w:tc>
      </w:tr>
      <w:tr w:rsidR="008C34D2" w:rsidRPr="00727892" w14:paraId="4CB8A45B"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0E8162EF" w14:textId="77777777" w:rsidR="008C34D2" w:rsidRPr="00727892" w:rsidRDefault="008C34D2" w:rsidP="00CF343C">
            <w:pPr>
              <w:autoSpaceDE w:val="0"/>
              <w:autoSpaceDN w:val="0"/>
              <w:adjustRightInd w:val="0"/>
              <w:rPr>
                <w:rFonts w:ascii="PMARRW+Helvetica-Bold" w:eastAsia="Calibri" w:hAnsi="PMARRW+Helvetica-Bold" w:cs="PMARRW+Helvetica-Bold"/>
                <w:color w:val="000000"/>
                <w:sz w:val="19"/>
                <w:szCs w:val="19"/>
              </w:rPr>
            </w:pPr>
            <w:r>
              <w:rPr>
                <w:rFonts w:ascii="PMARRW+Helvetica-Bold" w:eastAsia="Calibri" w:hAnsi="PMARRW+Helvetica-Bold" w:cs="PMARRW+Helvetica-Bold"/>
                <w:b/>
                <w:bCs/>
                <w:color w:val="000000"/>
                <w:sz w:val="19"/>
                <w:szCs w:val="19"/>
              </w:rPr>
              <w:t>Analysis</w:t>
            </w:r>
          </w:p>
        </w:tc>
        <w:tc>
          <w:tcPr>
            <w:tcW w:w="1653" w:type="dxa"/>
            <w:tcBorders>
              <w:top w:val="single" w:sz="12" w:space="0" w:color="CBCBCB"/>
              <w:left w:val="double" w:sz="12" w:space="0" w:color="CBCBCB"/>
              <w:bottom w:val="double" w:sz="12" w:space="0" w:color="CBCBCB"/>
              <w:right w:val="double" w:sz="12" w:space="0" w:color="CBCBCB"/>
            </w:tcBorders>
          </w:tcPr>
          <w:p w14:paraId="14BD1144"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Provides no analysis or interpretation of the text- instead summarizes the reading </w:t>
            </w:r>
          </w:p>
        </w:tc>
        <w:tc>
          <w:tcPr>
            <w:tcW w:w="1694" w:type="dxa"/>
            <w:tcBorders>
              <w:top w:val="single" w:sz="12" w:space="0" w:color="CBCBCB"/>
              <w:left w:val="double" w:sz="12" w:space="0" w:color="CBCBCB"/>
              <w:bottom w:val="double" w:sz="12" w:space="0" w:color="CBCBCB"/>
              <w:right w:val="double" w:sz="12" w:space="0" w:color="CBCBCB"/>
            </w:tcBorders>
          </w:tcPr>
          <w:p w14:paraId="344C1826"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Offers very little analytical interpretation of the text, or paper goes off on a tangent that is not directly connected to the text. </w:t>
            </w:r>
          </w:p>
        </w:tc>
        <w:tc>
          <w:tcPr>
            <w:tcW w:w="1854" w:type="dxa"/>
            <w:tcBorders>
              <w:top w:val="single" w:sz="12" w:space="0" w:color="CBCBCB"/>
              <w:left w:val="double" w:sz="12" w:space="0" w:color="CBCBCB"/>
              <w:bottom w:val="double" w:sz="12" w:space="0" w:color="CBCBCB"/>
              <w:right w:val="double" w:sz="12" w:space="0" w:color="CBCBCB"/>
            </w:tcBorders>
          </w:tcPr>
          <w:p w14:paraId="6647375A"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Offers analysis of the text, but does not provide adequate support for the analysis. </w:t>
            </w:r>
          </w:p>
        </w:tc>
        <w:tc>
          <w:tcPr>
            <w:tcW w:w="2178" w:type="dxa"/>
            <w:tcBorders>
              <w:top w:val="single" w:sz="12" w:space="0" w:color="CBCBCB"/>
              <w:left w:val="double" w:sz="12" w:space="0" w:color="CBCBCB"/>
              <w:bottom w:val="double" w:sz="12" w:space="0" w:color="CBCBCB"/>
              <w:right w:val="double" w:sz="12" w:space="0" w:color="CBCBCB"/>
            </w:tcBorders>
          </w:tcPr>
          <w:p w14:paraId="552377D2"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Student analyzed</w:t>
            </w:r>
            <w:r w:rsidRPr="00727892">
              <w:rPr>
                <w:rFonts w:ascii="DGOLHU+Helvetica" w:eastAsia="Calibri" w:hAnsi="DGOLHU+Helvetica" w:cs="DGOLHU+Helvetica"/>
                <w:color w:val="000000"/>
                <w:sz w:val="19"/>
                <w:szCs w:val="19"/>
              </w:rPr>
              <w:t xml:space="preserve"> and</w:t>
            </w:r>
            <w:r>
              <w:rPr>
                <w:rFonts w:ascii="DGOLHU+Helvetica" w:eastAsia="Calibri" w:hAnsi="DGOLHU+Helvetica" w:cs="DGOLHU+Helvetica"/>
                <w:color w:val="000000"/>
                <w:sz w:val="19"/>
                <w:szCs w:val="19"/>
              </w:rPr>
              <w:t xml:space="preserve"> critiqued the reading and provided reasoning to support their analysis.  </w:t>
            </w:r>
          </w:p>
        </w:tc>
      </w:tr>
    </w:tbl>
    <w:p w14:paraId="62861491" w14:textId="77777777" w:rsidR="008C34D2" w:rsidRPr="00BA7217" w:rsidRDefault="008C34D2">
      <w:pPr>
        <w:rPr>
          <w:rFonts w:ascii="Arial" w:hAnsi="Arial" w:cs="Arial"/>
          <w:sz w:val="24"/>
          <w:szCs w:val="24"/>
        </w:rPr>
      </w:pPr>
    </w:p>
    <w:sectPr w:rsidR="008C34D2" w:rsidRPr="00BA7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2EC14" w14:textId="77777777" w:rsidR="00752EA3" w:rsidRDefault="00752EA3" w:rsidP="003C28AA">
      <w:pPr>
        <w:spacing w:after="0" w:line="240" w:lineRule="auto"/>
      </w:pPr>
      <w:r>
        <w:separator/>
      </w:r>
    </w:p>
  </w:endnote>
  <w:endnote w:type="continuationSeparator" w:id="0">
    <w:p w14:paraId="5683A132" w14:textId="77777777" w:rsidR="00752EA3" w:rsidRDefault="00752EA3"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ARRW+Helvetica-Bold">
    <w:altName w:val="Arial"/>
    <w:panose1 w:val="00000000000000000000"/>
    <w:charset w:val="00"/>
    <w:family w:val="swiss"/>
    <w:notTrueType/>
    <w:pitch w:val="default"/>
    <w:sig w:usb0="00000003" w:usb1="00000000" w:usb2="00000000" w:usb3="00000000" w:csb0="00000001" w:csb1="00000000"/>
  </w:font>
  <w:font w:name="DQPKFB+Helvetica-Bold">
    <w:altName w:val="Arial Unicode MS"/>
    <w:panose1 w:val="00000000000000000000"/>
    <w:charset w:val="80"/>
    <w:family w:val="swiss"/>
    <w:notTrueType/>
    <w:pitch w:val="default"/>
    <w:sig w:usb0="00000000" w:usb1="08070000" w:usb2="00000010" w:usb3="00000000" w:csb0="00020000" w:csb1="00000000"/>
  </w:font>
  <w:font w:name="DGOLHU+Helvetica">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7ADDE" w14:textId="77777777" w:rsidR="00752EA3" w:rsidRDefault="00752EA3" w:rsidP="003C28AA">
      <w:pPr>
        <w:spacing w:after="0" w:line="240" w:lineRule="auto"/>
      </w:pPr>
      <w:r>
        <w:separator/>
      </w:r>
    </w:p>
  </w:footnote>
  <w:footnote w:type="continuationSeparator" w:id="0">
    <w:p w14:paraId="6BEF1999" w14:textId="77777777" w:rsidR="00752EA3" w:rsidRDefault="00752EA3"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4C1EAA02"/>
    <w:lvl w:ilvl="0" w:tplc="9E0A6F74">
      <w:start w:val="1"/>
      <w:numFmt w:val="upperLetter"/>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EA"/>
    <w:rsid w:val="00027AF8"/>
    <w:rsid w:val="00064C13"/>
    <w:rsid w:val="000D35C3"/>
    <w:rsid w:val="000F1EF4"/>
    <w:rsid w:val="000F33F6"/>
    <w:rsid w:val="00140D97"/>
    <w:rsid w:val="001604D7"/>
    <w:rsid w:val="00177F61"/>
    <w:rsid w:val="00196EAD"/>
    <w:rsid w:val="00196F33"/>
    <w:rsid w:val="001A09B5"/>
    <w:rsid w:val="001D6E7B"/>
    <w:rsid w:val="001F6622"/>
    <w:rsid w:val="001F6A47"/>
    <w:rsid w:val="002167F4"/>
    <w:rsid w:val="0022594E"/>
    <w:rsid w:val="00241D60"/>
    <w:rsid w:val="002425FF"/>
    <w:rsid w:val="00246274"/>
    <w:rsid w:val="002545DD"/>
    <w:rsid w:val="00257BEE"/>
    <w:rsid w:val="00265A66"/>
    <w:rsid w:val="00271D86"/>
    <w:rsid w:val="00276515"/>
    <w:rsid w:val="00282A2A"/>
    <w:rsid w:val="00293B60"/>
    <w:rsid w:val="002A2D64"/>
    <w:rsid w:val="002E02A5"/>
    <w:rsid w:val="002E1ED2"/>
    <w:rsid w:val="002F1339"/>
    <w:rsid w:val="00316FD5"/>
    <w:rsid w:val="003273C0"/>
    <w:rsid w:val="00352F59"/>
    <w:rsid w:val="00360D6A"/>
    <w:rsid w:val="0036533A"/>
    <w:rsid w:val="00386950"/>
    <w:rsid w:val="0039738A"/>
    <w:rsid w:val="003A0595"/>
    <w:rsid w:val="003C28AA"/>
    <w:rsid w:val="003D0594"/>
    <w:rsid w:val="003D31DD"/>
    <w:rsid w:val="003F7689"/>
    <w:rsid w:val="0040156A"/>
    <w:rsid w:val="00417D3B"/>
    <w:rsid w:val="004629F4"/>
    <w:rsid w:val="00477043"/>
    <w:rsid w:val="0048738C"/>
    <w:rsid w:val="00493580"/>
    <w:rsid w:val="004A73E7"/>
    <w:rsid w:val="004B467D"/>
    <w:rsid w:val="004C518A"/>
    <w:rsid w:val="004D5201"/>
    <w:rsid w:val="004E48CD"/>
    <w:rsid w:val="004E7E84"/>
    <w:rsid w:val="004F6EF6"/>
    <w:rsid w:val="004F7D1A"/>
    <w:rsid w:val="005022F7"/>
    <w:rsid w:val="00507CB5"/>
    <w:rsid w:val="00514EAD"/>
    <w:rsid w:val="00515F8F"/>
    <w:rsid w:val="00521EDC"/>
    <w:rsid w:val="00547AA7"/>
    <w:rsid w:val="00554E64"/>
    <w:rsid w:val="00560E4E"/>
    <w:rsid w:val="00565462"/>
    <w:rsid w:val="00577251"/>
    <w:rsid w:val="005B6958"/>
    <w:rsid w:val="005C4A32"/>
    <w:rsid w:val="005E4AAE"/>
    <w:rsid w:val="005F22A2"/>
    <w:rsid w:val="005F3CFB"/>
    <w:rsid w:val="005F584F"/>
    <w:rsid w:val="005F6FEF"/>
    <w:rsid w:val="00610994"/>
    <w:rsid w:val="006327F2"/>
    <w:rsid w:val="00643FC6"/>
    <w:rsid w:val="006679EE"/>
    <w:rsid w:val="00680033"/>
    <w:rsid w:val="006906D2"/>
    <w:rsid w:val="00691B8E"/>
    <w:rsid w:val="006959A0"/>
    <w:rsid w:val="006A12B0"/>
    <w:rsid w:val="006B070E"/>
    <w:rsid w:val="006F35D4"/>
    <w:rsid w:val="006F380E"/>
    <w:rsid w:val="006F4341"/>
    <w:rsid w:val="00720A7E"/>
    <w:rsid w:val="00742E8D"/>
    <w:rsid w:val="00752EA3"/>
    <w:rsid w:val="00755252"/>
    <w:rsid w:val="0077591C"/>
    <w:rsid w:val="0078008D"/>
    <w:rsid w:val="00785BF2"/>
    <w:rsid w:val="007B6B69"/>
    <w:rsid w:val="007B7F5E"/>
    <w:rsid w:val="0081190F"/>
    <w:rsid w:val="00826AA6"/>
    <w:rsid w:val="00826D9C"/>
    <w:rsid w:val="00826E2E"/>
    <w:rsid w:val="008374A9"/>
    <w:rsid w:val="00862FCC"/>
    <w:rsid w:val="00864351"/>
    <w:rsid w:val="00885853"/>
    <w:rsid w:val="008A663B"/>
    <w:rsid w:val="008B628D"/>
    <w:rsid w:val="008C34D2"/>
    <w:rsid w:val="008C51F6"/>
    <w:rsid w:val="008D2A8A"/>
    <w:rsid w:val="008E46D6"/>
    <w:rsid w:val="00903FD7"/>
    <w:rsid w:val="00917A49"/>
    <w:rsid w:val="00942A97"/>
    <w:rsid w:val="00947701"/>
    <w:rsid w:val="00956FC2"/>
    <w:rsid w:val="00964B93"/>
    <w:rsid w:val="00973705"/>
    <w:rsid w:val="009836E9"/>
    <w:rsid w:val="009B0620"/>
    <w:rsid w:val="009B5265"/>
    <w:rsid w:val="009F18BF"/>
    <w:rsid w:val="009F3DD3"/>
    <w:rsid w:val="009F52F7"/>
    <w:rsid w:val="00A0325E"/>
    <w:rsid w:val="00A0769D"/>
    <w:rsid w:val="00A65634"/>
    <w:rsid w:val="00A762C2"/>
    <w:rsid w:val="00A8652E"/>
    <w:rsid w:val="00AB4C23"/>
    <w:rsid w:val="00AD0BCB"/>
    <w:rsid w:val="00AE0A9B"/>
    <w:rsid w:val="00AF3613"/>
    <w:rsid w:val="00B069DD"/>
    <w:rsid w:val="00B13D6D"/>
    <w:rsid w:val="00B71CF3"/>
    <w:rsid w:val="00B84F89"/>
    <w:rsid w:val="00B85F27"/>
    <w:rsid w:val="00BA52E5"/>
    <w:rsid w:val="00BA7217"/>
    <w:rsid w:val="00BB1811"/>
    <w:rsid w:val="00BB6A61"/>
    <w:rsid w:val="00BC0642"/>
    <w:rsid w:val="00BE73BE"/>
    <w:rsid w:val="00BF3385"/>
    <w:rsid w:val="00C01B18"/>
    <w:rsid w:val="00C105E6"/>
    <w:rsid w:val="00C36CCD"/>
    <w:rsid w:val="00C51284"/>
    <w:rsid w:val="00C606E8"/>
    <w:rsid w:val="00C640FD"/>
    <w:rsid w:val="00C87443"/>
    <w:rsid w:val="00CC0999"/>
    <w:rsid w:val="00CD68A7"/>
    <w:rsid w:val="00CE4C33"/>
    <w:rsid w:val="00D37400"/>
    <w:rsid w:val="00D40250"/>
    <w:rsid w:val="00D52EA3"/>
    <w:rsid w:val="00D545EA"/>
    <w:rsid w:val="00D642D6"/>
    <w:rsid w:val="00D7399B"/>
    <w:rsid w:val="00D77B8E"/>
    <w:rsid w:val="00D93933"/>
    <w:rsid w:val="00DF2043"/>
    <w:rsid w:val="00DF4712"/>
    <w:rsid w:val="00DF54EC"/>
    <w:rsid w:val="00DF6386"/>
    <w:rsid w:val="00E00192"/>
    <w:rsid w:val="00E072AD"/>
    <w:rsid w:val="00E10978"/>
    <w:rsid w:val="00E209E7"/>
    <w:rsid w:val="00E24176"/>
    <w:rsid w:val="00E253B0"/>
    <w:rsid w:val="00E32260"/>
    <w:rsid w:val="00E40E4D"/>
    <w:rsid w:val="00E41BA8"/>
    <w:rsid w:val="00E526F4"/>
    <w:rsid w:val="00E56EF9"/>
    <w:rsid w:val="00E65C09"/>
    <w:rsid w:val="00E660E2"/>
    <w:rsid w:val="00E67FBC"/>
    <w:rsid w:val="00E77464"/>
    <w:rsid w:val="00E86ABE"/>
    <w:rsid w:val="00E87AF1"/>
    <w:rsid w:val="00EB1C26"/>
    <w:rsid w:val="00ED1B1F"/>
    <w:rsid w:val="00F122C0"/>
    <w:rsid w:val="00F23D0D"/>
    <w:rsid w:val="00F4784B"/>
    <w:rsid w:val="00F77175"/>
    <w:rsid w:val="00F959B2"/>
    <w:rsid w:val="00FD3782"/>
    <w:rsid w:val="00FD3AB4"/>
    <w:rsid w:val="00FD7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22946"/>
  <w15:docId w15:val="{81DBD2CE-05F9-4DE1-AB24-80BE23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9102-1369-4FD4-8AEF-E4314C1A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16</Pages>
  <Words>3922</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GMW</cp:lastModifiedBy>
  <cp:revision>29</cp:revision>
  <dcterms:created xsi:type="dcterms:W3CDTF">2017-12-15T21:02:00Z</dcterms:created>
  <dcterms:modified xsi:type="dcterms:W3CDTF">2018-01-15T20:21:00Z</dcterms:modified>
</cp:coreProperties>
</file>