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3F79E" w14:textId="51EF2E4A" w:rsidR="00BF70A3" w:rsidRDefault="00BF70A3" w:rsidP="00BF70A3">
      <w:pPr>
        <w:jc w:val="center"/>
        <w:rPr>
          <w:b/>
        </w:rPr>
      </w:pPr>
      <w:r>
        <w:rPr>
          <w:b/>
        </w:rPr>
        <w:t>CTR</w:t>
      </w:r>
      <w:r w:rsidR="009E4697">
        <w:rPr>
          <w:b/>
        </w:rPr>
        <w:t>D</w:t>
      </w:r>
      <w:r>
        <w:rPr>
          <w:b/>
        </w:rPr>
        <w:t xml:space="preserve"> 5030:</w:t>
      </w:r>
      <w:r w:rsidRPr="00971E01">
        <w:rPr>
          <w:b/>
        </w:rPr>
        <w:t xml:space="preserve"> </w:t>
      </w:r>
      <w:r>
        <w:rPr>
          <w:b/>
        </w:rPr>
        <w:t>The Reading of Adolescents Course Syllabus*</w:t>
      </w:r>
    </w:p>
    <w:p w14:paraId="505F63E1" w14:textId="400A4FA0" w:rsidR="00BF70A3" w:rsidRDefault="007402A4" w:rsidP="00BF70A3">
      <w:pPr>
        <w:jc w:val="center"/>
        <w:rPr>
          <w:b/>
        </w:rPr>
      </w:pPr>
      <w:r>
        <w:rPr>
          <w:b/>
        </w:rPr>
        <w:t xml:space="preserve">Spring 2019, </w:t>
      </w:r>
      <w:r w:rsidR="00BF70A3" w:rsidRPr="00503BBC">
        <w:rPr>
          <w:b/>
        </w:rPr>
        <w:t>Auburn University</w:t>
      </w:r>
    </w:p>
    <w:p w14:paraId="4A8950AD" w14:textId="537E64C6" w:rsidR="00BF70A3" w:rsidRDefault="00BF70A3" w:rsidP="00BF70A3">
      <w:pPr>
        <w:rPr>
          <w:b/>
        </w:rPr>
      </w:pPr>
    </w:p>
    <w:p w14:paraId="32ECE90E" w14:textId="77777777" w:rsidR="007402A4" w:rsidRDefault="007402A4" w:rsidP="00BF70A3"/>
    <w:p w14:paraId="10E8D9FD" w14:textId="77777777" w:rsidR="007936E4" w:rsidRDefault="007936E4" w:rsidP="00BF70A3">
      <w:pPr>
        <w:ind w:left="2880" w:hanging="2880"/>
        <w:rPr>
          <w:b/>
        </w:rPr>
        <w:sectPr w:rsidR="007936E4" w:rsidSect="007C0C9E">
          <w:footerReference w:type="default" r:id="rId7"/>
          <w:pgSz w:w="12240" w:h="15840"/>
          <w:pgMar w:top="1440" w:right="1440" w:bottom="1440" w:left="1440" w:header="720" w:footer="720" w:gutter="0"/>
          <w:cols w:space="720"/>
          <w:docGrid w:linePitch="360"/>
        </w:sectPr>
      </w:pPr>
    </w:p>
    <w:p w14:paraId="4FFF69EB" w14:textId="03601829" w:rsidR="00BF70A3" w:rsidRPr="00E8425E" w:rsidRDefault="00BF70A3" w:rsidP="00BF70A3">
      <w:pPr>
        <w:ind w:left="2880" w:hanging="2880"/>
      </w:pPr>
      <w:r w:rsidRPr="00E8425E">
        <w:rPr>
          <w:b/>
        </w:rPr>
        <w:t>Credit Hours</w:t>
      </w:r>
      <w:r>
        <w:t xml:space="preserve">: </w:t>
      </w:r>
      <w:r w:rsidR="007936E4">
        <w:t>3</w:t>
      </w:r>
    </w:p>
    <w:p w14:paraId="148F4041" w14:textId="0BCD6307" w:rsidR="00BF70A3" w:rsidRPr="00E8425E" w:rsidRDefault="00BF70A3" w:rsidP="00BF70A3">
      <w:pPr>
        <w:ind w:left="2880" w:hanging="2880"/>
      </w:pPr>
      <w:r w:rsidRPr="00E8425E">
        <w:rPr>
          <w:b/>
        </w:rPr>
        <w:t>Pre</w:t>
      </w:r>
      <w:r>
        <w:rPr>
          <w:b/>
        </w:rPr>
        <w:t>-</w:t>
      </w:r>
      <w:r w:rsidRPr="00E8425E">
        <w:rPr>
          <w:b/>
        </w:rPr>
        <w:t>requisites</w:t>
      </w:r>
      <w:r w:rsidRPr="00E8425E">
        <w:t>:</w:t>
      </w:r>
      <w:r w:rsidR="00C0103A">
        <w:t xml:space="preserve"> Admission to Teacher Ed</w:t>
      </w:r>
      <w:r w:rsidRPr="00E8425E">
        <w:t xml:space="preserve"> </w:t>
      </w:r>
    </w:p>
    <w:p w14:paraId="56A0B5F5" w14:textId="77777777" w:rsidR="00BF70A3" w:rsidRPr="00E8425E" w:rsidRDefault="00BF70A3" w:rsidP="00BF70A3">
      <w:pPr>
        <w:ind w:left="2880" w:hanging="2880"/>
      </w:pPr>
      <w:r w:rsidRPr="00E8425E">
        <w:rPr>
          <w:b/>
        </w:rPr>
        <w:t>Co</w:t>
      </w:r>
      <w:r>
        <w:rPr>
          <w:b/>
        </w:rPr>
        <w:t>-</w:t>
      </w:r>
      <w:r w:rsidRPr="00E8425E">
        <w:rPr>
          <w:b/>
        </w:rPr>
        <w:t>requisites</w:t>
      </w:r>
      <w:r w:rsidRPr="00E8425E">
        <w:t>: None</w:t>
      </w:r>
    </w:p>
    <w:p w14:paraId="6E71689E" w14:textId="77777777" w:rsidR="00BF70A3" w:rsidRPr="00E8425E" w:rsidRDefault="00BF70A3" w:rsidP="00BF70A3">
      <w:pPr>
        <w:ind w:left="2880" w:hanging="2880"/>
      </w:pPr>
      <w:r w:rsidRPr="00E8425E">
        <w:rPr>
          <w:b/>
        </w:rPr>
        <w:t>Term</w:t>
      </w:r>
      <w:r w:rsidRPr="00E8425E">
        <w:t xml:space="preserve">: </w:t>
      </w:r>
      <w:r w:rsidR="007936E4">
        <w:t>Spring</w:t>
      </w:r>
      <w:r w:rsidRPr="00E8425E">
        <w:t xml:space="preserve"> 201</w:t>
      </w:r>
      <w:r w:rsidR="007936E4">
        <w:t>9</w:t>
      </w:r>
    </w:p>
    <w:p w14:paraId="0FC775D4" w14:textId="77777777" w:rsidR="00BF70A3" w:rsidRPr="00E8425E" w:rsidRDefault="00BF70A3" w:rsidP="00BF70A3">
      <w:pPr>
        <w:ind w:left="2880" w:hanging="2880"/>
      </w:pPr>
      <w:r w:rsidRPr="00E8425E">
        <w:rPr>
          <w:b/>
        </w:rPr>
        <w:t>Classroom</w:t>
      </w:r>
      <w:r w:rsidRPr="00E8425E">
        <w:t xml:space="preserve">: </w:t>
      </w:r>
      <w:r>
        <w:t>2461 Haley Center</w:t>
      </w:r>
    </w:p>
    <w:p w14:paraId="72000660" w14:textId="62CFE1CE" w:rsidR="00BF70A3" w:rsidRPr="00E8425E" w:rsidRDefault="00BF70A3" w:rsidP="00BF70A3">
      <w:pPr>
        <w:ind w:left="2880" w:hanging="2880"/>
      </w:pPr>
      <w:r w:rsidRPr="00E8425E">
        <w:rPr>
          <w:b/>
        </w:rPr>
        <w:t>Day/Time</w:t>
      </w:r>
      <w:r w:rsidRPr="00E8425E">
        <w:t xml:space="preserve">: </w:t>
      </w:r>
      <w:r w:rsidR="007936E4">
        <w:t>T</w:t>
      </w:r>
      <w:r w:rsidR="00BE5E6D">
        <w:t>uesdays 5:00-7:50 pm</w:t>
      </w:r>
    </w:p>
    <w:p w14:paraId="06019235" w14:textId="77777777" w:rsidR="00BF70A3" w:rsidRPr="00E8425E" w:rsidRDefault="00BF70A3" w:rsidP="00BF70A3">
      <w:pPr>
        <w:ind w:left="2880" w:hanging="2880"/>
      </w:pPr>
      <w:r w:rsidRPr="00E8425E">
        <w:rPr>
          <w:b/>
        </w:rPr>
        <w:t>Instructor</w:t>
      </w:r>
      <w:r w:rsidRPr="00E8425E">
        <w:t>: Ryan Schey</w:t>
      </w:r>
    </w:p>
    <w:p w14:paraId="05529C27" w14:textId="77777777" w:rsidR="00BF70A3" w:rsidRPr="00E8425E" w:rsidRDefault="00BF70A3" w:rsidP="00BF70A3">
      <w:pPr>
        <w:ind w:left="2880" w:hanging="2880"/>
      </w:pPr>
      <w:r w:rsidRPr="00E8425E">
        <w:rPr>
          <w:b/>
        </w:rPr>
        <w:t>Office</w:t>
      </w:r>
      <w:r w:rsidRPr="00E8425E">
        <w:t xml:space="preserve">: 5054 Haley Center </w:t>
      </w:r>
    </w:p>
    <w:p w14:paraId="4D3D2DAE" w14:textId="77777777" w:rsidR="00BF70A3" w:rsidRPr="00E8425E" w:rsidRDefault="00BF70A3" w:rsidP="00BF70A3">
      <w:pPr>
        <w:ind w:left="2880" w:hanging="2880"/>
      </w:pPr>
      <w:r w:rsidRPr="00E8425E">
        <w:rPr>
          <w:b/>
        </w:rPr>
        <w:t>Mailbox</w:t>
      </w:r>
      <w:r w:rsidRPr="00E8425E">
        <w:t xml:space="preserve">: </w:t>
      </w:r>
      <w:r>
        <w:t>5023</w:t>
      </w:r>
      <w:r w:rsidRPr="00E8425E">
        <w:t xml:space="preserve"> Haley Center</w:t>
      </w:r>
    </w:p>
    <w:p w14:paraId="3F0E37D0" w14:textId="77777777" w:rsidR="00BF70A3" w:rsidRPr="00E8425E" w:rsidRDefault="00BF70A3" w:rsidP="00BF70A3">
      <w:pPr>
        <w:ind w:left="2880" w:hanging="2880"/>
      </w:pPr>
      <w:r>
        <w:rPr>
          <w:b/>
        </w:rPr>
        <w:t>Email</w:t>
      </w:r>
      <w:r w:rsidRPr="00E8425E">
        <w:t xml:space="preserve">: ryanschey@auburn.edu </w:t>
      </w:r>
    </w:p>
    <w:p w14:paraId="1F800AF8" w14:textId="77777777" w:rsidR="00BF70A3" w:rsidRDefault="00BF70A3" w:rsidP="00BF70A3">
      <w:r w:rsidRPr="00E8425E">
        <w:rPr>
          <w:b/>
        </w:rPr>
        <w:t>Office Hours</w:t>
      </w:r>
      <w:r w:rsidRPr="00E8425E">
        <w:t xml:space="preserve">: Happily </w:t>
      </w:r>
      <w:r>
        <w:t>by appointment (</w:t>
      </w:r>
      <w:r w:rsidR="007936E4">
        <w:t>Zoom</w:t>
      </w:r>
      <w:r>
        <w:t>/phone</w:t>
      </w:r>
      <w:r w:rsidRPr="00E8425E">
        <w:t xml:space="preserve"> meetings are also an option)</w:t>
      </w:r>
    </w:p>
    <w:p w14:paraId="0E318EDC" w14:textId="77777777" w:rsidR="007936E4" w:rsidRDefault="007936E4" w:rsidP="00BF70A3">
      <w:pPr>
        <w:sectPr w:rsidR="007936E4" w:rsidSect="007936E4">
          <w:type w:val="continuous"/>
          <w:pgSz w:w="12240" w:h="15840"/>
          <w:pgMar w:top="1440" w:right="1440" w:bottom="1440" w:left="1440" w:header="720" w:footer="720" w:gutter="0"/>
          <w:cols w:num="2" w:space="720"/>
          <w:docGrid w:linePitch="360"/>
        </w:sectPr>
      </w:pPr>
    </w:p>
    <w:p w14:paraId="1E423B55" w14:textId="77777777" w:rsidR="00BF70A3" w:rsidRDefault="00BF70A3" w:rsidP="00BF70A3"/>
    <w:p w14:paraId="6DEAE233" w14:textId="77777777" w:rsidR="00BF70A3" w:rsidRDefault="00BF70A3" w:rsidP="00BF70A3">
      <w:pPr>
        <w:jc w:val="center"/>
      </w:pPr>
      <w:r w:rsidRPr="00E8425E">
        <w:rPr>
          <w:b/>
        </w:rPr>
        <w:t>Course Texts and Materials</w:t>
      </w:r>
    </w:p>
    <w:p w14:paraId="66F4B2D0" w14:textId="63FAE7EB" w:rsidR="00BF70A3" w:rsidRDefault="00BF70A3" w:rsidP="00BF70A3"/>
    <w:p w14:paraId="2BA017C9" w14:textId="31C705F1" w:rsidR="009C535A" w:rsidRDefault="009C535A" w:rsidP="00BF70A3">
      <w:r>
        <w:t>The following texts are required. M</w:t>
      </w:r>
      <w:r w:rsidR="00A04DA2">
        <w:t>any are quite recent, and you can easily find most of them through multiple outlets</w:t>
      </w:r>
      <w:r w:rsidR="00687BE9">
        <w:t xml:space="preserve"> such as local independent bookstores, big names booksellers, used bookstores, or online retailers</w:t>
      </w:r>
      <w:r w:rsidR="00A04DA2">
        <w:t xml:space="preserve">. You may choose to purchase print or digital versions or obtain the texts from a local library. </w:t>
      </w:r>
      <w:r w:rsidR="00687BE9">
        <w:t>Some might already be familiar to you, whether you have encountered them for academic or pleasure reading. Regardless, you are still expected to obtain the texts, read (or re-read) them, and be prepared to discuss them.</w:t>
      </w:r>
    </w:p>
    <w:p w14:paraId="7327A909" w14:textId="77777777" w:rsidR="009C535A" w:rsidRDefault="009C535A" w:rsidP="00BF70A3"/>
    <w:p w14:paraId="61C59F1B" w14:textId="19AC38B3" w:rsidR="00A176A6" w:rsidRDefault="00A176A6" w:rsidP="00687BE9">
      <w:pPr>
        <w:pStyle w:val="ListParagraph"/>
        <w:numPr>
          <w:ilvl w:val="0"/>
          <w:numId w:val="6"/>
        </w:numPr>
      </w:pPr>
      <w:r>
        <w:t>Brown, D. (</w:t>
      </w:r>
      <w:r w:rsidR="00A9489B">
        <w:t>2015</w:t>
      </w:r>
      <w:r>
        <w:t xml:space="preserve">). </w:t>
      </w:r>
      <w:r w:rsidRPr="00687BE9">
        <w:rPr>
          <w:i/>
        </w:rPr>
        <w:t>Drowned City: Hurricane Katrina &amp; New Orleans</w:t>
      </w:r>
      <w:r>
        <w:t>.</w:t>
      </w:r>
      <w:r w:rsidR="00A9489B">
        <w:t xml:space="preserve"> Houghton Mifflin Harcourt: Boston, MA.</w:t>
      </w:r>
    </w:p>
    <w:p w14:paraId="59EA5C20" w14:textId="41EF98B9" w:rsidR="006E7B45" w:rsidRDefault="006E7B45" w:rsidP="00687BE9">
      <w:pPr>
        <w:pStyle w:val="ListParagraph"/>
        <w:numPr>
          <w:ilvl w:val="0"/>
          <w:numId w:val="6"/>
        </w:numPr>
      </w:pPr>
      <w:proofErr w:type="spellStart"/>
      <w:r>
        <w:t>Charleyboy</w:t>
      </w:r>
      <w:proofErr w:type="spellEnd"/>
      <w:r w:rsidR="003905F7">
        <w:t>, L.</w:t>
      </w:r>
      <w:r>
        <w:t xml:space="preserve"> &amp; </w:t>
      </w:r>
      <w:proofErr w:type="spellStart"/>
      <w:r>
        <w:t>Leatherdale</w:t>
      </w:r>
      <w:proofErr w:type="spellEnd"/>
      <w:r w:rsidR="003905F7">
        <w:t>, M. B.</w:t>
      </w:r>
      <w:r>
        <w:t xml:space="preserve"> (Eds.). (2018). </w:t>
      </w:r>
      <w:r w:rsidRPr="00687BE9">
        <w:rPr>
          <w:i/>
        </w:rPr>
        <w:t>#</w:t>
      </w:r>
      <w:proofErr w:type="spellStart"/>
      <w:r w:rsidRPr="00687BE9">
        <w:rPr>
          <w:i/>
        </w:rPr>
        <w:t>NotYourPrincess</w:t>
      </w:r>
      <w:proofErr w:type="spellEnd"/>
      <w:r w:rsidRPr="00687BE9">
        <w:rPr>
          <w:i/>
        </w:rPr>
        <w:t>: Voices of Native American Women</w:t>
      </w:r>
      <w:r>
        <w:t xml:space="preserve">. Annick Press: </w:t>
      </w:r>
      <w:r w:rsidR="00CE5BBB">
        <w:t>Toronto, CA</w:t>
      </w:r>
      <w:r>
        <w:t>.</w:t>
      </w:r>
    </w:p>
    <w:p w14:paraId="6C49C24E" w14:textId="1FC2C8CD" w:rsidR="00427CCE" w:rsidRDefault="00427CCE" w:rsidP="00687BE9">
      <w:pPr>
        <w:pStyle w:val="ListParagraph"/>
        <w:numPr>
          <w:ilvl w:val="0"/>
          <w:numId w:val="6"/>
        </w:numPr>
      </w:pPr>
      <w:r>
        <w:t xml:space="preserve">Cooper, B., Morris, S. M., and </w:t>
      </w:r>
      <w:proofErr w:type="spellStart"/>
      <w:r>
        <w:t>Boylorn</w:t>
      </w:r>
      <w:proofErr w:type="spellEnd"/>
      <w:r>
        <w:t>, R. M. (20</w:t>
      </w:r>
      <w:r w:rsidR="00BE022D">
        <w:t xml:space="preserve">17). </w:t>
      </w:r>
      <w:r w:rsidR="00BE022D" w:rsidRPr="00687BE9">
        <w:rPr>
          <w:i/>
        </w:rPr>
        <w:t xml:space="preserve">The </w:t>
      </w:r>
      <w:proofErr w:type="spellStart"/>
      <w:r w:rsidR="00BE022D" w:rsidRPr="00687BE9">
        <w:rPr>
          <w:i/>
        </w:rPr>
        <w:t>Crunk</w:t>
      </w:r>
      <w:proofErr w:type="spellEnd"/>
      <w:r w:rsidR="00BE022D" w:rsidRPr="00687BE9">
        <w:rPr>
          <w:i/>
        </w:rPr>
        <w:t xml:space="preserve"> Feminist Collection</w:t>
      </w:r>
      <w:r w:rsidR="00BE022D">
        <w:t>. Feminist Press: New York, NY.</w:t>
      </w:r>
    </w:p>
    <w:p w14:paraId="31938549" w14:textId="2E819CBA" w:rsidR="008E5DFB" w:rsidRDefault="003905F7" w:rsidP="00687BE9">
      <w:pPr>
        <w:pStyle w:val="ListParagraph"/>
        <w:numPr>
          <w:ilvl w:val="0"/>
          <w:numId w:val="6"/>
        </w:numPr>
      </w:pPr>
      <w:r>
        <w:t>Hinton, S. E. (</w:t>
      </w:r>
      <w:r w:rsidR="0040782D">
        <w:t>1967/2006</w:t>
      </w:r>
      <w:r>
        <w:t xml:space="preserve">). </w:t>
      </w:r>
      <w:r w:rsidRPr="00687BE9">
        <w:rPr>
          <w:i/>
        </w:rPr>
        <w:t>The Outsiders</w:t>
      </w:r>
      <w:r>
        <w:t xml:space="preserve">. </w:t>
      </w:r>
      <w:r w:rsidR="0040782D">
        <w:t>Speak: New York, NY.</w:t>
      </w:r>
    </w:p>
    <w:p w14:paraId="21422173" w14:textId="722554CB" w:rsidR="003905F7" w:rsidRDefault="008E5DFB" w:rsidP="00687BE9">
      <w:pPr>
        <w:pStyle w:val="ListParagraph"/>
        <w:numPr>
          <w:ilvl w:val="0"/>
          <w:numId w:val="6"/>
        </w:numPr>
      </w:pPr>
      <w:proofErr w:type="spellStart"/>
      <w:r>
        <w:t>Kuklin</w:t>
      </w:r>
      <w:proofErr w:type="spellEnd"/>
      <w:r>
        <w:t>, S. (</w:t>
      </w:r>
      <w:r w:rsidR="00D72F43">
        <w:t>2014</w:t>
      </w:r>
      <w:r>
        <w:t xml:space="preserve">). </w:t>
      </w:r>
      <w:r w:rsidRPr="00687BE9">
        <w:rPr>
          <w:i/>
        </w:rPr>
        <w:t>Beyond Magenta: Transgender Teens Speak Out</w:t>
      </w:r>
      <w:r>
        <w:t xml:space="preserve">. </w:t>
      </w:r>
      <w:r w:rsidR="00D72F43">
        <w:t>Candlewick: Somerville, MA.</w:t>
      </w:r>
    </w:p>
    <w:p w14:paraId="6C465C4A" w14:textId="7ABD7BF7" w:rsidR="008C70BB" w:rsidRDefault="008C70BB" w:rsidP="00687BE9">
      <w:pPr>
        <w:pStyle w:val="ListParagraph"/>
        <w:numPr>
          <w:ilvl w:val="0"/>
          <w:numId w:val="6"/>
        </w:numPr>
      </w:pPr>
      <w:r>
        <w:t>Q</w:t>
      </w:r>
      <w:r w:rsidR="00CA353F">
        <w:t>uintero, I.</w:t>
      </w:r>
      <w:r>
        <w:t xml:space="preserve"> (</w:t>
      </w:r>
      <w:r w:rsidR="00CA353F">
        <w:t>2014</w:t>
      </w:r>
      <w:r>
        <w:t xml:space="preserve">). </w:t>
      </w:r>
      <w:r>
        <w:rPr>
          <w:i/>
        </w:rPr>
        <w:t>Gabi: A Girl in Pieces</w:t>
      </w:r>
      <w:r>
        <w:t>.</w:t>
      </w:r>
      <w:r w:rsidR="00CA353F">
        <w:t xml:space="preserve"> Cinco Punto Press: El Paso, TX.</w:t>
      </w:r>
    </w:p>
    <w:p w14:paraId="54C8F243" w14:textId="2B8F2CC1" w:rsidR="003905F7" w:rsidRDefault="007936E4" w:rsidP="00687BE9">
      <w:pPr>
        <w:pStyle w:val="ListParagraph"/>
        <w:numPr>
          <w:ilvl w:val="0"/>
          <w:numId w:val="6"/>
        </w:numPr>
      </w:pPr>
      <w:r>
        <w:t xml:space="preserve">Roberts, K. (2018). </w:t>
      </w:r>
      <w:r w:rsidRPr="00687BE9">
        <w:rPr>
          <w:i/>
        </w:rPr>
        <w:t>A Novel Approach: Whole-Class Novels, Student-Centered Teaching, and Choice</w:t>
      </w:r>
      <w:r>
        <w:t>. Heinemann: Portsmouth, NH.</w:t>
      </w:r>
    </w:p>
    <w:p w14:paraId="19F80B80" w14:textId="7E9FAF53" w:rsidR="00E013EE" w:rsidRDefault="003905F7" w:rsidP="00687BE9">
      <w:pPr>
        <w:pStyle w:val="ListParagraph"/>
        <w:numPr>
          <w:ilvl w:val="0"/>
          <w:numId w:val="6"/>
        </w:numPr>
      </w:pPr>
      <w:r>
        <w:t>Smith, S. L. (</w:t>
      </w:r>
      <w:r w:rsidR="0018157B">
        <w:t>2013</w:t>
      </w:r>
      <w:r>
        <w:t xml:space="preserve">). </w:t>
      </w:r>
      <w:r w:rsidRPr="00687BE9">
        <w:rPr>
          <w:i/>
        </w:rPr>
        <w:t>Orleans</w:t>
      </w:r>
      <w:r>
        <w:t>.</w:t>
      </w:r>
      <w:r w:rsidR="0018157B">
        <w:t xml:space="preserve"> Speak: New York, NY</w:t>
      </w:r>
      <w:r w:rsidR="0040782D">
        <w:t>.</w:t>
      </w:r>
    </w:p>
    <w:p w14:paraId="6909F421" w14:textId="5F0A01B6" w:rsidR="00E013EE" w:rsidRDefault="00E013EE" w:rsidP="00687BE9">
      <w:pPr>
        <w:pStyle w:val="ListParagraph"/>
        <w:numPr>
          <w:ilvl w:val="0"/>
          <w:numId w:val="6"/>
        </w:numPr>
      </w:pPr>
      <w:r>
        <w:t xml:space="preserve">Winn, M. T. (2018). </w:t>
      </w:r>
      <w:r w:rsidRPr="00687BE9">
        <w:rPr>
          <w:i/>
        </w:rPr>
        <w:t>Justice on Both Sides: Transforming Education through Restorative Justice</w:t>
      </w:r>
      <w:r>
        <w:t xml:space="preserve">. Harvard </w:t>
      </w:r>
      <w:r w:rsidR="00B5560B">
        <w:t xml:space="preserve">Education </w:t>
      </w:r>
      <w:r>
        <w:t>P</w:t>
      </w:r>
      <w:r w:rsidR="00B5560B">
        <w:t>ress</w:t>
      </w:r>
      <w:r>
        <w:t>: Cambridge, MA.</w:t>
      </w:r>
    </w:p>
    <w:p w14:paraId="53979815" w14:textId="77777777" w:rsidR="007936E4" w:rsidRDefault="007936E4" w:rsidP="00BF70A3"/>
    <w:p w14:paraId="79B23D02" w14:textId="7CEBA743" w:rsidR="007936E4" w:rsidRDefault="00A721F4" w:rsidP="00BF70A3">
      <w:r>
        <w:t>One of the following texts (to be assigned by Dr. Schey in class):</w:t>
      </w:r>
    </w:p>
    <w:p w14:paraId="777CA667" w14:textId="602FB740" w:rsidR="00A721F4" w:rsidRDefault="00A721F4" w:rsidP="00BF70A3"/>
    <w:p w14:paraId="2F910767" w14:textId="00D0C15D" w:rsidR="007D225C" w:rsidRDefault="007D225C" w:rsidP="007D225C">
      <w:pPr>
        <w:pStyle w:val="ListParagraph"/>
        <w:numPr>
          <w:ilvl w:val="0"/>
          <w:numId w:val="4"/>
        </w:numPr>
      </w:pPr>
      <w:r>
        <w:t>Stone, N. (</w:t>
      </w:r>
      <w:r w:rsidR="0040782D">
        <w:t>2017</w:t>
      </w:r>
      <w:r>
        <w:t xml:space="preserve">). </w:t>
      </w:r>
      <w:r>
        <w:rPr>
          <w:i/>
        </w:rPr>
        <w:t>Dear Martin</w:t>
      </w:r>
      <w:r>
        <w:t xml:space="preserve">. </w:t>
      </w:r>
      <w:r w:rsidR="0040782D">
        <w:t>Ember: New York, NY.</w:t>
      </w:r>
    </w:p>
    <w:p w14:paraId="219609B0" w14:textId="591034F3" w:rsidR="007D225C" w:rsidRDefault="007D225C" w:rsidP="007D225C">
      <w:pPr>
        <w:pStyle w:val="ListParagraph"/>
        <w:numPr>
          <w:ilvl w:val="0"/>
          <w:numId w:val="4"/>
        </w:numPr>
      </w:pPr>
      <w:r>
        <w:t>Thomas, A. (</w:t>
      </w:r>
      <w:r w:rsidR="00E96D4E">
        <w:t>2017</w:t>
      </w:r>
      <w:r>
        <w:t xml:space="preserve">). </w:t>
      </w:r>
      <w:r>
        <w:rPr>
          <w:i/>
        </w:rPr>
        <w:t>The Hate U Give</w:t>
      </w:r>
      <w:r>
        <w:t>.</w:t>
      </w:r>
      <w:r w:rsidR="00E96D4E">
        <w:t xml:space="preserve"> Balzer + Bray: New York, NY.</w:t>
      </w:r>
    </w:p>
    <w:p w14:paraId="5EEF080A" w14:textId="1314601F" w:rsidR="00A721F4" w:rsidRDefault="00A721F4" w:rsidP="00BF70A3"/>
    <w:p w14:paraId="0FB83BBD" w14:textId="695F99EC" w:rsidR="00A721F4" w:rsidRDefault="00A721F4" w:rsidP="00BF70A3">
      <w:r>
        <w:t>One of the following texts (to be selected by your small group):</w:t>
      </w:r>
    </w:p>
    <w:p w14:paraId="13A0E441" w14:textId="1E614C36" w:rsidR="00A721F4" w:rsidRDefault="00A721F4" w:rsidP="00BF70A3"/>
    <w:p w14:paraId="5674EFCD" w14:textId="4C19ED9F" w:rsidR="007D225C" w:rsidRDefault="007D225C" w:rsidP="007D225C">
      <w:pPr>
        <w:pStyle w:val="ListParagraph"/>
        <w:numPr>
          <w:ilvl w:val="0"/>
          <w:numId w:val="5"/>
        </w:numPr>
      </w:pPr>
      <w:r>
        <w:t>Anderson, L. H. (</w:t>
      </w:r>
      <w:r w:rsidR="004D6D21">
        <w:t>1999</w:t>
      </w:r>
      <w:r>
        <w:t xml:space="preserve">). </w:t>
      </w:r>
      <w:r>
        <w:rPr>
          <w:i/>
        </w:rPr>
        <w:t>Speak</w:t>
      </w:r>
      <w:r>
        <w:t>.</w:t>
      </w:r>
      <w:r w:rsidR="004D6D21">
        <w:t xml:space="preserve"> Farrar, Straus &amp; Giroux: New York, NY.</w:t>
      </w:r>
    </w:p>
    <w:p w14:paraId="3046B84C" w14:textId="4DEF9627" w:rsidR="007B2167" w:rsidRDefault="007B2167" w:rsidP="007D225C">
      <w:pPr>
        <w:pStyle w:val="ListParagraph"/>
        <w:numPr>
          <w:ilvl w:val="0"/>
          <w:numId w:val="5"/>
        </w:numPr>
      </w:pPr>
      <w:r>
        <w:t>Anderson, M. T. (</w:t>
      </w:r>
      <w:r w:rsidR="00BD7A5F">
        <w:t>2012</w:t>
      </w:r>
      <w:r>
        <w:t xml:space="preserve">). </w:t>
      </w:r>
      <w:r>
        <w:rPr>
          <w:i/>
        </w:rPr>
        <w:t>Feed</w:t>
      </w:r>
      <w:r>
        <w:t>.</w:t>
      </w:r>
      <w:r w:rsidR="00BD7A5F">
        <w:t xml:space="preserve"> Candlewick: Somerville, MA.</w:t>
      </w:r>
    </w:p>
    <w:p w14:paraId="259F792E" w14:textId="28CF9397" w:rsidR="001A743C" w:rsidRDefault="001A743C" w:rsidP="007D225C">
      <w:pPr>
        <w:pStyle w:val="ListParagraph"/>
        <w:numPr>
          <w:ilvl w:val="0"/>
          <w:numId w:val="5"/>
        </w:numPr>
      </w:pPr>
      <w:r>
        <w:t>Green, J. (</w:t>
      </w:r>
      <w:r w:rsidR="00BD7A5F">
        <w:t>2005</w:t>
      </w:r>
      <w:r>
        <w:t xml:space="preserve">). </w:t>
      </w:r>
      <w:r>
        <w:rPr>
          <w:i/>
        </w:rPr>
        <w:t>Looking for Alaska</w:t>
      </w:r>
      <w:r>
        <w:t>.</w:t>
      </w:r>
      <w:r w:rsidR="00BD7A5F">
        <w:t xml:space="preserve"> Speak: New York, NY.</w:t>
      </w:r>
    </w:p>
    <w:p w14:paraId="72EE6E80" w14:textId="118B704F" w:rsidR="005F6615" w:rsidRDefault="005F6615" w:rsidP="007D225C">
      <w:pPr>
        <w:pStyle w:val="ListParagraph"/>
        <w:numPr>
          <w:ilvl w:val="0"/>
          <w:numId w:val="5"/>
        </w:numPr>
      </w:pPr>
      <w:r>
        <w:lastRenderedPageBreak/>
        <w:t>Myers, W. D. (</w:t>
      </w:r>
      <w:r w:rsidR="00E3394B">
        <w:t>1999</w:t>
      </w:r>
      <w:r>
        <w:t xml:space="preserve">). </w:t>
      </w:r>
      <w:r>
        <w:rPr>
          <w:i/>
        </w:rPr>
        <w:t>Monster</w:t>
      </w:r>
      <w:r>
        <w:t>.</w:t>
      </w:r>
      <w:r w:rsidR="00E3394B">
        <w:t xml:space="preserve"> </w:t>
      </w:r>
      <w:proofErr w:type="spellStart"/>
      <w:r w:rsidR="00E3394B">
        <w:t>HarperTempest</w:t>
      </w:r>
      <w:proofErr w:type="spellEnd"/>
      <w:r w:rsidR="00E3394B">
        <w:t>: New York, NY.</w:t>
      </w:r>
    </w:p>
    <w:p w14:paraId="15B568BF" w14:textId="441C3B1A" w:rsidR="00A721F4" w:rsidRDefault="007D225C" w:rsidP="007D225C">
      <w:pPr>
        <w:pStyle w:val="ListParagraph"/>
        <w:numPr>
          <w:ilvl w:val="0"/>
          <w:numId w:val="5"/>
        </w:numPr>
      </w:pPr>
      <w:r>
        <w:t>Pérez, A. (</w:t>
      </w:r>
      <w:r w:rsidR="00B97780">
        <w:t>2015</w:t>
      </w:r>
      <w:r>
        <w:t xml:space="preserve">). </w:t>
      </w:r>
      <w:r>
        <w:rPr>
          <w:i/>
        </w:rPr>
        <w:t>Out of Darkness</w:t>
      </w:r>
      <w:r>
        <w:t>.</w:t>
      </w:r>
      <w:r w:rsidR="00B97780">
        <w:t xml:space="preserve"> </w:t>
      </w:r>
      <w:proofErr w:type="spellStart"/>
      <w:r w:rsidR="00B97780">
        <w:t>Carolrhoda</w:t>
      </w:r>
      <w:proofErr w:type="spellEnd"/>
      <w:r w:rsidR="00B97780">
        <w:t xml:space="preserve"> Lab: Minneapolis, MN.</w:t>
      </w:r>
    </w:p>
    <w:p w14:paraId="7183035F" w14:textId="1C5E78DC" w:rsidR="007D225C" w:rsidRPr="007936E4" w:rsidRDefault="00B97780" w:rsidP="007D225C">
      <w:pPr>
        <w:pStyle w:val="ListParagraph"/>
        <w:numPr>
          <w:ilvl w:val="0"/>
          <w:numId w:val="5"/>
        </w:numPr>
      </w:pPr>
      <w:proofErr w:type="spellStart"/>
      <w:r>
        <w:t>Zoboi</w:t>
      </w:r>
      <w:proofErr w:type="spellEnd"/>
      <w:r>
        <w:t xml:space="preserve">, I. (2018). </w:t>
      </w:r>
      <w:r>
        <w:rPr>
          <w:i/>
        </w:rPr>
        <w:t>Pride</w:t>
      </w:r>
      <w:r>
        <w:t>. Balzer + Bray: New York, NY.</w:t>
      </w:r>
    </w:p>
    <w:p w14:paraId="45DB7EB2" w14:textId="71DDBABE" w:rsidR="00BF70A3" w:rsidRDefault="00BF70A3" w:rsidP="00BF70A3"/>
    <w:p w14:paraId="62520C20" w14:textId="2194A40C" w:rsidR="00376AC9" w:rsidRDefault="00376AC9" w:rsidP="00BF70A3">
      <w:r>
        <w:t>Additional texts will be posted to Canvas for course reading.</w:t>
      </w:r>
    </w:p>
    <w:p w14:paraId="481F05F9" w14:textId="77777777" w:rsidR="00376AC9" w:rsidRDefault="00376AC9" w:rsidP="00BF70A3"/>
    <w:p w14:paraId="10984E01" w14:textId="77777777" w:rsidR="00BF70A3" w:rsidRPr="00C74447" w:rsidRDefault="00BF70A3" w:rsidP="00BF70A3">
      <w:pPr>
        <w:jc w:val="center"/>
        <w:rPr>
          <w:b/>
        </w:rPr>
      </w:pPr>
      <w:r w:rsidRPr="00C74447">
        <w:rPr>
          <w:b/>
        </w:rPr>
        <w:t xml:space="preserve">Guiding </w:t>
      </w:r>
      <w:r>
        <w:rPr>
          <w:b/>
        </w:rPr>
        <w:t xml:space="preserve">Course </w:t>
      </w:r>
      <w:r w:rsidRPr="00C74447">
        <w:rPr>
          <w:b/>
        </w:rPr>
        <w:t>Questions</w:t>
      </w:r>
    </w:p>
    <w:p w14:paraId="3DF53FF3" w14:textId="77777777" w:rsidR="00BF70A3" w:rsidRDefault="00BF70A3" w:rsidP="00BF70A3"/>
    <w:p w14:paraId="04A320FA" w14:textId="165A6ACB" w:rsidR="00BF70A3" w:rsidRDefault="00004A53" w:rsidP="00BF70A3">
      <w:pPr>
        <w:pStyle w:val="ListParagraph"/>
        <w:numPr>
          <w:ilvl w:val="0"/>
          <w:numId w:val="1"/>
        </w:numPr>
        <w:ind w:left="360"/>
      </w:pPr>
      <w:r>
        <w:t>What is adolescence? Who are adolescents? How does this age-based identity connect to other identities such as race, gender, sexuality, class, and nationality?</w:t>
      </w:r>
    </w:p>
    <w:p w14:paraId="25BFB335" w14:textId="77777777" w:rsidR="00EC161D" w:rsidRDefault="00EC161D" w:rsidP="00EC161D">
      <w:pPr>
        <w:pStyle w:val="ListParagraph"/>
        <w:ind w:left="360"/>
      </w:pPr>
    </w:p>
    <w:p w14:paraId="0E09FED6" w14:textId="271F3078" w:rsidR="00EC161D" w:rsidRDefault="00004A53" w:rsidP="00BF70A3">
      <w:pPr>
        <w:pStyle w:val="ListParagraph"/>
        <w:numPr>
          <w:ilvl w:val="0"/>
          <w:numId w:val="1"/>
        </w:numPr>
        <w:ind w:left="360"/>
      </w:pPr>
      <w:r>
        <w:t>What is literacy?</w:t>
      </w:r>
      <w:r w:rsidR="00EC161D">
        <w:t xml:space="preserve"> How does literacy connect to identities such as age?</w:t>
      </w:r>
    </w:p>
    <w:p w14:paraId="308211AA" w14:textId="77777777" w:rsidR="00EC161D" w:rsidRDefault="00EC161D" w:rsidP="00EC161D">
      <w:pPr>
        <w:pStyle w:val="ListParagraph"/>
      </w:pPr>
    </w:p>
    <w:p w14:paraId="21224EB1" w14:textId="18B6C81D" w:rsidR="00004A53" w:rsidRDefault="00004A53" w:rsidP="00BF70A3">
      <w:pPr>
        <w:pStyle w:val="ListParagraph"/>
        <w:numPr>
          <w:ilvl w:val="0"/>
          <w:numId w:val="1"/>
        </w:numPr>
        <w:ind w:left="360"/>
      </w:pPr>
      <w:r>
        <w:t>Why do people read young adult texts?</w:t>
      </w:r>
      <w:r w:rsidR="00567D55">
        <w:t xml:space="preserve"> How does young adult literature enter into conversations about power, identity, and important life events?</w:t>
      </w:r>
    </w:p>
    <w:p w14:paraId="3BDB7D63" w14:textId="77777777" w:rsidR="00EC161D" w:rsidRDefault="00EC161D" w:rsidP="00EC161D"/>
    <w:p w14:paraId="104C8FC5" w14:textId="34ECAE89" w:rsidR="00004A53" w:rsidRDefault="00004A53" w:rsidP="00BF70A3">
      <w:pPr>
        <w:pStyle w:val="ListParagraph"/>
        <w:numPr>
          <w:ilvl w:val="0"/>
          <w:numId w:val="1"/>
        </w:numPr>
        <w:ind w:left="360"/>
      </w:pPr>
      <w:r>
        <w:t>How can teachers effectively plan literature and literacy instruction?</w:t>
      </w:r>
    </w:p>
    <w:p w14:paraId="0134C62E" w14:textId="77777777" w:rsidR="00BF70A3" w:rsidRDefault="00BF70A3" w:rsidP="00BF70A3"/>
    <w:p w14:paraId="60A37E64" w14:textId="77777777" w:rsidR="00BF70A3" w:rsidRPr="00503BBC" w:rsidRDefault="00BF70A3" w:rsidP="00BF70A3"/>
    <w:p w14:paraId="7B34BE8F" w14:textId="77777777" w:rsidR="00BF70A3" w:rsidRPr="00E8425E" w:rsidRDefault="00BF70A3" w:rsidP="00BF70A3">
      <w:pPr>
        <w:jc w:val="center"/>
      </w:pPr>
      <w:r w:rsidRPr="00E8425E">
        <w:rPr>
          <w:b/>
        </w:rPr>
        <w:t>Course Description</w:t>
      </w:r>
    </w:p>
    <w:p w14:paraId="6CB14808" w14:textId="77777777" w:rsidR="00612090" w:rsidRDefault="00612090" w:rsidP="006120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C132A78" w14:textId="3D93DDD0" w:rsidR="00006785" w:rsidRPr="00612090" w:rsidRDefault="00C0103A" w:rsidP="006120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pPr>
      <w:r w:rsidRPr="00612090">
        <w:t>Reading patterns of adolescents and uses of young adult literature in reading and English language arts programs, grades 6-12.</w:t>
      </w:r>
    </w:p>
    <w:p w14:paraId="36513E8C" w14:textId="68254215" w:rsidR="00006785" w:rsidRDefault="00006785" w:rsidP="000067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64FE1C" w14:textId="77777777" w:rsidR="00612090" w:rsidRPr="00503BBC" w:rsidRDefault="00612090" w:rsidP="000067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D94B90" w14:textId="77777777" w:rsidR="00006785" w:rsidRPr="00E8425E" w:rsidRDefault="00006785" w:rsidP="00006785">
      <w:pPr>
        <w:widowControl w:val="0"/>
        <w:autoSpaceDE w:val="0"/>
        <w:autoSpaceDN w:val="0"/>
        <w:adjustRightInd w:val="0"/>
        <w:spacing w:after="240"/>
        <w:jc w:val="center"/>
        <w:rPr>
          <w:b/>
          <w:bCs/>
        </w:rPr>
      </w:pPr>
      <w:r>
        <w:rPr>
          <w:b/>
          <w:bCs/>
        </w:rPr>
        <w:t>Student Learning Outcomes</w:t>
      </w:r>
    </w:p>
    <w:p w14:paraId="5C34B0D2" w14:textId="049785C6" w:rsidR="00006785" w:rsidRPr="00AA0651" w:rsidRDefault="00006785" w:rsidP="00006785">
      <w:pPr>
        <w:rPr>
          <w:color w:val="000000"/>
        </w:rPr>
      </w:pPr>
      <w:r w:rsidRPr="00503BBC">
        <w:rPr>
          <w:color w:val="000000"/>
        </w:rPr>
        <w:t xml:space="preserve">Upon completion of this </w:t>
      </w:r>
      <w:r>
        <w:rPr>
          <w:color w:val="000000"/>
        </w:rPr>
        <w:t xml:space="preserve">course, students will </w:t>
      </w:r>
      <w:r w:rsidR="003C34DD">
        <w:rPr>
          <w:color w:val="000000"/>
        </w:rPr>
        <w:t>develop an understanding of adolescence, adolescents, and literacy through exploring young adult literature and scholarly texts related to this literature’s production, interpretation, and educational use.</w:t>
      </w:r>
      <w:r w:rsidR="00FB4E9C">
        <w:rPr>
          <w:color w:val="000000"/>
        </w:rPr>
        <w:t xml:space="preserve"> More specifically:</w:t>
      </w:r>
    </w:p>
    <w:p w14:paraId="47150CED" w14:textId="0D9DAF13" w:rsidR="003C34DD" w:rsidRDefault="003C34DD" w:rsidP="00006785">
      <w:pPr>
        <w:rPr>
          <w:color w:val="000000"/>
        </w:rPr>
      </w:pPr>
    </w:p>
    <w:p w14:paraId="7BB2C0E8" w14:textId="7EA87D67" w:rsidR="003C34DD" w:rsidRDefault="00FB4E9C" w:rsidP="00AA0651">
      <w:pPr>
        <w:pStyle w:val="ListParagraph"/>
        <w:numPr>
          <w:ilvl w:val="0"/>
          <w:numId w:val="3"/>
        </w:numPr>
        <w:rPr>
          <w:color w:val="000000"/>
        </w:rPr>
      </w:pPr>
      <w:r>
        <w:rPr>
          <w:color w:val="000000"/>
        </w:rPr>
        <w:t>Students will be able to plan and enact English language arts instruction – both at the lesson and unit level – that i</w:t>
      </w:r>
      <w:r w:rsidR="003C34DD">
        <w:rPr>
          <w:color w:val="000000"/>
        </w:rPr>
        <w:t>ntegrate</w:t>
      </w:r>
      <w:r>
        <w:rPr>
          <w:color w:val="000000"/>
        </w:rPr>
        <w:t>s</w:t>
      </w:r>
      <w:r w:rsidR="003C34DD">
        <w:rPr>
          <w:color w:val="000000"/>
        </w:rPr>
        <w:t xml:space="preserve"> required and choice reading of young adult texts in order to support </w:t>
      </w:r>
      <w:r>
        <w:rPr>
          <w:color w:val="000000"/>
        </w:rPr>
        <w:t>adolescents’</w:t>
      </w:r>
      <w:r w:rsidR="003C34DD">
        <w:rPr>
          <w:color w:val="000000"/>
        </w:rPr>
        <w:t xml:space="preserve"> literacy learning.</w:t>
      </w:r>
    </w:p>
    <w:p w14:paraId="20DFDC38" w14:textId="77777777" w:rsidR="00AA0651" w:rsidRPr="00AA0651" w:rsidRDefault="00AA0651" w:rsidP="00AA0651">
      <w:pPr>
        <w:rPr>
          <w:color w:val="000000"/>
        </w:rPr>
      </w:pPr>
    </w:p>
    <w:p w14:paraId="0B88C995" w14:textId="5C95AA18" w:rsidR="00237EED" w:rsidRDefault="00237EED" w:rsidP="00AA0651">
      <w:pPr>
        <w:pStyle w:val="ListParagraph"/>
        <w:numPr>
          <w:ilvl w:val="0"/>
          <w:numId w:val="3"/>
        </w:numPr>
        <w:rPr>
          <w:color w:val="000000"/>
        </w:rPr>
      </w:pPr>
      <w:r>
        <w:rPr>
          <w:color w:val="000000"/>
        </w:rPr>
        <w:t>Students will be able to respond to adolescent readers in ways that support and encourage their learning literacy skills and developing a passion for reading.</w:t>
      </w:r>
    </w:p>
    <w:p w14:paraId="74AB2FE9" w14:textId="77777777" w:rsidR="00AA0651" w:rsidRPr="00AA0651" w:rsidRDefault="00AA0651" w:rsidP="00AA0651">
      <w:pPr>
        <w:rPr>
          <w:color w:val="000000"/>
        </w:rPr>
      </w:pPr>
    </w:p>
    <w:p w14:paraId="5D30E176" w14:textId="29071E9F" w:rsidR="00FB4E9C" w:rsidRDefault="00FB4E9C" w:rsidP="00AA0651">
      <w:pPr>
        <w:pStyle w:val="ListParagraph"/>
        <w:numPr>
          <w:ilvl w:val="0"/>
          <w:numId w:val="3"/>
        </w:numPr>
        <w:rPr>
          <w:color w:val="000000"/>
        </w:rPr>
      </w:pPr>
      <w:r>
        <w:rPr>
          <w:color w:val="000000"/>
        </w:rPr>
        <w:t xml:space="preserve">Students will </w:t>
      </w:r>
      <w:r w:rsidR="00A02FFB">
        <w:rPr>
          <w:color w:val="000000"/>
        </w:rPr>
        <w:t xml:space="preserve">be able to </w:t>
      </w:r>
      <w:r>
        <w:rPr>
          <w:color w:val="000000"/>
        </w:rPr>
        <w:t>articulate a definition of young adult literature, identify the importance of this literature in relation to adolescents’ literacy learning, and develop and apply informed selection and evaluation criteria to these texts.</w:t>
      </w:r>
    </w:p>
    <w:p w14:paraId="112E72B6" w14:textId="77777777" w:rsidR="00AA0651" w:rsidRPr="00AA0651" w:rsidRDefault="00AA0651" w:rsidP="00AA0651">
      <w:pPr>
        <w:rPr>
          <w:color w:val="000000"/>
        </w:rPr>
      </w:pPr>
    </w:p>
    <w:p w14:paraId="429459A6" w14:textId="73CCD82D" w:rsidR="00A02FFB" w:rsidRPr="003C34DD" w:rsidRDefault="00A02FFB" w:rsidP="00AA0651">
      <w:pPr>
        <w:pStyle w:val="ListParagraph"/>
        <w:numPr>
          <w:ilvl w:val="0"/>
          <w:numId w:val="3"/>
        </w:numPr>
        <w:rPr>
          <w:color w:val="000000"/>
        </w:rPr>
      </w:pPr>
      <w:r>
        <w:rPr>
          <w:color w:val="000000"/>
        </w:rPr>
        <w:t>Students will able to interpret and analyze young adult texts using critical and sociocultural perspectives. They will be able to explain connections among sociocultural contexts, young adult texts, and schooling practices.</w:t>
      </w:r>
    </w:p>
    <w:p w14:paraId="6C705C80" w14:textId="77777777" w:rsidR="00006785" w:rsidRDefault="00006785" w:rsidP="00006785"/>
    <w:p w14:paraId="2D999024" w14:textId="77777777" w:rsidR="00006785" w:rsidRDefault="00006785" w:rsidP="00006785">
      <w:pPr>
        <w:jc w:val="center"/>
        <w:rPr>
          <w:b/>
          <w:bCs/>
        </w:rPr>
      </w:pPr>
      <w:r>
        <w:rPr>
          <w:b/>
          <w:bCs/>
        </w:rPr>
        <w:lastRenderedPageBreak/>
        <w:t>Course Policies</w:t>
      </w:r>
    </w:p>
    <w:p w14:paraId="773B6F72" w14:textId="77777777" w:rsidR="00006785" w:rsidRDefault="00006785" w:rsidP="00006785">
      <w:pPr>
        <w:rPr>
          <w:b/>
          <w:bCs/>
        </w:rPr>
      </w:pPr>
    </w:p>
    <w:p w14:paraId="1881C8C6" w14:textId="77777777" w:rsidR="00006785" w:rsidRDefault="00006785" w:rsidP="00006785">
      <w:pPr>
        <w:rPr>
          <w:b/>
          <w:bCs/>
        </w:rPr>
      </w:pPr>
    </w:p>
    <w:p w14:paraId="4600065B" w14:textId="290B2F3D" w:rsidR="00006785" w:rsidRDefault="00006785" w:rsidP="00006785">
      <w:pPr>
        <w:widowControl w:val="0"/>
        <w:contextualSpacing/>
        <w:rPr>
          <w:bCs/>
          <w:color w:val="000000"/>
          <w:sz w:val="22"/>
          <w:szCs w:val="22"/>
        </w:rPr>
      </w:pPr>
      <w:r>
        <w:rPr>
          <w:b/>
          <w:bCs/>
          <w:color w:val="000000"/>
          <w:sz w:val="22"/>
          <w:szCs w:val="22"/>
        </w:rPr>
        <w:t>Technology</w:t>
      </w:r>
      <w:r>
        <w:rPr>
          <w:bCs/>
          <w:color w:val="000000"/>
          <w:sz w:val="22"/>
          <w:szCs w:val="22"/>
        </w:rPr>
        <w:t xml:space="preserve">: One quality of an effective learning community is that members of that community are present, not only with respect to their physical bodies but also their attention, intellect, and emotions. </w:t>
      </w:r>
      <w:r w:rsidR="00BE5E6D">
        <w:rPr>
          <w:bCs/>
          <w:color w:val="000000"/>
          <w:sz w:val="22"/>
          <w:szCs w:val="22"/>
        </w:rPr>
        <w:t>I am asking you to honor this request through being mindful and considerate about your use of technology. Use your devices only web you need to for a class activity. Otherwise, please do not have them open or use them.</w:t>
      </w:r>
      <w:r>
        <w:rPr>
          <w:bCs/>
          <w:color w:val="000000"/>
          <w:sz w:val="22"/>
          <w:szCs w:val="22"/>
        </w:rPr>
        <w:t xml:space="preserve"> </w:t>
      </w:r>
    </w:p>
    <w:p w14:paraId="2D200D67" w14:textId="41AF04E1" w:rsidR="00BE5E6D" w:rsidRDefault="00BE5E6D" w:rsidP="00006785">
      <w:pPr>
        <w:widowControl w:val="0"/>
        <w:contextualSpacing/>
        <w:rPr>
          <w:bCs/>
          <w:color w:val="000000"/>
          <w:sz w:val="22"/>
          <w:szCs w:val="22"/>
        </w:rPr>
      </w:pPr>
    </w:p>
    <w:p w14:paraId="29C686DE" w14:textId="77777777" w:rsidR="00BE5E6D" w:rsidRPr="00BE5E6D" w:rsidRDefault="00BE5E6D" w:rsidP="00BE5E6D">
      <w:pPr>
        <w:ind w:left="720"/>
        <w:rPr>
          <w:bCs/>
          <w:i/>
        </w:rPr>
      </w:pPr>
      <w:r w:rsidRPr="00BE5E6D">
        <w:rPr>
          <w:bCs/>
          <w:i/>
        </w:rPr>
        <w:t xml:space="preserve">As a classroom community, our capacity to generate excitement is deeply affected by our interest in one another, in hearing one another’s voices, in </w:t>
      </w:r>
      <w:r w:rsidRPr="00BE5E6D">
        <w:rPr>
          <w:bCs/>
          <w:i/>
          <w:u w:val="single"/>
        </w:rPr>
        <w:t>recognizing one another’s presence</w:t>
      </w:r>
      <w:r w:rsidRPr="00BE5E6D">
        <w:rPr>
          <w:bCs/>
          <w:i/>
        </w:rPr>
        <w:t xml:space="preserve">. </w:t>
      </w:r>
    </w:p>
    <w:p w14:paraId="725B0B1F" w14:textId="2B5B267F" w:rsidR="00BE5E6D" w:rsidRPr="00BE5E6D" w:rsidRDefault="00BE5E6D" w:rsidP="00BE5E6D">
      <w:pPr>
        <w:ind w:left="720"/>
        <w:rPr>
          <w:bCs/>
          <w:i/>
        </w:rPr>
      </w:pPr>
      <w:r w:rsidRPr="00BE5E6D">
        <w:rPr>
          <w:bCs/>
          <w:i/>
        </w:rPr>
        <w:t xml:space="preserve">- bell hooks </w:t>
      </w:r>
    </w:p>
    <w:p w14:paraId="0A00B444" w14:textId="77777777" w:rsidR="00006785" w:rsidRDefault="00006785" w:rsidP="00006785">
      <w:pPr>
        <w:widowControl w:val="0"/>
        <w:contextualSpacing/>
        <w:rPr>
          <w:b/>
          <w:bCs/>
          <w:color w:val="000000"/>
          <w:sz w:val="22"/>
          <w:szCs w:val="22"/>
        </w:rPr>
      </w:pPr>
    </w:p>
    <w:p w14:paraId="58105B0F" w14:textId="77777777" w:rsidR="00006785" w:rsidRPr="006F32B9" w:rsidRDefault="00006785" w:rsidP="00006785">
      <w:pPr>
        <w:widowControl w:val="0"/>
        <w:contextualSpacing/>
        <w:rPr>
          <w:rFonts w:ascii="Times" w:hAnsi="Times"/>
          <w:sz w:val="20"/>
          <w:szCs w:val="20"/>
        </w:rPr>
      </w:pPr>
      <w:r w:rsidRPr="006F32B9">
        <w:rPr>
          <w:b/>
          <w:bCs/>
          <w:color w:val="000000"/>
          <w:sz w:val="22"/>
          <w:szCs w:val="22"/>
        </w:rPr>
        <w:t>Grade</w:t>
      </w:r>
      <w:r w:rsidRPr="006F32B9">
        <w:rPr>
          <w:color w:val="000000"/>
          <w:sz w:val="22"/>
          <w:szCs w:val="22"/>
        </w:rPr>
        <w:t>: Your grade for the course will be determined through your completion of the course assignments</w:t>
      </w:r>
      <w:r>
        <w:rPr>
          <w:color w:val="000000"/>
          <w:sz w:val="22"/>
          <w:szCs w:val="22"/>
        </w:rPr>
        <w:t>, your participation, and your attendance</w:t>
      </w:r>
      <w:r w:rsidRPr="006F32B9">
        <w:rPr>
          <w:color w:val="000000"/>
          <w:sz w:val="22"/>
          <w:szCs w:val="22"/>
        </w:rPr>
        <w:t>. Any adjustments or questions about assignments must be communicated before the due date.</w:t>
      </w:r>
      <w:r w:rsidRPr="00DF6FED">
        <w:rPr>
          <w:color w:val="000000"/>
          <w:sz w:val="22"/>
          <w:szCs w:val="22"/>
        </w:rPr>
        <w:t xml:space="preserve"> </w:t>
      </w:r>
      <w:r w:rsidRPr="006F32B9">
        <w:rPr>
          <w:color w:val="000000"/>
          <w:sz w:val="22"/>
          <w:szCs w:val="22"/>
        </w:rPr>
        <w:t xml:space="preserve">You can work on assignments </w:t>
      </w:r>
      <w:r>
        <w:rPr>
          <w:color w:val="000000"/>
          <w:sz w:val="22"/>
          <w:szCs w:val="22"/>
        </w:rPr>
        <w:t>at any point in the semester since all requirements are included on the syllabus</w:t>
      </w:r>
      <w:r w:rsidRPr="006F32B9">
        <w:rPr>
          <w:color w:val="000000"/>
          <w:sz w:val="22"/>
          <w:szCs w:val="22"/>
        </w:rPr>
        <w:t>.</w:t>
      </w:r>
    </w:p>
    <w:p w14:paraId="06823DCC" w14:textId="77777777" w:rsidR="00006785" w:rsidRPr="006F32B9" w:rsidRDefault="00006785" w:rsidP="00006785">
      <w:pPr>
        <w:widowControl w:val="0"/>
        <w:contextualSpacing/>
        <w:rPr>
          <w:rFonts w:ascii="Times" w:hAnsi="Times"/>
          <w:sz w:val="20"/>
          <w:szCs w:val="20"/>
        </w:rPr>
      </w:pPr>
    </w:p>
    <w:p w14:paraId="4D896B70" w14:textId="77777777" w:rsidR="00006785" w:rsidRPr="006F32B9" w:rsidRDefault="00006785" w:rsidP="00006785">
      <w:pPr>
        <w:widowControl w:val="0"/>
        <w:contextualSpacing/>
        <w:rPr>
          <w:rFonts w:ascii="Times" w:hAnsi="Times"/>
          <w:sz w:val="20"/>
          <w:szCs w:val="20"/>
        </w:rPr>
      </w:pPr>
      <w:r w:rsidRPr="006F32B9">
        <w:rPr>
          <w:b/>
          <w:bCs/>
          <w:color w:val="000000"/>
          <w:sz w:val="22"/>
          <w:szCs w:val="22"/>
        </w:rPr>
        <w:t>Commitment to Success</w:t>
      </w:r>
      <w:r w:rsidRPr="006F32B9">
        <w:rPr>
          <w:color w:val="000000"/>
          <w:sz w:val="22"/>
          <w:szCs w:val="22"/>
        </w:rPr>
        <w:t xml:space="preserve">: My overall goal is for everyone to complete this class with a broader and deeper understanding of </w:t>
      </w:r>
      <w:r>
        <w:rPr>
          <w:color w:val="000000"/>
          <w:sz w:val="22"/>
          <w:szCs w:val="22"/>
        </w:rPr>
        <w:t>language and</w:t>
      </w:r>
      <w:r w:rsidRPr="006F32B9">
        <w:rPr>
          <w:color w:val="000000"/>
          <w:sz w:val="22"/>
          <w:szCs w:val="22"/>
        </w:rPr>
        <w:t xml:space="preserve">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p>
    <w:p w14:paraId="2BEB8799" w14:textId="77777777" w:rsidR="00006785" w:rsidRPr="006F32B9" w:rsidRDefault="00006785" w:rsidP="00006785">
      <w:pPr>
        <w:widowControl w:val="0"/>
        <w:contextualSpacing/>
        <w:rPr>
          <w:rFonts w:ascii="Times" w:hAnsi="Times"/>
          <w:sz w:val="20"/>
          <w:szCs w:val="20"/>
        </w:rPr>
      </w:pPr>
    </w:p>
    <w:p w14:paraId="05BDBF3E" w14:textId="77777777" w:rsidR="00006785" w:rsidRDefault="00006785" w:rsidP="00006785">
      <w:pPr>
        <w:widowControl w:val="0"/>
        <w:contextualSpacing/>
        <w:rPr>
          <w:color w:val="000000"/>
          <w:sz w:val="22"/>
          <w:szCs w:val="22"/>
        </w:rPr>
      </w:pPr>
      <w:r w:rsidRPr="006F32B9">
        <w:rPr>
          <w:b/>
          <w:bCs/>
          <w:color w:val="000000"/>
          <w:sz w:val="22"/>
          <w:szCs w:val="22"/>
        </w:rPr>
        <w:t>Incompletes</w:t>
      </w:r>
      <w:r w:rsidRPr="006F32B9">
        <w:rPr>
          <w:color w:val="000000"/>
          <w:sz w:val="22"/>
          <w:szCs w:val="22"/>
        </w:rPr>
        <w:t>: Incompletes are not given except in the case of a documented emergency</w:t>
      </w:r>
      <w:r>
        <w:rPr>
          <w:color w:val="000000"/>
          <w:sz w:val="22"/>
          <w:szCs w:val="22"/>
        </w:rPr>
        <w:t xml:space="preserve"> such as a medical emergency</w:t>
      </w:r>
      <w:r w:rsidRPr="006F32B9">
        <w:rPr>
          <w:color w:val="000000"/>
          <w:sz w:val="22"/>
          <w:szCs w:val="22"/>
        </w:rPr>
        <w:t>. If you choose to take an incomplete for any other reason, the default grade will be an “E.”</w:t>
      </w:r>
    </w:p>
    <w:p w14:paraId="5B5E6C03" w14:textId="77777777" w:rsidR="00006785" w:rsidRDefault="00006785" w:rsidP="00006785">
      <w:pPr>
        <w:widowControl w:val="0"/>
        <w:contextualSpacing/>
        <w:rPr>
          <w:b/>
          <w:bCs/>
          <w:color w:val="191919"/>
          <w:sz w:val="22"/>
          <w:szCs w:val="22"/>
        </w:rPr>
      </w:pPr>
    </w:p>
    <w:p w14:paraId="1FDBDDAC" w14:textId="77777777" w:rsidR="00091B2F" w:rsidRDefault="00006785" w:rsidP="00006785">
      <w:pPr>
        <w:widowControl w:val="0"/>
        <w:autoSpaceDE w:val="0"/>
        <w:autoSpaceDN w:val="0"/>
        <w:adjustRightInd w:val="0"/>
        <w:rPr>
          <w:color w:val="191919"/>
          <w:sz w:val="22"/>
          <w:szCs w:val="22"/>
          <w:u w:color="191919"/>
        </w:rPr>
      </w:pPr>
      <w:r>
        <w:rPr>
          <w:b/>
          <w:bCs/>
          <w:color w:val="191919"/>
          <w:sz w:val="22"/>
          <w:szCs w:val="22"/>
        </w:rPr>
        <w:t xml:space="preserve">Attendance in the University Classroom: </w:t>
      </w:r>
      <w:r w:rsidRPr="005E693D">
        <w:rPr>
          <w:color w:val="191919"/>
          <w:sz w:val="22"/>
          <w:szCs w:val="22"/>
          <w:u w:color="191919"/>
        </w:rPr>
        <w:t>Attendance is mandatory and will be taken at the start of each session. Please be present at every class meeting. We cover important information from the moment that class begins until the minute that it ends. If you come late, leave early, or are absent for the entire period, you will miss out on essential course material.  There is simply no substitute for being here</w:t>
      </w:r>
      <w:r>
        <w:rPr>
          <w:color w:val="191919"/>
          <w:sz w:val="22"/>
          <w:szCs w:val="22"/>
          <w:u w:color="191919"/>
        </w:rPr>
        <w:t>.</w:t>
      </w:r>
    </w:p>
    <w:p w14:paraId="6AD65BE7" w14:textId="77777777" w:rsidR="00091B2F" w:rsidRDefault="00091B2F" w:rsidP="00006785">
      <w:pPr>
        <w:widowControl w:val="0"/>
        <w:autoSpaceDE w:val="0"/>
        <w:autoSpaceDN w:val="0"/>
        <w:adjustRightInd w:val="0"/>
        <w:rPr>
          <w:color w:val="191919"/>
          <w:sz w:val="22"/>
          <w:szCs w:val="22"/>
          <w:u w:color="191919"/>
        </w:rPr>
      </w:pPr>
    </w:p>
    <w:p w14:paraId="126B9153" w14:textId="3B6E7468" w:rsidR="00091B2F" w:rsidRDefault="00006785" w:rsidP="00006785">
      <w:pPr>
        <w:widowControl w:val="0"/>
        <w:autoSpaceDE w:val="0"/>
        <w:autoSpaceDN w:val="0"/>
        <w:adjustRightInd w:val="0"/>
        <w:rPr>
          <w:color w:val="191919"/>
          <w:sz w:val="22"/>
          <w:szCs w:val="22"/>
          <w:u w:color="191919"/>
        </w:rPr>
      </w:pPr>
      <w:r>
        <w:rPr>
          <w:color w:val="191919"/>
          <w:sz w:val="22"/>
          <w:szCs w:val="22"/>
          <w:u w:color="191919"/>
        </w:rPr>
        <w:t xml:space="preserve">Per university guidelines, I follow the excused absences as defined by the university’s student policy </w:t>
      </w:r>
      <w:proofErr w:type="spellStart"/>
      <w:r>
        <w:rPr>
          <w:color w:val="191919"/>
          <w:sz w:val="22"/>
          <w:szCs w:val="22"/>
          <w:u w:color="191919"/>
        </w:rPr>
        <w:t>ehandbook</w:t>
      </w:r>
      <w:proofErr w:type="spellEnd"/>
      <w:r>
        <w:rPr>
          <w:color w:val="191919"/>
          <w:sz w:val="22"/>
          <w:szCs w:val="22"/>
          <w:u w:color="191919"/>
        </w:rPr>
        <w:t xml:space="preserve"> (</w:t>
      </w:r>
      <w:hyperlink r:id="rId8" w:history="1">
        <w:r w:rsidRPr="00EC344C">
          <w:rPr>
            <w:rStyle w:val="Hyperlink"/>
            <w:sz w:val="22"/>
            <w:szCs w:val="22"/>
          </w:rPr>
          <w:t>http://www.auburn.edu/student_info/student_policies/</w:t>
        </w:r>
      </w:hyperlink>
      <w:r>
        <w:rPr>
          <w:color w:val="191919"/>
          <w:sz w:val="22"/>
          <w:szCs w:val="22"/>
          <w:u w:color="191919"/>
        </w:rPr>
        <w:t>).</w:t>
      </w:r>
      <w:r w:rsidRPr="005E693D">
        <w:rPr>
          <w:color w:val="191919"/>
          <w:sz w:val="22"/>
          <w:szCs w:val="22"/>
          <w:u w:color="191919"/>
        </w:rPr>
        <w:t xml:space="preserve"> If you encounter a serious family or personal emergency that interferes with your ability to </w:t>
      </w:r>
      <w:r>
        <w:rPr>
          <w:color w:val="191919"/>
          <w:sz w:val="22"/>
          <w:szCs w:val="22"/>
          <w:u w:color="191919"/>
        </w:rPr>
        <w:t xml:space="preserve">attend class, </w:t>
      </w:r>
      <w:r w:rsidR="00091B2F">
        <w:rPr>
          <w:color w:val="191919"/>
          <w:sz w:val="22"/>
          <w:szCs w:val="22"/>
          <w:u w:color="191919"/>
        </w:rPr>
        <w:t>you must contact me via email and provide documentation of the absence (such as a doctor’s note) in order for it to be considered an “excused” absence.</w:t>
      </w:r>
      <w:r w:rsidR="00091B2F" w:rsidRPr="00091B2F">
        <w:rPr>
          <w:color w:val="191919"/>
          <w:sz w:val="22"/>
          <w:szCs w:val="22"/>
          <w:u w:color="191919"/>
        </w:rPr>
        <w:t xml:space="preserve"> </w:t>
      </w:r>
      <w:r w:rsidR="00091B2F">
        <w:rPr>
          <w:color w:val="191919"/>
          <w:sz w:val="22"/>
          <w:szCs w:val="22"/>
          <w:u w:color="191919"/>
        </w:rPr>
        <w:t>Excused absences, as defined by the university, will not negatively impact your score. However, i</w:t>
      </w:r>
      <w:r w:rsidR="00091B2F" w:rsidRPr="00A86618">
        <w:rPr>
          <w:color w:val="191919"/>
          <w:sz w:val="22"/>
          <w:szCs w:val="22"/>
          <w:u w:color="191919"/>
        </w:rPr>
        <w:t xml:space="preserve">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so, too, you must notify me as soon as possible for an emergency absence. </w:t>
      </w:r>
    </w:p>
    <w:p w14:paraId="3DBE24E0" w14:textId="77777777" w:rsidR="00091B2F" w:rsidRDefault="00091B2F" w:rsidP="00006785">
      <w:pPr>
        <w:widowControl w:val="0"/>
        <w:autoSpaceDE w:val="0"/>
        <w:autoSpaceDN w:val="0"/>
        <w:adjustRightInd w:val="0"/>
        <w:rPr>
          <w:color w:val="191919"/>
          <w:sz w:val="22"/>
          <w:szCs w:val="22"/>
          <w:u w:color="191919"/>
        </w:rPr>
      </w:pPr>
    </w:p>
    <w:p w14:paraId="71FA83CC" w14:textId="59054E6D" w:rsidR="00006785" w:rsidRDefault="00091B2F" w:rsidP="00006785">
      <w:pPr>
        <w:widowControl w:val="0"/>
        <w:autoSpaceDE w:val="0"/>
        <w:autoSpaceDN w:val="0"/>
        <w:adjustRightInd w:val="0"/>
        <w:rPr>
          <w:color w:val="191919"/>
          <w:sz w:val="22"/>
          <w:szCs w:val="22"/>
          <w:u w:color="191919"/>
        </w:rPr>
      </w:pPr>
      <w:r>
        <w:rPr>
          <w:color w:val="191919"/>
          <w:sz w:val="22"/>
          <w:szCs w:val="22"/>
          <w:u w:color="191919"/>
        </w:rPr>
        <w:t xml:space="preserve">For support beyond the classroom, </w:t>
      </w:r>
      <w:r w:rsidR="00006785">
        <w:rPr>
          <w:color w:val="191919"/>
          <w:sz w:val="22"/>
          <w:szCs w:val="22"/>
          <w:u w:color="191919"/>
        </w:rPr>
        <w:t>please contact Student Counseling and Psychological Services, which is located on the second floor in suite 2086 of the Auburn University Medical Clinic at</w:t>
      </w:r>
      <w:r w:rsidR="00006785" w:rsidRPr="00E43692">
        <w:rPr>
          <w:color w:val="191919"/>
          <w:sz w:val="22"/>
          <w:szCs w:val="22"/>
          <w:u w:color="191919"/>
        </w:rPr>
        <w:t xml:space="preserve"> 400 </w:t>
      </w:r>
      <w:proofErr w:type="spellStart"/>
      <w:r w:rsidR="00006785" w:rsidRPr="00E43692">
        <w:rPr>
          <w:color w:val="191919"/>
          <w:sz w:val="22"/>
          <w:szCs w:val="22"/>
          <w:u w:color="191919"/>
        </w:rPr>
        <w:t>L</w:t>
      </w:r>
      <w:r w:rsidR="00006785">
        <w:rPr>
          <w:color w:val="191919"/>
          <w:sz w:val="22"/>
          <w:szCs w:val="22"/>
          <w:u w:color="191919"/>
        </w:rPr>
        <w:t>em</w:t>
      </w:r>
      <w:proofErr w:type="spellEnd"/>
      <w:r w:rsidR="00006785">
        <w:rPr>
          <w:color w:val="191919"/>
          <w:sz w:val="22"/>
          <w:szCs w:val="22"/>
          <w:u w:color="191919"/>
        </w:rPr>
        <w:t xml:space="preserve"> Morrison </w:t>
      </w:r>
      <w:proofErr w:type="spellStart"/>
      <w:r w:rsidR="00006785">
        <w:rPr>
          <w:color w:val="191919"/>
          <w:sz w:val="22"/>
          <w:szCs w:val="22"/>
          <w:u w:color="191919"/>
        </w:rPr>
        <w:t>Dr</w:t>
      </w:r>
      <w:proofErr w:type="spellEnd"/>
      <w:r w:rsidR="00006785">
        <w:rPr>
          <w:color w:val="191919"/>
          <w:sz w:val="22"/>
          <w:szCs w:val="22"/>
          <w:u w:color="191919"/>
        </w:rPr>
        <w:t xml:space="preserve">, Auburn, AL 36849. Phone: (334) 844-4123. Online: </w:t>
      </w:r>
      <w:hyperlink r:id="rId9" w:history="1">
        <w:r w:rsidR="00006785" w:rsidRPr="005E20A1">
          <w:rPr>
            <w:rStyle w:val="Hyperlink"/>
            <w:sz w:val="22"/>
            <w:szCs w:val="22"/>
          </w:rPr>
          <w:t>http://wp.auburn.edu/scs/#</w:t>
        </w:r>
      </w:hyperlink>
      <w:r w:rsidR="00006785">
        <w:rPr>
          <w:color w:val="191919"/>
          <w:sz w:val="22"/>
          <w:szCs w:val="22"/>
          <w:u w:color="191919"/>
        </w:rPr>
        <w:t xml:space="preserve"> </w:t>
      </w:r>
      <w:r w:rsidR="00006785" w:rsidRPr="005E693D">
        <w:rPr>
          <w:color w:val="191919"/>
          <w:sz w:val="22"/>
          <w:szCs w:val="22"/>
          <w:u w:color="191919"/>
        </w:rPr>
        <w:t>Staff members in this office can assist you in a number of ways, including setting up appointments with a counselor, contacting your professors, and/or providing you with advice regarding whether you sh</w:t>
      </w:r>
      <w:r w:rsidR="00006785">
        <w:rPr>
          <w:color w:val="191919"/>
          <w:sz w:val="22"/>
          <w:szCs w:val="22"/>
          <w:u w:color="191919"/>
        </w:rPr>
        <w:t>ould carry on with your classes.</w:t>
      </w:r>
    </w:p>
    <w:p w14:paraId="1FC42B04" w14:textId="77777777" w:rsidR="00006785" w:rsidRDefault="00006785" w:rsidP="00006785">
      <w:pPr>
        <w:widowControl w:val="0"/>
        <w:autoSpaceDE w:val="0"/>
        <w:autoSpaceDN w:val="0"/>
        <w:adjustRightInd w:val="0"/>
        <w:rPr>
          <w:b/>
          <w:bCs/>
          <w:color w:val="191919"/>
          <w:sz w:val="22"/>
          <w:szCs w:val="22"/>
        </w:rPr>
      </w:pPr>
    </w:p>
    <w:p w14:paraId="43B30D1F" w14:textId="77777777" w:rsidR="00006785" w:rsidRPr="005E693D" w:rsidRDefault="00006785" w:rsidP="00006785">
      <w:pPr>
        <w:widowControl w:val="0"/>
        <w:autoSpaceDE w:val="0"/>
        <w:autoSpaceDN w:val="0"/>
        <w:adjustRightInd w:val="0"/>
        <w:rPr>
          <w:b/>
          <w:bCs/>
          <w:color w:val="191919"/>
          <w:sz w:val="22"/>
          <w:szCs w:val="22"/>
        </w:rPr>
      </w:pPr>
      <w:r w:rsidRPr="005E693D">
        <w:rPr>
          <w:color w:val="191919"/>
          <w:sz w:val="22"/>
          <w:szCs w:val="22"/>
          <w:u w:color="191919"/>
        </w:rPr>
        <w:lastRenderedPageBreak/>
        <w:t xml:space="preserve">The following structure will be used to determine the impact of an </w:t>
      </w:r>
      <w:r>
        <w:rPr>
          <w:color w:val="191919"/>
          <w:sz w:val="22"/>
          <w:szCs w:val="22"/>
          <w:u w:color="191919"/>
        </w:rPr>
        <w:t xml:space="preserve">unexcused </w:t>
      </w:r>
      <w:r w:rsidRPr="005E693D">
        <w:rPr>
          <w:color w:val="191919"/>
          <w:sz w:val="22"/>
          <w:szCs w:val="22"/>
          <w:u w:color="191919"/>
        </w:rPr>
        <w:t>absence (of all or part of a class session):</w:t>
      </w:r>
    </w:p>
    <w:p w14:paraId="01FCEFE6" w14:textId="77777777" w:rsidR="00006785" w:rsidRPr="005E693D" w:rsidRDefault="00006785" w:rsidP="00006785">
      <w:pPr>
        <w:widowControl w:val="0"/>
        <w:autoSpaceDE w:val="0"/>
        <w:autoSpaceDN w:val="0"/>
        <w:adjustRightInd w:val="0"/>
        <w:rPr>
          <w:rFonts w:ascii="SegoeUI" w:hAnsi="SegoeUI" w:cs="SegoeUI"/>
          <w:color w:val="191919"/>
          <w:sz w:val="22"/>
          <w:szCs w:val="22"/>
          <w:u w:color="191919"/>
        </w:rPr>
      </w:pPr>
    </w:p>
    <w:tbl>
      <w:tblPr>
        <w:tblW w:w="0" w:type="auto"/>
        <w:tblCellMar>
          <w:top w:w="15" w:type="dxa"/>
          <w:left w:w="15" w:type="dxa"/>
          <w:bottom w:w="15" w:type="dxa"/>
          <w:right w:w="15" w:type="dxa"/>
        </w:tblCellMar>
        <w:tblLook w:val="04A0" w:firstRow="1" w:lastRow="0" w:firstColumn="1" w:lastColumn="0" w:noHBand="0" w:noVBand="1"/>
      </w:tblPr>
      <w:tblGrid>
        <w:gridCol w:w="1029"/>
        <w:gridCol w:w="2417"/>
        <w:gridCol w:w="5898"/>
      </w:tblGrid>
      <w:tr w:rsidR="00006785" w:rsidRPr="004F3EBE" w14:paraId="1D1826CB" w14:textId="77777777" w:rsidTr="00091B2F">
        <w:trPr>
          <w:trHeight w:val="519"/>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8BF6E9" w14:textId="77777777" w:rsidR="00006785" w:rsidRPr="004F3EBE" w:rsidRDefault="00006785" w:rsidP="00D47563">
            <w:pPr>
              <w:widowControl w:val="0"/>
              <w:autoSpaceDE w:val="0"/>
              <w:autoSpaceDN w:val="0"/>
              <w:adjustRightInd w:val="0"/>
              <w:rPr>
                <w:b/>
                <w:color w:val="191919"/>
                <w:sz w:val="22"/>
                <w:szCs w:val="22"/>
                <w:u w:color="191919"/>
              </w:rPr>
            </w:pPr>
            <w:r w:rsidRPr="004F3EBE">
              <w:rPr>
                <w:b/>
                <w:color w:val="191919"/>
                <w:sz w:val="22"/>
                <w:szCs w:val="22"/>
                <w:u w:color="191919"/>
              </w:rPr>
              <w:t>Number of absences</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8C36DF" w14:textId="77777777" w:rsidR="00006785" w:rsidRPr="004F3EBE" w:rsidRDefault="00006785" w:rsidP="00D47563">
            <w:pPr>
              <w:widowControl w:val="0"/>
              <w:autoSpaceDE w:val="0"/>
              <w:autoSpaceDN w:val="0"/>
              <w:adjustRightInd w:val="0"/>
              <w:rPr>
                <w:b/>
                <w:color w:val="191919"/>
                <w:sz w:val="22"/>
                <w:szCs w:val="22"/>
                <w:u w:color="191919"/>
              </w:rPr>
            </w:pPr>
            <w:r w:rsidRPr="004F3EBE">
              <w:rPr>
                <w:b/>
                <w:color w:val="191919"/>
                <w:sz w:val="22"/>
                <w:szCs w:val="22"/>
                <w:u w:color="191919"/>
              </w:rPr>
              <w:t>Penalty</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21B48B" w14:textId="77777777" w:rsidR="00006785" w:rsidRPr="004F3EBE" w:rsidRDefault="00006785" w:rsidP="00D47563">
            <w:pPr>
              <w:widowControl w:val="0"/>
              <w:autoSpaceDE w:val="0"/>
              <w:autoSpaceDN w:val="0"/>
              <w:adjustRightInd w:val="0"/>
              <w:rPr>
                <w:b/>
                <w:color w:val="191919"/>
                <w:sz w:val="22"/>
                <w:szCs w:val="22"/>
                <w:u w:color="191919"/>
              </w:rPr>
            </w:pPr>
            <w:r>
              <w:rPr>
                <w:b/>
                <w:color w:val="191919"/>
                <w:sz w:val="22"/>
                <w:szCs w:val="22"/>
                <w:u w:color="191919"/>
              </w:rPr>
              <w:t xml:space="preserve">Steps to Take and </w:t>
            </w:r>
            <w:r w:rsidRPr="004F3EBE">
              <w:rPr>
                <w:b/>
                <w:color w:val="191919"/>
                <w:sz w:val="22"/>
                <w:szCs w:val="22"/>
                <w:u w:color="191919"/>
              </w:rPr>
              <w:t>Makeup Work</w:t>
            </w:r>
          </w:p>
        </w:tc>
      </w:tr>
      <w:tr w:rsidR="00091B2F" w:rsidRPr="004F3EBE" w14:paraId="27A18CA5" w14:textId="77777777" w:rsidTr="00091B2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94FB9C" w14:textId="77777777" w:rsidR="00091B2F" w:rsidRPr="004F3EBE" w:rsidRDefault="00091B2F" w:rsidP="00091B2F">
            <w:pPr>
              <w:widowControl w:val="0"/>
              <w:autoSpaceDE w:val="0"/>
              <w:autoSpaceDN w:val="0"/>
              <w:adjustRightInd w:val="0"/>
              <w:rPr>
                <w:color w:val="191919"/>
                <w:sz w:val="22"/>
                <w:szCs w:val="22"/>
                <w:u w:color="191919"/>
              </w:rPr>
            </w:pPr>
            <w:r w:rsidRPr="004F3EBE">
              <w:rPr>
                <w:color w:val="191919"/>
                <w:sz w:val="22"/>
                <w:szCs w:val="22"/>
                <w:u w:color="191919"/>
              </w:rPr>
              <w:t>1</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855C8C" w14:textId="798E71F0" w:rsidR="00091B2F" w:rsidRPr="004F3EBE" w:rsidRDefault="00091B2F" w:rsidP="00091B2F">
            <w:pPr>
              <w:widowControl w:val="0"/>
              <w:autoSpaceDE w:val="0"/>
              <w:autoSpaceDN w:val="0"/>
              <w:adjustRightInd w:val="0"/>
              <w:rPr>
                <w:color w:val="191919"/>
                <w:sz w:val="22"/>
                <w:szCs w:val="22"/>
                <w:u w:color="191919"/>
              </w:rPr>
            </w:pPr>
            <w:r>
              <w:rPr>
                <w:color w:val="191919"/>
                <w:sz w:val="22"/>
                <w:szCs w:val="22"/>
                <w:u w:color="191919"/>
              </w:rPr>
              <w:t>5</w:t>
            </w:r>
            <w:r w:rsidRPr="004F3EBE">
              <w:rPr>
                <w:color w:val="191919"/>
                <w:sz w:val="22"/>
                <w:szCs w:val="22"/>
                <w:u w:color="191919"/>
              </w:rPr>
              <w:t xml:space="preserve"> point</w:t>
            </w:r>
            <w:r>
              <w:rPr>
                <w:color w:val="191919"/>
                <w:sz w:val="22"/>
                <w:szCs w:val="22"/>
                <w:u w:color="191919"/>
              </w:rPr>
              <w:t xml:space="preserve"> </w:t>
            </w:r>
            <w:r w:rsidRPr="004F3EBE">
              <w:rPr>
                <w:color w:val="191919"/>
                <w:sz w:val="22"/>
                <w:szCs w:val="22"/>
                <w:u w:color="191919"/>
              </w:rPr>
              <w:t>deduction (i.e., 5% of your final grade)</w:t>
            </w:r>
            <w:r>
              <w:rPr>
                <w:color w:val="191919"/>
                <w:sz w:val="22"/>
                <w:szCs w:val="22"/>
                <w:u w:color="191919"/>
              </w:rPr>
              <w:t xml:space="preserve"> unless a make-up assignment is completed</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3C4EA2" w14:textId="34CCE141" w:rsidR="00091B2F" w:rsidRPr="004F3EBE" w:rsidRDefault="00091B2F" w:rsidP="00091B2F">
            <w:pPr>
              <w:widowControl w:val="0"/>
              <w:autoSpaceDE w:val="0"/>
              <w:autoSpaceDN w:val="0"/>
              <w:adjustRightInd w:val="0"/>
              <w:rPr>
                <w:color w:val="191919"/>
                <w:sz w:val="22"/>
                <w:szCs w:val="22"/>
                <w:u w:color="191919"/>
              </w:rPr>
            </w:pPr>
            <w:r w:rsidRPr="004F3EBE">
              <w:rPr>
                <w:color w:val="191919"/>
                <w:sz w:val="22"/>
                <w:szCs w:val="22"/>
                <w:u w:color="191919"/>
              </w:rPr>
              <w:t xml:space="preserve">Email </w:t>
            </w:r>
            <w:r>
              <w:rPr>
                <w:color w:val="191919"/>
                <w:sz w:val="22"/>
                <w:szCs w:val="22"/>
                <w:u w:color="191919"/>
              </w:rPr>
              <w:t>me</w:t>
            </w:r>
            <w:r w:rsidRPr="004F3EBE">
              <w:rPr>
                <w:color w:val="191919"/>
                <w:sz w:val="22"/>
                <w:szCs w:val="22"/>
                <w:u w:color="191919"/>
              </w:rPr>
              <w:t xml:space="preserve"> before or directly after the class missed and request makeup work. Work must be done </w:t>
            </w:r>
            <w:r>
              <w:rPr>
                <w:color w:val="191919"/>
                <w:sz w:val="22"/>
                <w:szCs w:val="22"/>
                <w:u w:color="191919"/>
              </w:rPr>
              <w:t>within one week of the missed session</w:t>
            </w:r>
            <w:r w:rsidRPr="004F3EBE">
              <w:rPr>
                <w:color w:val="191919"/>
                <w:sz w:val="22"/>
                <w:szCs w:val="22"/>
                <w:u w:color="191919"/>
              </w:rPr>
              <w:t xml:space="preserve"> in order to earn 5 points (i.e., 5% of your final grade) back. </w:t>
            </w:r>
            <w:r>
              <w:rPr>
                <w:color w:val="191919"/>
                <w:sz w:val="22"/>
                <w:szCs w:val="22"/>
                <w:u w:color="191919"/>
              </w:rPr>
              <w:t xml:space="preserve">It must be submitted to the online “make up work” </w:t>
            </w:r>
            <w:proofErr w:type="spellStart"/>
            <w:r>
              <w:rPr>
                <w:color w:val="191919"/>
                <w:sz w:val="22"/>
                <w:szCs w:val="22"/>
                <w:u w:color="191919"/>
              </w:rPr>
              <w:t>dropbox</w:t>
            </w:r>
            <w:proofErr w:type="spellEnd"/>
            <w:r>
              <w:rPr>
                <w:color w:val="191919"/>
                <w:sz w:val="22"/>
                <w:szCs w:val="22"/>
                <w:u w:color="191919"/>
              </w:rPr>
              <w:t xml:space="preserve"> on Canvas. Communicate with classmates to get any information that you missed.</w:t>
            </w:r>
          </w:p>
        </w:tc>
      </w:tr>
      <w:tr w:rsidR="00091B2F" w:rsidRPr="004F3EBE" w14:paraId="77E63A3C" w14:textId="77777777" w:rsidTr="00091B2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9D7014" w14:textId="77777777" w:rsidR="00091B2F" w:rsidRPr="004F3EBE" w:rsidRDefault="00091B2F" w:rsidP="00091B2F">
            <w:pPr>
              <w:widowControl w:val="0"/>
              <w:autoSpaceDE w:val="0"/>
              <w:autoSpaceDN w:val="0"/>
              <w:adjustRightInd w:val="0"/>
              <w:rPr>
                <w:color w:val="191919"/>
                <w:sz w:val="22"/>
                <w:szCs w:val="22"/>
                <w:u w:color="191919"/>
              </w:rPr>
            </w:pPr>
            <w:r w:rsidRPr="004F3EBE">
              <w:rPr>
                <w:color w:val="191919"/>
                <w:sz w:val="22"/>
                <w:szCs w:val="22"/>
                <w:u w:color="191919"/>
              </w:rPr>
              <w:t>2</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49A09F" w14:textId="39C44686" w:rsidR="00091B2F" w:rsidRPr="004F3EBE" w:rsidRDefault="00091B2F" w:rsidP="00091B2F">
            <w:pPr>
              <w:widowControl w:val="0"/>
              <w:autoSpaceDE w:val="0"/>
              <w:autoSpaceDN w:val="0"/>
              <w:adjustRightInd w:val="0"/>
              <w:rPr>
                <w:color w:val="191919"/>
                <w:sz w:val="22"/>
                <w:szCs w:val="22"/>
                <w:u w:color="191919"/>
              </w:rPr>
            </w:pPr>
            <w:r>
              <w:rPr>
                <w:color w:val="191919"/>
                <w:sz w:val="22"/>
                <w:szCs w:val="22"/>
                <w:u w:color="191919"/>
              </w:rPr>
              <w:t>5</w:t>
            </w:r>
            <w:r w:rsidRPr="004F3EBE">
              <w:rPr>
                <w:color w:val="191919"/>
                <w:sz w:val="22"/>
                <w:szCs w:val="22"/>
                <w:u w:color="191919"/>
              </w:rPr>
              <w:t xml:space="preserve"> point</w:t>
            </w:r>
            <w:r>
              <w:rPr>
                <w:color w:val="191919"/>
                <w:sz w:val="22"/>
                <w:szCs w:val="22"/>
                <w:u w:color="191919"/>
              </w:rPr>
              <w:t xml:space="preserve"> d</w:t>
            </w:r>
            <w:r w:rsidRPr="004F3EBE">
              <w:rPr>
                <w:color w:val="191919"/>
                <w:sz w:val="22"/>
                <w:szCs w:val="22"/>
                <w:u w:color="191919"/>
              </w:rPr>
              <w:t>eduction</w:t>
            </w:r>
            <w:r>
              <w:rPr>
                <w:color w:val="191919"/>
                <w:sz w:val="22"/>
                <w:szCs w:val="22"/>
                <w:u w:color="191919"/>
              </w:rPr>
              <w:t xml:space="preserve"> unless a make-up assignment is completed</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EA3AB0F" w14:textId="77777777" w:rsidR="00091B2F" w:rsidRPr="004F3EBE" w:rsidRDefault="00091B2F" w:rsidP="00091B2F">
            <w:pPr>
              <w:widowControl w:val="0"/>
              <w:autoSpaceDE w:val="0"/>
              <w:autoSpaceDN w:val="0"/>
              <w:adjustRightInd w:val="0"/>
              <w:rPr>
                <w:color w:val="191919"/>
                <w:sz w:val="22"/>
                <w:szCs w:val="22"/>
                <w:u w:color="191919"/>
              </w:rPr>
            </w:pPr>
            <w:r w:rsidRPr="004F3EBE">
              <w:rPr>
                <w:color w:val="191919"/>
                <w:sz w:val="22"/>
                <w:szCs w:val="22"/>
                <w:u w:color="191919"/>
              </w:rPr>
              <w:t xml:space="preserve">Email </w:t>
            </w:r>
            <w:r>
              <w:rPr>
                <w:color w:val="191919"/>
                <w:sz w:val="22"/>
                <w:szCs w:val="22"/>
                <w:u w:color="191919"/>
              </w:rPr>
              <w:t>me</w:t>
            </w:r>
            <w:r w:rsidRPr="004F3EBE">
              <w:rPr>
                <w:color w:val="191919"/>
                <w:sz w:val="22"/>
                <w:szCs w:val="22"/>
                <w:u w:color="191919"/>
              </w:rPr>
              <w:t xml:space="preserve"> before or directly after the class missed and request makeup work. Work must be done </w:t>
            </w:r>
            <w:r>
              <w:rPr>
                <w:color w:val="191919"/>
                <w:sz w:val="22"/>
                <w:szCs w:val="22"/>
                <w:u w:color="191919"/>
              </w:rPr>
              <w:t>within one week of the missed session</w:t>
            </w:r>
            <w:r w:rsidRPr="004F3EBE">
              <w:rPr>
                <w:color w:val="191919"/>
                <w:sz w:val="22"/>
                <w:szCs w:val="22"/>
                <w:u w:color="191919"/>
              </w:rPr>
              <w:t xml:space="preserve"> in order to earn 5 points (i.e., 5% of your final grade) back. </w:t>
            </w:r>
            <w:r>
              <w:rPr>
                <w:color w:val="191919"/>
                <w:sz w:val="22"/>
                <w:szCs w:val="22"/>
                <w:u w:color="191919"/>
              </w:rPr>
              <w:t xml:space="preserve">It must be submitted to the online “make up work” </w:t>
            </w:r>
            <w:proofErr w:type="spellStart"/>
            <w:r>
              <w:rPr>
                <w:color w:val="191919"/>
                <w:sz w:val="22"/>
                <w:szCs w:val="22"/>
                <w:u w:color="191919"/>
              </w:rPr>
              <w:t>dropbox</w:t>
            </w:r>
            <w:proofErr w:type="spellEnd"/>
            <w:r>
              <w:rPr>
                <w:color w:val="191919"/>
                <w:sz w:val="22"/>
                <w:szCs w:val="22"/>
                <w:u w:color="191919"/>
              </w:rPr>
              <w:t xml:space="preserve"> on Canvas. Communicate with classmates to get any information that you missed.</w:t>
            </w:r>
          </w:p>
        </w:tc>
      </w:tr>
      <w:tr w:rsidR="00091B2F" w:rsidRPr="004F3EBE" w14:paraId="6E83E8B4" w14:textId="77777777" w:rsidTr="00091B2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54FD31" w14:textId="77777777" w:rsidR="00091B2F" w:rsidRPr="004F3EBE" w:rsidRDefault="00091B2F" w:rsidP="00091B2F">
            <w:pPr>
              <w:widowControl w:val="0"/>
              <w:autoSpaceDE w:val="0"/>
              <w:autoSpaceDN w:val="0"/>
              <w:adjustRightInd w:val="0"/>
              <w:rPr>
                <w:color w:val="191919"/>
                <w:sz w:val="22"/>
                <w:szCs w:val="22"/>
                <w:u w:color="191919"/>
              </w:rPr>
            </w:pPr>
            <w:r w:rsidRPr="004F3EBE">
              <w:rPr>
                <w:color w:val="191919"/>
                <w:sz w:val="22"/>
                <w:szCs w:val="22"/>
                <w:u w:color="191919"/>
              </w:rPr>
              <w:t>3</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822223" w14:textId="00882E3E" w:rsidR="00091B2F" w:rsidRPr="004F3EBE" w:rsidRDefault="00091B2F" w:rsidP="00091B2F">
            <w:pPr>
              <w:widowControl w:val="0"/>
              <w:autoSpaceDE w:val="0"/>
              <w:autoSpaceDN w:val="0"/>
              <w:adjustRightInd w:val="0"/>
              <w:rPr>
                <w:color w:val="191919"/>
                <w:sz w:val="22"/>
                <w:szCs w:val="22"/>
                <w:u w:color="191919"/>
              </w:rPr>
            </w:pPr>
            <w:r>
              <w:rPr>
                <w:color w:val="191919"/>
                <w:sz w:val="22"/>
                <w:szCs w:val="22"/>
                <w:u w:color="191919"/>
              </w:rPr>
              <w:t>5</w:t>
            </w:r>
            <w:r w:rsidRPr="004F3EBE">
              <w:rPr>
                <w:color w:val="191919"/>
                <w:sz w:val="22"/>
                <w:szCs w:val="22"/>
                <w:u w:color="191919"/>
              </w:rPr>
              <w:t xml:space="preserve"> point deduction</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644A51" w14:textId="77777777" w:rsidR="00091B2F" w:rsidRPr="004F3EBE" w:rsidRDefault="00091B2F" w:rsidP="00091B2F">
            <w:pPr>
              <w:widowControl w:val="0"/>
              <w:autoSpaceDE w:val="0"/>
              <w:autoSpaceDN w:val="0"/>
              <w:adjustRightInd w:val="0"/>
              <w:rPr>
                <w:color w:val="191919"/>
                <w:sz w:val="22"/>
                <w:szCs w:val="22"/>
                <w:u w:color="191919"/>
              </w:rPr>
            </w:pPr>
            <w:r w:rsidRPr="003657F1">
              <w:rPr>
                <w:color w:val="191919"/>
                <w:sz w:val="22"/>
                <w:szCs w:val="22"/>
                <w:u w:color="191919"/>
              </w:rPr>
              <w:t>Automatic 5 point deduction. No opportunity to earn points back</w:t>
            </w:r>
            <w:r>
              <w:rPr>
                <w:color w:val="191919"/>
                <w:sz w:val="22"/>
                <w:szCs w:val="22"/>
                <w:u w:color="191919"/>
              </w:rPr>
              <w:t>. Communicate with classmates to get any information that you missed.</w:t>
            </w:r>
          </w:p>
        </w:tc>
      </w:tr>
      <w:tr w:rsidR="00091B2F" w:rsidRPr="004F3EBE" w14:paraId="7C5E4A55" w14:textId="77777777" w:rsidTr="00091B2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2D5CC8" w14:textId="7F0A39DD" w:rsidR="00091B2F" w:rsidRPr="004F3EBE" w:rsidRDefault="00091B2F" w:rsidP="00091B2F">
            <w:pPr>
              <w:widowControl w:val="0"/>
              <w:autoSpaceDE w:val="0"/>
              <w:autoSpaceDN w:val="0"/>
              <w:adjustRightInd w:val="0"/>
              <w:rPr>
                <w:color w:val="191919"/>
                <w:sz w:val="22"/>
                <w:szCs w:val="22"/>
                <w:u w:color="191919"/>
              </w:rPr>
            </w:pPr>
            <w:r>
              <w:rPr>
                <w:color w:val="191919"/>
                <w:sz w:val="22"/>
                <w:szCs w:val="22"/>
                <w:u w:color="191919"/>
              </w:rPr>
              <w:t>4+</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4D3880" w14:textId="77777777" w:rsidR="00091B2F" w:rsidRPr="004F3EBE" w:rsidRDefault="00091B2F" w:rsidP="00091B2F">
            <w:pPr>
              <w:widowControl w:val="0"/>
              <w:autoSpaceDE w:val="0"/>
              <w:autoSpaceDN w:val="0"/>
              <w:adjustRightInd w:val="0"/>
              <w:rPr>
                <w:color w:val="191919"/>
                <w:sz w:val="22"/>
                <w:szCs w:val="22"/>
                <w:u w:color="191919"/>
              </w:rPr>
            </w:pPr>
            <w:r w:rsidRPr="004F3EBE">
              <w:rPr>
                <w:color w:val="191919"/>
                <w:sz w:val="22"/>
                <w:szCs w:val="22"/>
                <w:u w:color="191919"/>
              </w:rPr>
              <w:t>Cannot pass course</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7D6A28" w14:textId="77777777" w:rsidR="00091B2F" w:rsidRPr="004F3EBE" w:rsidRDefault="00091B2F" w:rsidP="00091B2F">
            <w:pPr>
              <w:widowControl w:val="0"/>
              <w:autoSpaceDE w:val="0"/>
              <w:autoSpaceDN w:val="0"/>
              <w:adjustRightInd w:val="0"/>
              <w:rPr>
                <w:color w:val="191919"/>
                <w:sz w:val="22"/>
                <w:szCs w:val="22"/>
                <w:u w:color="191919"/>
              </w:rPr>
            </w:pPr>
            <w:r w:rsidRPr="004F3EBE">
              <w:rPr>
                <w:color w:val="191919"/>
                <w:sz w:val="22"/>
                <w:szCs w:val="22"/>
                <w:u w:color="191919"/>
              </w:rPr>
              <w:t xml:space="preserve">Missing </w:t>
            </w:r>
            <w:r>
              <w:rPr>
                <w:color w:val="191919"/>
                <w:sz w:val="22"/>
                <w:szCs w:val="22"/>
                <w:u w:color="191919"/>
              </w:rPr>
              <w:t>six</w:t>
            </w:r>
            <w:r w:rsidRPr="004F3EBE">
              <w:rPr>
                <w:color w:val="191919"/>
                <w:sz w:val="22"/>
                <w:szCs w:val="22"/>
                <w:u w:color="191919"/>
              </w:rPr>
              <w:t xml:space="preserve"> or more class sessions results in an “E” in the course. </w:t>
            </w:r>
            <w:r>
              <w:rPr>
                <w:color w:val="191919"/>
                <w:sz w:val="22"/>
                <w:szCs w:val="22"/>
                <w:u w:color="191919"/>
              </w:rPr>
              <w:t>You will not receive credit for the course.</w:t>
            </w:r>
          </w:p>
        </w:tc>
      </w:tr>
      <w:tr w:rsidR="00091B2F" w:rsidRPr="004F3EBE" w14:paraId="78A4464A" w14:textId="77777777" w:rsidTr="00D47563">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569BDC" w14:textId="77777777" w:rsidR="00091B2F" w:rsidRDefault="00091B2F" w:rsidP="00091B2F">
            <w:pPr>
              <w:widowControl w:val="0"/>
              <w:autoSpaceDE w:val="0"/>
              <w:autoSpaceDN w:val="0"/>
              <w:adjustRightInd w:val="0"/>
              <w:rPr>
                <w:color w:val="191919"/>
                <w:sz w:val="22"/>
                <w:szCs w:val="22"/>
                <w:u w:color="191919"/>
              </w:rPr>
            </w:pPr>
            <w:r w:rsidRPr="004F3EBE">
              <w:rPr>
                <w:color w:val="191919"/>
                <w:sz w:val="22"/>
                <w:szCs w:val="22"/>
                <w:u w:color="191919"/>
              </w:rPr>
              <w:t>Notes:  Points deducted from total grade.</w:t>
            </w:r>
          </w:p>
          <w:p w14:paraId="3DA61FDD" w14:textId="268B2960" w:rsidR="00091B2F" w:rsidRDefault="00091B2F" w:rsidP="00091B2F">
            <w:pPr>
              <w:widowControl w:val="0"/>
              <w:autoSpaceDE w:val="0"/>
              <w:autoSpaceDN w:val="0"/>
              <w:adjustRightInd w:val="0"/>
              <w:ind w:left="720"/>
              <w:rPr>
                <w:color w:val="191919"/>
                <w:sz w:val="22"/>
                <w:szCs w:val="22"/>
                <w:u w:color="191919"/>
              </w:rPr>
            </w:pPr>
            <w:r w:rsidRPr="004F3EBE">
              <w:rPr>
                <w:color w:val="191919"/>
                <w:sz w:val="22"/>
                <w:szCs w:val="22"/>
                <w:u w:color="191919"/>
              </w:rPr>
              <w:t xml:space="preserve">After </w:t>
            </w:r>
            <w:r>
              <w:rPr>
                <w:color w:val="191919"/>
                <w:sz w:val="22"/>
                <w:szCs w:val="22"/>
                <w:u w:color="191919"/>
              </w:rPr>
              <w:t>4</w:t>
            </w:r>
            <w:r w:rsidRPr="00ED01FF">
              <w:rPr>
                <w:color w:val="191919"/>
                <w:sz w:val="22"/>
                <w:szCs w:val="22"/>
                <w:u w:color="191919"/>
                <w:vertAlign w:val="superscript"/>
              </w:rPr>
              <w:t>th</w:t>
            </w:r>
            <w:r w:rsidRPr="004F3EBE">
              <w:rPr>
                <w:color w:val="191919"/>
                <w:sz w:val="22"/>
                <w:szCs w:val="22"/>
                <w:u w:color="191919"/>
              </w:rPr>
              <w:t xml:space="preserve"> absence, student cannot pass course.</w:t>
            </w:r>
          </w:p>
          <w:p w14:paraId="29212C11" w14:textId="77777777" w:rsidR="00091B2F" w:rsidRPr="004F3EBE" w:rsidRDefault="00091B2F" w:rsidP="00091B2F">
            <w:pPr>
              <w:widowControl w:val="0"/>
              <w:autoSpaceDE w:val="0"/>
              <w:autoSpaceDN w:val="0"/>
              <w:adjustRightInd w:val="0"/>
              <w:ind w:left="720"/>
              <w:rPr>
                <w:color w:val="191919"/>
                <w:sz w:val="22"/>
                <w:szCs w:val="22"/>
                <w:u w:color="191919"/>
              </w:rPr>
            </w:pPr>
            <w:r>
              <w:rPr>
                <w:color w:val="191919"/>
                <w:sz w:val="22"/>
                <w:szCs w:val="22"/>
                <w:u w:color="191919"/>
              </w:rPr>
              <w:t>After three instance of tardiness (whether coming in late or leaving class early) equals one absence. If you come after I take attendance, you will be considered tardy. If you leave before I dismiss class, you will be considered tardy.</w:t>
            </w:r>
          </w:p>
        </w:tc>
      </w:tr>
    </w:tbl>
    <w:p w14:paraId="512974FA" w14:textId="77777777" w:rsidR="00006785" w:rsidRDefault="00006785" w:rsidP="00006785">
      <w:pPr>
        <w:widowControl w:val="0"/>
        <w:autoSpaceDE w:val="0"/>
        <w:autoSpaceDN w:val="0"/>
        <w:adjustRightInd w:val="0"/>
        <w:rPr>
          <w:rFonts w:ascii="SegoeUI" w:hAnsi="SegoeUI" w:cs="SegoeUI"/>
          <w:color w:val="191919"/>
          <w:sz w:val="22"/>
          <w:szCs w:val="22"/>
          <w:u w:color="191919"/>
        </w:rPr>
      </w:pPr>
    </w:p>
    <w:p w14:paraId="3E796A78" w14:textId="77777777" w:rsidR="00006785" w:rsidRDefault="00006785" w:rsidP="00006785">
      <w:pPr>
        <w:widowControl w:val="0"/>
        <w:autoSpaceDE w:val="0"/>
        <w:autoSpaceDN w:val="0"/>
        <w:adjustRightInd w:val="0"/>
        <w:rPr>
          <w:rFonts w:ascii="SegoeUI" w:hAnsi="SegoeUI" w:cs="SegoeUI"/>
          <w:color w:val="191919"/>
          <w:sz w:val="22"/>
          <w:szCs w:val="22"/>
          <w:u w:color="191919"/>
        </w:rPr>
      </w:pPr>
    </w:p>
    <w:p w14:paraId="5FE02618" w14:textId="77777777" w:rsidR="00BE5E6D" w:rsidRDefault="00BE5E6D">
      <w:pPr>
        <w:rPr>
          <w:b/>
          <w:bCs/>
          <w:sz w:val="32"/>
        </w:rPr>
      </w:pPr>
      <w:r>
        <w:rPr>
          <w:b/>
          <w:bCs/>
          <w:sz w:val="32"/>
        </w:rPr>
        <w:br w:type="page"/>
      </w:r>
    </w:p>
    <w:p w14:paraId="52F65AA7" w14:textId="62E0A9D4" w:rsidR="00006785" w:rsidRPr="00EA2879" w:rsidRDefault="00006785" w:rsidP="00006785">
      <w:pPr>
        <w:rPr>
          <w:bCs/>
          <w:sz w:val="32"/>
        </w:rPr>
      </w:pPr>
      <w:r w:rsidRPr="00EA2879">
        <w:rPr>
          <w:b/>
          <w:bCs/>
          <w:sz w:val="32"/>
        </w:rPr>
        <w:lastRenderedPageBreak/>
        <w:t>Accessibility Accommodations for Students with Disabilities</w:t>
      </w:r>
    </w:p>
    <w:p w14:paraId="5000A96F" w14:textId="77777777" w:rsidR="00006785" w:rsidRPr="00EA2879" w:rsidRDefault="00006785" w:rsidP="00006785">
      <w:pPr>
        <w:rPr>
          <w:bCs/>
          <w:sz w:val="32"/>
        </w:rPr>
      </w:pPr>
    </w:p>
    <w:p w14:paraId="4470EF53" w14:textId="77777777" w:rsidR="00006785" w:rsidRPr="00EA2879" w:rsidRDefault="00006785" w:rsidP="00006785">
      <w:pPr>
        <w:rPr>
          <w:bCs/>
          <w:sz w:val="32"/>
        </w:rPr>
      </w:pPr>
      <w:r w:rsidRPr="00EA2879">
        <w:rPr>
          <w:bCs/>
          <w:sz w:val="32"/>
        </w:rPr>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w:t>
      </w:r>
      <w:r w:rsidRPr="00EA2879">
        <w:rPr>
          <w:bCs/>
          <w:sz w:val="32"/>
          <w:u w:val="single"/>
        </w:rPr>
        <w:t xml:space="preserve">(334) 844-2096 </w:t>
      </w:r>
      <w:r w:rsidRPr="00EA2879">
        <w:rPr>
          <w:bCs/>
          <w:sz w:val="32"/>
        </w:rPr>
        <w:t>or </w:t>
      </w:r>
      <w:hyperlink r:id="rId10" w:history="1">
        <w:r w:rsidRPr="00EA2879">
          <w:rPr>
            <w:rStyle w:val="Hyperlink"/>
            <w:bCs/>
            <w:sz w:val="32"/>
          </w:rPr>
          <w:t>accessibility@auburn.edu</w:t>
        </w:r>
      </w:hyperlink>
      <w:r w:rsidRPr="00EA2879">
        <w:rPr>
          <w:bCs/>
          <w:sz w:val="32"/>
        </w:rPr>
        <w:t xml:space="preserve">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w:t>
      </w:r>
    </w:p>
    <w:p w14:paraId="3B9A217D" w14:textId="77777777" w:rsidR="00006785" w:rsidRPr="00EA2879" w:rsidRDefault="00006785" w:rsidP="00006785">
      <w:pPr>
        <w:rPr>
          <w:bCs/>
          <w:sz w:val="32"/>
        </w:rPr>
      </w:pPr>
    </w:p>
    <w:p w14:paraId="23038630" w14:textId="77777777" w:rsidR="00006785" w:rsidRPr="00EA2879" w:rsidRDefault="00006785" w:rsidP="00006785">
      <w:pPr>
        <w:rPr>
          <w:bCs/>
          <w:sz w:val="32"/>
        </w:rPr>
      </w:pPr>
      <w:r w:rsidRPr="00EA2879">
        <w:rPr>
          <w:bCs/>
          <w:sz w:val="32"/>
        </w:rPr>
        <w:t>Office of Accessibility</w:t>
      </w:r>
    </w:p>
    <w:p w14:paraId="593FA7BE" w14:textId="77777777" w:rsidR="00006785" w:rsidRPr="00EA2879" w:rsidRDefault="00006785" w:rsidP="00006785">
      <w:pPr>
        <w:rPr>
          <w:bCs/>
          <w:sz w:val="32"/>
        </w:rPr>
      </w:pPr>
      <w:r w:rsidRPr="00EA2879">
        <w:rPr>
          <w:bCs/>
          <w:sz w:val="32"/>
        </w:rPr>
        <w:t>1228 Haley Center</w:t>
      </w:r>
    </w:p>
    <w:p w14:paraId="7A1308B9" w14:textId="77777777" w:rsidR="00006785" w:rsidRPr="00EA2879" w:rsidRDefault="00006785" w:rsidP="00006785">
      <w:pPr>
        <w:rPr>
          <w:bCs/>
          <w:sz w:val="32"/>
        </w:rPr>
      </w:pPr>
    </w:p>
    <w:p w14:paraId="4742A634" w14:textId="77777777" w:rsidR="00006785" w:rsidRPr="00EA2879" w:rsidRDefault="00006785" w:rsidP="00006785">
      <w:pPr>
        <w:rPr>
          <w:bCs/>
          <w:sz w:val="32"/>
        </w:rPr>
      </w:pPr>
      <w:r w:rsidRPr="00EA2879">
        <w:rPr>
          <w:bCs/>
          <w:sz w:val="32"/>
        </w:rPr>
        <w:t>Go to </w:t>
      </w:r>
      <w:hyperlink r:id="rId11" w:history="1">
        <w:r w:rsidRPr="00EA2879">
          <w:rPr>
            <w:rStyle w:val="Hyperlink"/>
            <w:bCs/>
            <w:sz w:val="32"/>
          </w:rPr>
          <w:t>https://cws.auburn.edu/accessibility</w:t>
        </w:r>
      </w:hyperlink>
      <w:r w:rsidRPr="00EA2879">
        <w:rPr>
          <w:bCs/>
          <w:sz w:val="32"/>
        </w:rPr>
        <w:t xml:space="preserve"> for more information</w:t>
      </w:r>
    </w:p>
    <w:p w14:paraId="62EF029D" w14:textId="77777777" w:rsidR="00006785" w:rsidRDefault="00006785" w:rsidP="00006785">
      <w:pPr>
        <w:rPr>
          <w:b/>
          <w:bCs/>
        </w:rPr>
      </w:pPr>
    </w:p>
    <w:p w14:paraId="06442631" w14:textId="77777777" w:rsidR="00006785" w:rsidRDefault="00006785" w:rsidP="00006785">
      <w:pPr>
        <w:rPr>
          <w:b/>
          <w:bCs/>
        </w:rPr>
      </w:pPr>
    </w:p>
    <w:p w14:paraId="7F79E184" w14:textId="77777777" w:rsidR="00006785" w:rsidRDefault="00006785" w:rsidP="00006785">
      <w:pPr>
        <w:rPr>
          <w:bCs/>
        </w:rPr>
      </w:pPr>
      <w:r>
        <w:rPr>
          <w:b/>
          <w:bCs/>
        </w:rPr>
        <w:t>Other Useful Campus Resources</w:t>
      </w:r>
    </w:p>
    <w:p w14:paraId="01CD7C3E" w14:textId="77777777" w:rsidR="00006785" w:rsidRDefault="00006785" w:rsidP="00006785">
      <w:pPr>
        <w:rPr>
          <w:bCs/>
        </w:rPr>
      </w:pPr>
    </w:p>
    <w:p w14:paraId="43241098" w14:textId="77777777" w:rsidR="00006785" w:rsidRDefault="00006785" w:rsidP="00006785">
      <w:pPr>
        <w:rPr>
          <w:bCs/>
        </w:rPr>
      </w:pPr>
      <w:r>
        <w:rPr>
          <w:bCs/>
        </w:rPr>
        <w:t xml:space="preserve">The </w:t>
      </w:r>
      <w:r w:rsidRPr="00EA2879">
        <w:rPr>
          <w:bCs/>
          <w:u w:val="single"/>
        </w:rPr>
        <w:t>Office of Academic Support</w:t>
      </w:r>
      <w:r>
        <w:rPr>
          <w:bCs/>
        </w:rPr>
        <w:t xml:space="preserve"> offers several programs to help you be successful in your coursework, including general academic coaching and one-on-one tutoring through study partners. You can easily schedule appointments in person or online. All services are free.</w:t>
      </w:r>
    </w:p>
    <w:p w14:paraId="599D684B" w14:textId="77777777" w:rsidR="00006785" w:rsidRDefault="00A70078" w:rsidP="00006785">
      <w:pPr>
        <w:ind w:left="720"/>
        <w:rPr>
          <w:bCs/>
        </w:rPr>
      </w:pPr>
      <w:hyperlink r:id="rId12" w:history="1">
        <w:r w:rsidR="00006785" w:rsidRPr="005E20A1">
          <w:rPr>
            <w:rStyle w:val="Hyperlink"/>
            <w:bCs/>
          </w:rPr>
          <w:t>http://academicsupport.auburn.edu/</w:t>
        </w:r>
      </w:hyperlink>
      <w:r w:rsidR="00006785">
        <w:rPr>
          <w:bCs/>
        </w:rPr>
        <w:t xml:space="preserve"> </w:t>
      </w:r>
    </w:p>
    <w:p w14:paraId="06B6E442" w14:textId="77777777" w:rsidR="00006785" w:rsidRPr="00EA2879" w:rsidRDefault="00A70078" w:rsidP="00006785">
      <w:pPr>
        <w:ind w:left="720"/>
        <w:rPr>
          <w:bCs/>
        </w:rPr>
      </w:pPr>
      <w:hyperlink r:id="rId13" w:history="1">
        <w:r w:rsidR="00006785" w:rsidRPr="00EA2879">
          <w:rPr>
            <w:rStyle w:val="Hyperlink"/>
            <w:bCs/>
          </w:rPr>
          <w:t>Academic Coaching</w:t>
        </w:r>
      </w:hyperlink>
      <w:r w:rsidR="00006785" w:rsidRPr="00EA2879">
        <w:rPr>
          <w:bCs/>
        </w:rPr>
        <w:t> Appointment &amp; Check-in Desk</w:t>
      </w:r>
      <w:r w:rsidR="00006785">
        <w:rPr>
          <w:bCs/>
        </w:rPr>
        <w:t xml:space="preserve">: </w:t>
      </w:r>
      <w:hyperlink r:id="rId14" w:history="1">
        <w:r w:rsidR="00006785" w:rsidRPr="00EA2879">
          <w:rPr>
            <w:rStyle w:val="Hyperlink"/>
            <w:bCs/>
          </w:rPr>
          <w:t>academic_support@auburn.edu</w:t>
        </w:r>
      </w:hyperlink>
    </w:p>
    <w:p w14:paraId="315F77BE" w14:textId="77777777" w:rsidR="00006785" w:rsidRPr="00EA2879" w:rsidRDefault="00A70078" w:rsidP="00006785">
      <w:pPr>
        <w:ind w:left="720"/>
        <w:rPr>
          <w:bCs/>
        </w:rPr>
      </w:pPr>
      <w:hyperlink r:id="rId15" w:history="1">
        <w:r w:rsidR="00006785" w:rsidRPr="00EA2879">
          <w:rPr>
            <w:rStyle w:val="Hyperlink"/>
            <w:bCs/>
          </w:rPr>
          <w:t>Study Partners</w:t>
        </w:r>
      </w:hyperlink>
      <w:r w:rsidR="00006785" w:rsidRPr="00EA2879">
        <w:rPr>
          <w:bCs/>
        </w:rPr>
        <w:t> Appointment &amp; Check-in Desk</w:t>
      </w:r>
      <w:r w:rsidR="00006785">
        <w:rPr>
          <w:bCs/>
        </w:rPr>
        <w:t xml:space="preserve">: </w:t>
      </w:r>
      <w:hyperlink r:id="rId16" w:history="1">
        <w:r w:rsidR="00006785" w:rsidRPr="00EA2879">
          <w:rPr>
            <w:rStyle w:val="Hyperlink"/>
            <w:bCs/>
          </w:rPr>
          <w:t>partner@auburn.edu</w:t>
        </w:r>
      </w:hyperlink>
    </w:p>
    <w:p w14:paraId="36817D9B" w14:textId="77777777" w:rsidR="00006785" w:rsidRDefault="00006785" w:rsidP="00006785">
      <w:pPr>
        <w:rPr>
          <w:bCs/>
        </w:rPr>
      </w:pPr>
    </w:p>
    <w:p w14:paraId="20BC6506" w14:textId="77777777" w:rsidR="00006785" w:rsidRPr="00A0522E" w:rsidRDefault="00006785" w:rsidP="00006785">
      <w:pPr>
        <w:rPr>
          <w:bCs/>
        </w:rPr>
      </w:pPr>
      <w:r w:rsidRPr="00A0522E">
        <w:rPr>
          <w:bCs/>
          <w:u w:val="single"/>
        </w:rPr>
        <w:t>The Miller Writing Center</w:t>
      </w:r>
      <w:r w:rsidRPr="00A0522E">
        <w:rPr>
          <w:bCs/>
        </w:rPr>
        <w:t xml:space="preserve"> offers free, one-on-one consultation for all writers at Auburn University. </w:t>
      </w:r>
      <w:r>
        <w:rPr>
          <w:bCs/>
        </w:rPr>
        <w:t>Their</w:t>
      </w:r>
      <w:r w:rsidRPr="00A0522E">
        <w:rPr>
          <w:bCs/>
        </w:rPr>
        <w:t xml:space="preserve"> highly trained staff of undergraduate and graduate peer tutors will help </w:t>
      </w:r>
      <w:r>
        <w:rPr>
          <w:bCs/>
        </w:rPr>
        <w:t>students</w:t>
      </w:r>
      <w:r w:rsidRPr="00A0522E">
        <w:rPr>
          <w:bCs/>
        </w:rPr>
        <w:t xml:space="preserve"> with any kind of writing, whether for class or otherwise, at any stage in the writing process.</w:t>
      </w:r>
    </w:p>
    <w:p w14:paraId="767C561E" w14:textId="77777777" w:rsidR="00006785" w:rsidRPr="00A0522E" w:rsidRDefault="00006785" w:rsidP="00006785">
      <w:pPr>
        <w:rPr>
          <w:bCs/>
        </w:rPr>
      </w:pPr>
      <w:r>
        <w:rPr>
          <w:bCs/>
        </w:rPr>
        <w:t>Their</w:t>
      </w:r>
      <w:r w:rsidRPr="00A0522E">
        <w:rPr>
          <w:bCs/>
        </w:rPr>
        <w:t xml:space="preserve"> goal is to help </w:t>
      </w:r>
      <w:r>
        <w:rPr>
          <w:bCs/>
        </w:rPr>
        <w:t>students become</w:t>
      </w:r>
      <w:r w:rsidRPr="00A0522E">
        <w:rPr>
          <w:bCs/>
        </w:rPr>
        <w:t xml:space="preserve"> better writer</w:t>
      </w:r>
      <w:r>
        <w:rPr>
          <w:bCs/>
        </w:rPr>
        <w:t>s</w:t>
      </w:r>
      <w:r w:rsidRPr="00A0522E">
        <w:rPr>
          <w:bCs/>
        </w:rPr>
        <w:t xml:space="preserve">. </w:t>
      </w:r>
      <w:r>
        <w:rPr>
          <w:bCs/>
        </w:rPr>
        <w:t>Students</w:t>
      </w:r>
      <w:r w:rsidRPr="00A0522E">
        <w:rPr>
          <w:bCs/>
        </w:rPr>
        <w:t xml:space="preserve"> can bring in any kind of assignment, including (but not limited to) lab reports, essays, research papers, PowerPoints, dissertations, theses, annotated bibliographies, scientific posters, cover letters, CVs/resumes, personal statements, </w:t>
      </w:r>
      <w:hyperlink r:id="rId17" w:history="1">
        <w:proofErr w:type="spellStart"/>
        <w:r w:rsidRPr="00A0522E">
          <w:rPr>
            <w:rStyle w:val="Hyperlink"/>
            <w:bCs/>
          </w:rPr>
          <w:t>ePortfolio</w:t>
        </w:r>
        <w:proofErr w:type="spellEnd"/>
      </w:hyperlink>
      <w:r w:rsidRPr="00A0522E">
        <w:rPr>
          <w:bCs/>
        </w:rPr>
        <w:t xml:space="preserve">—bring whatever. </w:t>
      </w:r>
      <w:r>
        <w:rPr>
          <w:bCs/>
        </w:rPr>
        <w:t>Students</w:t>
      </w:r>
      <w:r w:rsidRPr="00A0522E">
        <w:rPr>
          <w:bCs/>
        </w:rPr>
        <w:t xml:space="preserve"> can be just developing your ideas, working on your first draft, putting finishing touches on your final version, or anywhere in-between.</w:t>
      </w:r>
    </w:p>
    <w:p w14:paraId="1B00ACEB" w14:textId="77777777" w:rsidR="00006785" w:rsidRDefault="00A70078" w:rsidP="00006785">
      <w:pPr>
        <w:ind w:left="720"/>
        <w:rPr>
          <w:bCs/>
        </w:rPr>
      </w:pPr>
      <w:hyperlink r:id="rId18" w:history="1">
        <w:r w:rsidR="00006785" w:rsidRPr="005E20A1">
          <w:rPr>
            <w:rStyle w:val="Hyperlink"/>
            <w:bCs/>
          </w:rPr>
          <w:t>http://wp.auburn.edu/writing/writing-center/</w:t>
        </w:r>
      </w:hyperlink>
      <w:r w:rsidR="00006785">
        <w:rPr>
          <w:bCs/>
        </w:rPr>
        <w:t xml:space="preserve"> </w:t>
      </w:r>
    </w:p>
    <w:p w14:paraId="03F67C21" w14:textId="77777777" w:rsidR="00006785" w:rsidRDefault="00006785" w:rsidP="00006785">
      <w:pPr>
        <w:rPr>
          <w:bCs/>
        </w:rPr>
      </w:pPr>
    </w:p>
    <w:p w14:paraId="2204BFC7" w14:textId="77777777" w:rsidR="00006785" w:rsidRPr="00CE363C" w:rsidRDefault="00006785" w:rsidP="00006785">
      <w:pPr>
        <w:rPr>
          <w:bCs/>
        </w:rPr>
      </w:pPr>
      <w:r w:rsidRPr="00CE363C">
        <w:rPr>
          <w:bCs/>
          <w:u w:val="single"/>
        </w:rPr>
        <w:t>The Auburn University Career Center</w:t>
      </w:r>
      <w:r w:rsidRPr="00CE363C">
        <w:rPr>
          <w:bCs/>
        </w:rPr>
        <w:t xml:space="preserve"> delivers comprehensive services for students to explore majors and careers, network with employers and professionals, prepare for advanced education, and successfully transition from college to career.</w:t>
      </w:r>
    </w:p>
    <w:p w14:paraId="2B3DFB34" w14:textId="77777777" w:rsidR="00006785" w:rsidRPr="00CE363C" w:rsidRDefault="00A70078" w:rsidP="00006785">
      <w:pPr>
        <w:ind w:left="720"/>
        <w:rPr>
          <w:bCs/>
        </w:rPr>
      </w:pPr>
      <w:hyperlink r:id="rId19" w:history="1">
        <w:r w:rsidR="00006785" w:rsidRPr="005E20A1">
          <w:rPr>
            <w:rStyle w:val="Hyperlink"/>
            <w:bCs/>
          </w:rPr>
          <w:t>http://career.auburn.edu/</w:t>
        </w:r>
      </w:hyperlink>
      <w:r w:rsidR="00006785">
        <w:rPr>
          <w:bCs/>
        </w:rPr>
        <w:t xml:space="preserve"> </w:t>
      </w:r>
    </w:p>
    <w:p w14:paraId="03DABF6E" w14:textId="77777777" w:rsidR="00006785" w:rsidRDefault="00006785" w:rsidP="00006785">
      <w:pPr>
        <w:rPr>
          <w:bCs/>
        </w:rPr>
      </w:pPr>
    </w:p>
    <w:p w14:paraId="79EE81A6" w14:textId="77777777" w:rsidR="00006785" w:rsidRPr="001828DC" w:rsidRDefault="00006785" w:rsidP="00006785">
      <w:pPr>
        <w:rPr>
          <w:bCs/>
          <w:u w:val="single"/>
        </w:rPr>
      </w:pPr>
      <w:r w:rsidRPr="001828DC">
        <w:rPr>
          <w:bCs/>
          <w:u w:val="single"/>
        </w:rPr>
        <w:t>Statement on Title IX</w:t>
      </w:r>
    </w:p>
    <w:p w14:paraId="4DF0C154" w14:textId="77777777" w:rsidR="00006785" w:rsidRPr="001828DC" w:rsidRDefault="00006785" w:rsidP="00006785">
      <w:pPr>
        <w:rPr>
          <w:bCs/>
        </w:rPr>
      </w:pPr>
      <w:r w:rsidRPr="001828DC">
        <w:rPr>
          <w:bCs/>
        </w:rPr>
        <w:t>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w:t>
      </w:r>
      <w:r>
        <w:rPr>
          <w:bCs/>
        </w:rPr>
        <w:t xml:space="preserve"> </w:t>
      </w:r>
      <w:hyperlink r:id="rId20" w:history="1">
        <w:r w:rsidRPr="005E20A1">
          <w:rPr>
            <w:rStyle w:val="Hyperlink"/>
            <w:bCs/>
          </w:rPr>
          <w:t>http://www.auburn.edu/administration/aaeeo/title-ix/</w:t>
        </w:r>
      </w:hyperlink>
      <w:r>
        <w:rPr>
          <w:bCs/>
        </w:rPr>
        <w:t>, including information for learning more, talking to someone, and reporting incidents. They offer both confidential and non-confidential resources.</w:t>
      </w:r>
    </w:p>
    <w:p w14:paraId="28358F74" w14:textId="77777777" w:rsidR="00006785" w:rsidRDefault="00006785" w:rsidP="00006785">
      <w:pPr>
        <w:rPr>
          <w:bCs/>
        </w:rPr>
      </w:pPr>
    </w:p>
    <w:p w14:paraId="29CD2A1C" w14:textId="77777777" w:rsidR="00006785" w:rsidRDefault="00006785" w:rsidP="00006785">
      <w:pPr>
        <w:rPr>
          <w:bCs/>
        </w:rPr>
      </w:pPr>
      <w:r w:rsidRPr="001D2DF0">
        <w:rPr>
          <w:bCs/>
          <w:u w:val="single"/>
        </w:rPr>
        <w:t>Safe Harbor</w:t>
      </w:r>
      <w:r>
        <w:rPr>
          <w:bCs/>
        </w:rPr>
        <w:t xml:space="preserve"> believes, supports, and assists students and employees of Auburn University who have experienced power-based personal violence, including dating/domestic violence, sexual assault, and stalking/harassment.</w:t>
      </w:r>
    </w:p>
    <w:p w14:paraId="3ED54D43" w14:textId="77777777" w:rsidR="00006785" w:rsidRDefault="00006785" w:rsidP="00006785">
      <w:pPr>
        <w:ind w:left="720"/>
        <w:rPr>
          <w:bCs/>
        </w:rPr>
      </w:pPr>
      <w:r>
        <w:rPr>
          <w:bCs/>
        </w:rPr>
        <w:t>24/7 Crisis Phone Number: (334) 844-SAFE(7233)</w:t>
      </w:r>
    </w:p>
    <w:p w14:paraId="1801DC0F" w14:textId="77777777" w:rsidR="00006785" w:rsidRDefault="00A70078" w:rsidP="00006785">
      <w:pPr>
        <w:ind w:left="720"/>
        <w:rPr>
          <w:bCs/>
        </w:rPr>
      </w:pPr>
      <w:hyperlink r:id="rId21" w:history="1">
        <w:r w:rsidR="00006785" w:rsidRPr="005E20A1">
          <w:rPr>
            <w:rStyle w:val="Hyperlink"/>
            <w:bCs/>
          </w:rPr>
          <w:t>http://wp.auburn.edu/healthandwellness/safe-harbor/</w:t>
        </w:r>
      </w:hyperlink>
      <w:r w:rsidR="00006785">
        <w:rPr>
          <w:bCs/>
        </w:rPr>
        <w:t xml:space="preserve"> </w:t>
      </w:r>
    </w:p>
    <w:p w14:paraId="1A63E153" w14:textId="77777777" w:rsidR="00006785" w:rsidRDefault="00006785" w:rsidP="00006785">
      <w:pPr>
        <w:rPr>
          <w:bCs/>
        </w:rPr>
      </w:pPr>
    </w:p>
    <w:p w14:paraId="04C7F7A3" w14:textId="77777777" w:rsidR="00006785" w:rsidRDefault="00006785" w:rsidP="00006785">
      <w:pPr>
        <w:rPr>
          <w:bCs/>
        </w:rPr>
      </w:pPr>
      <w:r w:rsidRPr="00AF167B">
        <w:rPr>
          <w:bCs/>
        </w:rPr>
        <w:t xml:space="preserve">The primary focus of the </w:t>
      </w:r>
      <w:r w:rsidRPr="00AF167B">
        <w:rPr>
          <w:bCs/>
          <w:u w:val="single"/>
        </w:rPr>
        <w:t>Cross-Cultural Center for Excellence</w:t>
      </w:r>
      <w:r w:rsidRPr="00AF167B">
        <w:rPr>
          <w:bCs/>
        </w:rP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w:t>
      </w:r>
    </w:p>
    <w:p w14:paraId="0673CA76" w14:textId="77777777" w:rsidR="00006785" w:rsidRDefault="00A70078" w:rsidP="00006785">
      <w:pPr>
        <w:ind w:left="720"/>
        <w:rPr>
          <w:bCs/>
        </w:rPr>
      </w:pPr>
      <w:hyperlink r:id="rId22" w:history="1">
        <w:r w:rsidR="00006785" w:rsidRPr="005E20A1">
          <w:rPr>
            <w:rStyle w:val="Hyperlink"/>
            <w:bCs/>
          </w:rPr>
          <w:t>http://diversity.auburn.edu/cross-cultural-center-for-excellence/</w:t>
        </w:r>
      </w:hyperlink>
    </w:p>
    <w:p w14:paraId="232AC4B8" w14:textId="77777777" w:rsidR="00006785" w:rsidRDefault="00006785" w:rsidP="00006785">
      <w:pPr>
        <w:rPr>
          <w:bCs/>
        </w:rPr>
      </w:pPr>
    </w:p>
    <w:p w14:paraId="3AC994FF" w14:textId="77777777" w:rsidR="00006785" w:rsidRPr="00CD3F28" w:rsidRDefault="00006785" w:rsidP="00006785">
      <w:pPr>
        <w:rPr>
          <w:bCs/>
        </w:rPr>
      </w:pPr>
      <w:r w:rsidRPr="00CD3F28">
        <w:rPr>
          <w:bCs/>
        </w:rPr>
        <w:t xml:space="preserve">Located in 217 Foy Hall, the </w:t>
      </w:r>
      <w:r w:rsidRPr="00CD3F28">
        <w:rPr>
          <w:bCs/>
          <w:u w:val="single"/>
        </w:rPr>
        <w:t>Auburn Veterans Resource Center</w:t>
      </w:r>
      <w:r w:rsidRPr="00CD3F28">
        <w:rPr>
          <w:bCs/>
        </w:rPr>
        <w:t xml:space="preserve"> (AUVRC) helps students make the transition from military life to civilian life. Whether </w:t>
      </w:r>
      <w:r>
        <w:rPr>
          <w:bCs/>
        </w:rPr>
        <w:t>someone is</w:t>
      </w:r>
      <w:r w:rsidRPr="00CD3F28">
        <w:rPr>
          <w:bCs/>
        </w:rPr>
        <w:t xml:space="preserve"> a new student who has completed </w:t>
      </w:r>
      <w:r>
        <w:rPr>
          <w:bCs/>
        </w:rPr>
        <w:t>their</w:t>
      </w:r>
      <w:r w:rsidRPr="00CD3F28">
        <w:rPr>
          <w:bCs/>
        </w:rPr>
        <w:t xml:space="preserve"> service, a student who interrupted </w:t>
      </w:r>
      <w:r>
        <w:rPr>
          <w:bCs/>
        </w:rPr>
        <w:t>their</w:t>
      </w:r>
      <w:r w:rsidRPr="00CD3F28">
        <w:rPr>
          <w:bCs/>
        </w:rPr>
        <w:t xml:space="preserve"> education to serve, or a student who began </w:t>
      </w:r>
      <w:r>
        <w:rPr>
          <w:bCs/>
        </w:rPr>
        <w:t>their</w:t>
      </w:r>
      <w:r w:rsidRPr="00CD3F28">
        <w:rPr>
          <w:bCs/>
        </w:rPr>
        <w:t xml:space="preserve"> studies elsewhere and are transferring here, </w:t>
      </w:r>
      <w:r>
        <w:rPr>
          <w:bCs/>
        </w:rPr>
        <w:t>the AUVRC</w:t>
      </w:r>
      <w:r w:rsidRPr="00CD3F28">
        <w:rPr>
          <w:bCs/>
        </w:rPr>
        <w:t xml:space="preserve"> will help guide </w:t>
      </w:r>
      <w:r>
        <w:rPr>
          <w:bCs/>
        </w:rPr>
        <w:t>students</w:t>
      </w:r>
      <w:r w:rsidRPr="00CD3F28">
        <w:rPr>
          <w:bCs/>
        </w:rPr>
        <w:t xml:space="preserve"> to the resources </w:t>
      </w:r>
      <w:r>
        <w:rPr>
          <w:bCs/>
        </w:rPr>
        <w:t>they</w:t>
      </w:r>
      <w:r w:rsidRPr="00CD3F28">
        <w:rPr>
          <w:bCs/>
        </w:rPr>
        <w:t xml:space="preserve"> need to make the most of </w:t>
      </w:r>
      <w:r>
        <w:rPr>
          <w:bCs/>
        </w:rPr>
        <w:t>their</w:t>
      </w:r>
      <w:r w:rsidRPr="00CD3F28">
        <w:rPr>
          <w:bCs/>
        </w:rPr>
        <w:t xml:space="preserve"> AU experience</w:t>
      </w:r>
    </w:p>
    <w:p w14:paraId="6265BF6B" w14:textId="77777777" w:rsidR="00006785" w:rsidRDefault="00A70078" w:rsidP="00006785">
      <w:pPr>
        <w:ind w:left="720"/>
        <w:rPr>
          <w:bCs/>
        </w:rPr>
      </w:pPr>
      <w:hyperlink r:id="rId23" w:history="1">
        <w:r w:rsidR="00006785" w:rsidRPr="005E20A1">
          <w:rPr>
            <w:rStyle w:val="Hyperlink"/>
            <w:bCs/>
          </w:rPr>
          <w:t>http://veterans.auburn.edu/</w:t>
        </w:r>
      </w:hyperlink>
    </w:p>
    <w:p w14:paraId="746D6254" w14:textId="77777777" w:rsidR="00006785" w:rsidRDefault="00006785" w:rsidP="00006785">
      <w:pPr>
        <w:rPr>
          <w:bCs/>
        </w:rPr>
      </w:pPr>
    </w:p>
    <w:p w14:paraId="23623763" w14:textId="77777777" w:rsidR="00006785" w:rsidRDefault="00006785" w:rsidP="00006785">
      <w:pPr>
        <w:rPr>
          <w:bCs/>
        </w:rPr>
      </w:pPr>
      <w:r w:rsidRPr="00EA2879">
        <w:rPr>
          <w:bCs/>
          <w:u w:val="single"/>
        </w:rPr>
        <w:t>Student Counseling and Psychological Services</w:t>
      </w:r>
      <w:r>
        <w:rPr>
          <w:bCs/>
        </w:rPr>
        <w:t xml:space="preserve"> (334-844-5123) offers students support with mental health with services ranging from individual therapy sessions, group therapy sessions, workshops, drop-in groups, and psychiatric services. Services are free and confidential.</w:t>
      </w:r>
    </w:p>
    <w:p w14:paraId="09F3A902" w14:textId="77777777" w:rsidR="00006785" w:rsidRDefault="00A70078" w:rsidP="00006785">
      <w:pPr>
        <w:ind w:firstLine="720"/>
        <w:rPr>
          <w:bCs/>
        </w:rPr>
      </w:pPr>
      <w:hyperlink r:id="rId24" w:history="1">
        <w:r w:rsidR="00006785" w:rsidRPr="005E20A1">
          <w:rPr>
            <w:rStyle w:val="Hyperlink"/>
            <w:bCs/>
          </w:rPr>
          <w:t>http://wp.auburn.edu/scs/#</w:t>
        </w:r>
      </w:hyperlink>
    </w:p>
    <w:p w14:paraId="63A7759C" w14:textId="77777777" w:rsidR="00006785" w:rsidRDefault="00006785" w:rsidP="00006785">
      <w:pPr>
        <w:rPr>
          <w:bCs/>
        </w:rPr>
      </w:pPr>
    </w:p>
    <w:p w14:paraId="2A57D13E" w14:textId="77777777" w:rsidR="00006785" w:rsidRDefault="00006785" w:rsidP="00006785">
      <w:pPr>
        <w:rPr>
          <w:bCs/>
        </w:rPr>
      </w:pPr>
      <w:r>
        <w:rPr>
          <w:bCs/>
        </w:rPr>
        <w:t xml:space="preserve">Through </w:t>
      </w:r>
      <w:r w:rsidRPr="002A0D23">
        <w:rPr>
          <w:bCs/>
          <w:u w:val="single"/>
        </w:rPr>
        <w:t>Substance Use Services</w:t>
      </w:r>
      <w:r>
        <w:rPr>
          <w:bCs/>
        </w:rPr>
        <w:t xml:space="preserve">, Health Promotion and Wellness Services provides a wide array of evidence-based programs to address substance use issues. Through their programs, students </w:t>
      </w:r>
      <w:r>
        <w:rPr>
          <w:bCs/>
        </w:rPr>
        <w:lastRenderedPageBreak/>
        <w:t xml:space="preserve">are able to explore how their substance use may be impacting other areas of their life in a non-judgmental and safe environment. Furthermore, students are able to learn skills to reduce their risk for substance related consequences. There is also the </w:t>
      </w:r>
      <w:r w:rsidRPr="002A0D23">
        <w:rPr>
          <w:bCs/>
          <w:u w:val="single"/>
        </w:rPr>
        <w:t>Auburn Recovery Community</w:t>
      </w:r>
      <w:r>
        <w:rPr>
          <w:bCs/>
        </w:rPr>
        <w:t xml:space="preserve"> helping to build peer support.</w:t>
      </w:r>
    </w:p>
    <w:p w14:paraId="0602FCC3" w14:textId="77777777" w:rsidR="00006785" w:rsidRDefault="00A70078" w:rsidP="00006785">
      <w:pPr>
        <w:ind w:left="720"/>
        <w:rPr>
          <w:bCs/>
        </w:rPr>
      </w:pPr>
      <w:hyperlink r:id="rId25" w:history="1">
        <w:r w:rsidR="00006785" w:rsidRPr="005E20A1">
          <w:rPr>
            <w:rStyle w:val="Hyperlink"/>
            <w:bCs/>
          </w:rPr>
          <w:t>http://wp.auburn.edu/healthandwellness/alcohol-drugs/</w:t>
        </w:r>
      </w:hyperlink>
    </w:p>
    <w:p w14:paraId="3BA77206" w14:textId="77777777" w:rsidR="00006785" w:rsidRDefault="00A70078" w:rsidP="00006785">
      <w:pPr>
        <w:ind w:left="720"/>
        <w:rPr>
          <w:bCs/>
        </w:rPr>
      </w:pPr>
      <w:hyperlink r:id="rId26" w:history="1">
        <w:r w:rsidR="00006785" w:rsidRPr="005E20A1">
          <w:rPr>
            <w:rStyle w:val="Hyperlink"/>
            <w:bCs/>
          </w:rPr>
          <w:t>http://wp.auburn.edu/healthandwellness/recovery/</w:t>
        </w:r>
      </w:hyperlink>
      <w:r w:rsidR="00006785">
        <w:rPr>
          <w:bCs/>
        </w:rPr>
        <w:t xml:space="preserve"> </w:t>
      </w:r>
    </w:p>
    <w:p w14:paraId="21CE17F7" w14:textId="77777777" w:rsidR="00006785" w:rsidRDefault="00006785" w:rsidP="00006785">
      <w:pPr>
        <w:rPr>
          <w:bCs/>
        </w:rPr>
      </w:pPr>
    </w:p>
    <w:p w14:paraId="7A7A12A7" w14:textId="77777777" w:rsidR="00006785" w:rsidRPr="00297BC4" w:rsidRDefault="00006785" w:rsidP="00006785">
      <w:pPr>
        <w:rPr>
          <w:bCs/>
        </w:rPr>
      </w:pPr>
      <w:r w:rsidRPr="00297BC4">
        <w:rPr>
          <w:bCs/>
          <w:u w:val="single"/>
        </w:rPr>
        <w:t>Health Promotion and Wellness Services</w:t>
      </w:r>
      <w:r>
        <w:rPr>
          <w:bCs/>
        </w:rPr>
        <w:t xml:space="preserve"> offers a number of other educational and supportive services. </w:t>
      </w:r>
      <w:r w:rsidRPr="00297BC4">
        <w:rPr>
          <w:bCs/>
        </w:rPr>
        <w:t>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w:t>
      </w:r>
    </w:p>
    <w:p w14:paraId="382A8C27" w14:textId="77777777" w:rsidR="00006785" w:rsidRDefault="00A70078" w:rsidP="00006785">
      <w:pPr>
        <w:ind w:left="720"/>
        <w:rPr>
          <w:bCs/>
        </w:rPr>
      </w:pPr>
      <w:hyperlink r:id="rId27" w:history="1">
        <w:r w:rsidR="00006785" w:rsidRPr="005E20A1">
          <w:rPr>
            <w:rStyle w:val="Hyperlink"/>
            <w:bCs/>
          </w:rPr>
          <w:t>http://wp.auburn.edu/healthandwellness/other-services/</w:t>
        </w:r>
      </w:hyperlink>
    </w:p>
    <w:p w14:paraId="534F74D5" w14:textId="77777777" w:rsidR="00006785" w:rsidRDefault="00006785" w:rsidP="00006785">
      <w:pPr>
        <w:rPr>
          <w:bCs/>
        </w:rPr>
      </w:pPr>
    </w:p>
    <w:p w14:paraId="2A41DFDB" w14:textId="77777777" w:rsidR="00006785" w:rsidRPr="005E693D" w:rsidRDefault="00006785" w:rsidP="00006785">
      <w:pPr>
        <w:widowControl w:val="0"/>
        <w:autoSpaceDE w:val="0"/>
        <w:autoSpaceDN w:val="0"/>
        <w:adjustRightInd w:val="0"/>
        <w:rPr>
          <w:rFonts w:ascii="SegoeUI" w:hAnsi="SegoeUI" w:cs="SegoeUI"/>
          <w:color w:val="191919"/>
          <w:sz w:val="22"/>
          <w:szCs w:val="22"/>
          <w:u w:color="191919"/>
        </w:rPr>
      </w:pPr>
    </w:p>
    <w:p w14:paraId="3C358B2F" w14:textId="77777777" w:rsidR="00006785" w:rsidRDefault="00006785" w:rsidP="00006785">
      <w:pPr>
        <w:rPr>
          <w:b/>
          <w:bCs/>
        </w:rPr>
      </w:pPr>
      <w:r>
        <w:rPr>
          <w:b/>
          <w:bCs/>
        </w:rPr>
        <w:br w:type="page"/>
      </w:r>
    </w:p>
    <w:p w14:paraId="6D294D82" w14:textId="77777777" w:rsidR="00006785" w:rsidRPr="00E8425E" w:rsidRDefault="00006785" w:rsidP="00006785">
      <w:pPr>
        <w:jc w:val="center"/>
      </w:pPr>
      <w:r w:rsidRPr="00E8425E">
        <w:rPr>
          <w:b/>
          <w:bCs/>
        </w:rPr>
        <w:lastRenderedPageBreak/>
        <w:t>Course Assignments</w:t>
      </w:r>
    </w:p>
    <w:p w14:paraId="648F6059" w14:textId="77777777" w:rsidR="00006785" w:rsidRPr="00E8425E" w:rsidRDefault="00006785" w:rsidP="00006785">
      <w:pPr>
        <w:rPr>
          <w:b/>
          <w:bCs/>
        </w:rPr>
      </w:pPr>
    </w:p>
    <w:tbl>
      <w:tblPr>
        <w:tblStyle w:val="TableGrid"/>
        <w:tblW w:w="9576" w:type="dxa"/>
        <w:tblLayout w:type="fixed"/>
        <w:tblLook w:val="04A0" w:firstRow="1" w:lastRow="0" w:firstColumn="1" w:lastColumn="0" w:noHBand="0" w:noVBand="1"/>
      </w:tblPr>
      <w:tblGrid>
        <w:gridCol w:w="4135"/>
        <w:gridCol w:w="1080"/>
        <w:gridCol w:w="4361"/>
      </w:tblGrid>
      <w:tr w:rsidR="00006785" w:rsidRPr="00E8425E" w14:paraId="18FB378F" w14:textId="77777777" w:rsidTr="00CA353F">
        <w:tc>
          <w:tcPr>
            <w:tcW w:w="4135" w:type="dxa"/>
          </w:tcPr>
          <w:p w14:paraId="6B70145D" w14:textId="77777777" w:rsidR="00006785" w:rsidRPr="00E8425E" w:rsidRDefault="00006785" w:rsidP="00CA353F">
            <w:pPr>
              <w:jc w:val="center"/>
              <w:rPr>
                <w:b/>
                <w:bCs/>
              </w:rPr>
            </w:pPr>
            <w:r w:rsidRPr="00E8425E">
              <w:rPr>
                <w:b/>
                <w:bCs/>
              </w:rPr>
              <w:t>Assignments</w:t>
            </w:r>
          </w:p>
        </w:tc>
        <w:tc>
          <w:tcPr>
            <w:tcW w:w="1080" w:type="dxa"/>
          </w:tcPr>
          <w:p w14:paraId="45CA326A" w14:textId="77777777" w:rsidR="00006785" w:rsidRPr="00E8425E" w:rsidRDefault="00006785" w:rsidP="00CA353F">
            <w:pPr>
              <w:jc w:val="center"/>
              <w:rPr>
                <w:b/>
                <w:bCs/>
              </w:rPr>
            </w:pPr>
            <w:r w:rsidRPr="00E8425E">
              <w:rPr>
                <w:b/>
                <w:bCs/>
              </w:rPr>
              <w:t>Points</w:t>
            </w:r>
          </w:p>
        </w:tc>
        <w:tc>
          <w:tcPr>
            <w:tcW w:w="4361" w:type="dxa"/>
          </w:tcPr>
          <w:p w14:paraId="78FCE572" w14:textId="77777777" w:rsidR="00006785" w:rsidRPr="00E8425E" w:rsidRDefault="00006785" w:rsidP="00CA353F">
            <w:pPr>
              <w:jc w:val="center"/>
              <w:rPr>
                <w:b/>
                <w:bCs/>
              </w:rPr>
            </w:pPr>
            <w:r w:rsidRPr="00E8425E">
              <w:rPr>
                <w:b/>
                <w:bCs/>
              </w:rPr>
              <w:t>Due Dates</w:t>
            </w:r>
          </w:p>
        </w:tc>
      </w:tr>
      <w:tr w:rsidR="004917B2" w:rsidRPr="00E8425E" w14:paraId="1AD145E3" w14:textId="77777777" w:rsidTr="00CA353F">
        <w:tc>
          <w:tcPr>
            <w:tcW w:w="4135" w:type="dxa"/>
          </w:tcPr>
          <w:p w14:paraId="57362788" w14:textId="04F6901F" w:rsidR="004917B2" w:rsidRPr="004917B2" w:rsidRDefault="004917B2" w:rsidP="00D47563">
            <w:pPr>
              <w:rPr>
                <w:bCs/>
              </w:rPr>
            </w:pPr>
            <w:r>
              <w:rPr>
                <w:bCs/>
              </w:rPr>
              <w:t>Professional Community Participation</w:t>
            </w:r>
          </w:p>
        </w:tc>
        <w:tc>
          <w:tcPr>
            <w:tcW w:w="1080" w:type="dxa"/>
          </w:tcPr>
          <w:p w14:paraId="539765DF" w14:textId="75038895" w:rsidR="004917B2" w:rsidRPr="004917B2" w:rsidRDefault="00AB7950" w:rsidP="00CA353F">
            <w:pPr>
              <w:jc w:val="center"/>
              <w:rPr>
                <w:bCs/>
              </w:rPr>
            </w:pPr>
            <w:r>
              <w:rPr>
                <w:bCs/>
              </w:rPr>
              <w:t>10</w:t>
            </w:r>
          </w:p>
        </w:tc>
        <w:tc>
          <w:tcPr>
            <w:tcW w:w="4361" w:type="dxa"/>
          </w:tcPr>
          <w:p w14:paraId="722BF134" w14:textId="64D0C2E1" w:rsidR="004917B2" w:rsidRPr="004917B2" w:rsidRDefault="006A43A6" w:rsidP="00D47563">
            <w:pPr>
              <w:rPr>
                <w:bCs/>
              </w:rPr>
            </w:pPr>
            <w:r>
              <w:rPr>
                <w:bCs/>
              </w:rPr>
              <w:t>Throughout semester</w:t>
            </w:r>
            <w:r w:rsidR="00D04E95">
              <w:rPr>
                <w:bCs/>
              </w:rPr>
              <w:t xml:space="preserve"> at student’s discretion. </w:t>
            </w:r>
            <w:r w:rsidR="00E63077">
              <w:rPr>
                <w:bCs/>
              </w:rPr>
              <w:t>Must be completed n</w:t>
            </w:r>
            <w:r w:rsidR="00D04E95">
              <w:rPr>
                <w:bCs/>
              </w:rPr>
              <w:t>o later than April 2.</w:t>
            </w:r>
          </w:p>
        </w:tc>
      </w:tr>
      <w:tr w:rsidR="004917B2" w:rsidRPr="00E8425E" w14:paraId="5D6B87E4" w14:textId="77777777" w:rsidTr="00CA353F">
        <w:tc>
          <w:tcPr>
            <w:tcW w:w="4135" w:type="dxa"/>
          </w:tcPr>
          <w:p w14:paraId="232F6053" w14:textId="14D7F6DA" w:rsidR="004917B2" w:rsidRDefault="004917B2" w:rsidP="00D47563">
            <w:pPr>
              <w:rPr>
                <w:bCs/>
              </w:rPr>
            </w:pPr>
            <w:r>
              <w:rPr>
                <w:bCs/>
              </w:rPr>
              <w:t>Weekly Discussion Posts</w:t>
            </w:r>
          </w:p>
        </w:tc>
        <w:tc>
          <w:tcPr>
            <w:tcW w:w="1080" w:type="dxa"/>
          </w:tcPr>
          <w:p w14:paraId="6B8F2844" w14:textId="281C200F" w:rsidR="004917B2" w:rsidRPr="004917B2" w:rsidRDefault="00AB7950" w:rsidP="00CA353F">
            <w:pPr>
              <w:jc w:val="center"/>
              <w:rPr>
                <w:bCs/>
              </w:rPr>
            </w:pPr>
            <w:r>
              <w:rPr>
                <w:bCs/>
              </w:rPr>
              <w:t>20</w:t>
            </w:r>
          </w:p>
        </w:tc>
        <w:tc>
          <w:tcPr>
            <w:tcW w:w="4361" w:type="dxa"/>
          </w:tcPr>
          <w:p w14:paraId="6E08A9EB" w14:textId="03771D04" w:rsidR="004917B2" w:rsidRPr="004917B2" w:rsidRDefault="006A43A6" w:rsidP="00D47563">
            <w:pPr>
              <w:rPr>
                <w:bCs/>
              </w:rPr>
            </w:pPr>
            <w:r>
              <w:rPr>
                <w:bCs/>
              </w:rPr>
              <w:t>Throughout semester</w:t>
            </w:r>
            <w:r w:rsidR="00B447B9">
              <w:rPr>
                <w:bCs/>
              </w:rPr>
              <w:t xml:space="preserve"> on a weekly basis</w:t>
            </w:r>
          </w:p>
        </w:tc>
      </w:tr>
      <w:tr w:rsidR="004917B2" w:rsidRPr="00E8425E" w14:paraId="2DE48E1F" w14:textId="77777777" w:rsidTr="00CA353F">
        <w:tc>
          <w:tcPr>
            <w:tcW w:w="4135" w:type="dxa"/>
          </w:tcPr>
          <w:p w14:paraId="413997CA" w14:textId="59753919" w:rsidR="004917B2" w:rsidRDefault="006D54AF" w:rsidP="00D47563">
            <w:pPr>
              <w:rPr>
                <w:bCs/>
              </w:rPr>
            </w:pPr>
            <w:r>
              <w:rPr>
                <w:bCs/>
              </w:rPr>
              <w:t>Collaborative Work with Adolescent Readers</w:t>
            </w:r>
          </w:p>
        </w:tc>
        <w:tc>
          <w:tcPr>
            <w:tcW w:w="1080" w:type="dxa"/>
          </w:tcPr>
          <w:p w14:paraId="59810589" w14:textId="3561EE5B" w:rsidR="004917B2" w:rsidRPr="004917B2" w:rsidRDefault="006D54AF" w:rsidP="00CA353F">
            <w:pPr>
              <w:jc w:val="center"/>
              <w:rPr>
                <w:bCs/>
              </w:rPr>
            </w:pPr>
            <w:r>
              <w:rPr>
                <w:bCs/>
              </w:rPr>
              <w:t>10</w:t>
            </w:r>
          </w:p>
        </w:tc>
        <w:tc>
          <w:tcPr>
            <w:tcW w:w="4361" w:type="dxa"/>
          </w:tcPr>
          <w:p w14:paraId="45BE3ADA" w14:textId="00F94DB4" w:rsidR="004917B2" w:rsidRPr="004917B2" w:rsidRDefault="00120FA7" w:rsidP="00D47563">
            <w:pPr>
              <w:rPr>
                <w:bCs/>
              </w:rPr>
            </w:pPr>
            <w:r>
              <w:rPr>
                <w:bCs/>
              </w:rPr>
              <w:t>TBD</w:t>
            </w:r>
          </w:p>
        </w:tc>
      </w:tr>
      <w:tr w:rsidR="00626403" w:rsidRPr="00E8425E" w14:paraId="678F3857" w14:textId="77777777" w:rsidTr="00CA353F">
        <w:tc>
          <w:tcPr>
            <w:tcW w:w="4135" w:type="dxa"/>
          </w:tcPr>
          <w:p w14:paraId="110232BF" w14:textId="61882420" w:rsidR="00626403" w:rsidRDefault="00626403" w:rsidP="00626403">
            <w:pPr>
              <w:rPr>
                <w:bCs/>
              </w:rPr>
            </w:pPr>
            <w:r>
              <w:rPr>
                <w:bCs/>
              </w:rPr>
              <w:t>Teaching Demonstration, Lesson Plan, and “Thinking Behind the Planning”</w:t>
            </w:r>
          </w:p>
        </w:tc>
        <w:tc>
          <w:tcPr>
            <w:tcW w:w="1080" w:type="dxa"/>
          </w:tcPr>
          <w:p w14:paraId="1C619225" w14:textId="3EDED5DD" w:rsidR="00626403" w:rsidRPr="004917B2" w:rsidRDefault="00626403" w:rsidP="00CA353F">
            <w:pPr>
              <w:jc w:val="center"/>
              <w:rPr>
                <w:bCs/>
              </w:rPr>
            </w:pPr>
            <w:r>
              <w:rPr>
                <w:bCs/>
              </w:rPr>
              <w:t>15</w:t>
            </w:r>
          </w:p>
        </w:tc>
        <w:tc>
          <w:tcPr>
            <w:tcW w:w="4361" w:type="dxa"/>
          </w:tcPr>
          <w:p w14:paraId="6630573A" w14:textId="3A461563" w:rsidR="00626403" w:rsidRPr="004917B2" w:rsidRDefault="003C34DD" w:rsidP="00626403">
            <w:pPr>
              <w:rPr>
                <w:bCs/>
              </w:rPr>
            </w:pPr>
            <w:r>
              <w:rPr>
                <w:bCs/>
              </w:rPr>
              <w:t>March 19-Apr 2 (depends on your individual group – you will submit a draft and final version)</w:t>
            </w:r>
          </w:p>
        </w:tc>
      </w:tr>
      <w:tr w:rsidR="00626403" w:rsidRPr="00E8425E" w14:paraId="729232F8" w14:textId="77777777" w:rsidTr="00CA353F">
        <w:tc>
          <w:tcPr>
            <w:tcW w:w="4135" w:type="dxa"/>
          </w:tcPr>
          <w:p w14:paraId="2CA4D591" w14:textId="7023223A" w:rsidR="00626403" w:rsidRDefault="00120FA7" w:rsidP="00626403">
            <w:pPr>
              <w:rPr>
                <w:bCs/>
              </w:rPr>
            </w:pPr>
            <w:r>
              <w:rPr>
                <w:bCs/>
              </w:rPr>
              <w:t>Classroom Library Assignment</w:t>
            </w:r>
          </w:p>
        </w:tc>
        <w:tc>
          <w:tcPr>
            <w:tcW w:w="1080" w:type="dxa"/>
          </w:tcPr>
          <w:p w14:paraId="4AA1DE96" w14:textId="030B3853" w:rsidR="00626403" w:rsidRPr="004917B2" w:rsidRDefault="00120FA7" w:rsidP="00CA353F">
            <w:pPr>
              <w:jc w:val="center"/>
              <w:rPr>
                <w:bCs/>
              </w:rPr>
            </w:pPr>
            <w:r>
              <w:rPr>
                <w:bCs/>
              </w:rPr>
              <w:t>10</w:t>
            </w:r>
          </w:p>
        </w:tc>
        <w:tc>
          <w:tcPr>
            <w:tcW w:w="4361" w:type="dxa"/>
          </w:tcPr>
          <w:p w14:paraId="39658463" w14:textId="42234F7B" w:rsidR="00626403" w:rsidRDefault="003C34DD" w:rsidP="00626403">
            <w:pPr>
              <w:rPr>
                <w:bCs/>
              </w:rPr>
            </w:pPr>
            <w:r>
              <w:rPr>
                <w:bCs/>
              </w:rPr>
              <w:t>Draft:</w:t>
            </w:r>
            <w:r w:rsidR="003F137E">
              <w:rPr>
                <w:bCs/>
              </w:rPr>
              <w:t xml:space="preserve"> February 12</w:t>
            </w:r>
          </w:p>
          <w:p w14:paraId="3EE50233" w14:textId="5355D910" w:rsidR="003C34DD" w:rsidRPr="004917B2" w:rsidRDefault="003C34DD" w:rsidP="00626403">
            <w:pPr>
              <w:rPr>
                <w:bCs/>
              </w:rPr>
            </w:pPr>
            <w:r>
              <w:rPr>
                <w:bCs/>
              </w:rPr>
              <w:t>Final:</w:t>
            </w:r>
            <w:r w:rsidR="003F137E">
              <w:rPr>
                <w:bCs/>
              </w:rPr>
              <w:t xml:space="preserve"> February 26</w:t>
            </w:r>
          </w:p>
        </w:tc>
      </w:tr>
      <w:tr w:rsidR="00626403" w:rsidRPr="00E8425E" w14:paraId="175889D7" w14:textId="77777777" w:rsidTr="00CA353F">
        <w:tc>
          <w:tcPr>
            <w:tcW w:w="4135" w:type="dxa"/>
          </w:tcPr>
          <w:p w14:paraId="08754687" w14:textId="65B92C14" w:rsidR="00626403" w:rsidRDefault="00626403" w:rsidP="00626403">
            <w:pPr>
              <w:rPr>
                <w:bCs/>
              </w:rPr>
            </w:pPr>
            <w:r>
              <w:rPr>
                <w:bCs/>
              </w:rPr>
              <w:t>Pairing YAL and the Canon Project</w:t>
            </w:r>
          </w:p>
        </w:tc>
        <w:tc>
          <w:tcPr>
            <w:tcW w:w="1080" w:type="dxa"/>
          </w:tcPr>
          <w:p w14:paraId="161F6510" w14:textId="0BDCF747" w:rsidR="00626403" w:rsidRPr="004917B2" w:rsidRDefault="00626403" w:rsidP="00CA353F">
            <w:pPr>
              <w:jc w:val="center"/>
              <w:rPr>
                <w:bCs/>
              </w:rPr>
            </w:pPr>
            <w:r>
              <w:rPr>
                <w:bCs/>
              </w:rPr>
              <w:t>10</w:t>
            </w:r>
          </w:p>
        </w:tc>
        <w:tc>
          <w:tcPr>
            <w:tcW w:w="4361" w:type="dxa"/>
          </w:tcPr>
          <w:p w14:paraId="4D74DD3F" w14:textId="391BB7E6" w:rsidR="00626403" w:rsidRPr="004917B2" w:rsidRDefault="003F137E" w:rsidP="00626403">
            <w:pPr>
              <w:rPr>
                <w:bCs/>
              </w:rPr>
            </w:pPr>
            <w:r>
              <w:rPr>
                <w:bCs/>
              </w:rPr>
              <w:t>March 19</w:t>
            </w:r>
          </w:p>
        </w:tc>
      </w:tr>
      <w:tr w:rsidR="00626403" w:rsidRPr="00E8425E" w14:paraId="188E673F" w14:textId="77777777" w:rsidTr="00CA353F">
        <w:tc>
          <w:tcPr>
            <w:tcW w:w="4135" w:type="dxa"/>
          </w:tcPr>
          <w:p w14:paraId="09AFADF9" w14:textId="663BFA17" w:rsidR="00626403" w:rsidRDefault="00626403" w:rsidP="00626403">
            <w:pPr>
              <w:rPr>
                <w:bCs/>
              </w:rPr>
            </w:pPr>
            <w:r>
              <w:rPr>
                <w:bCs/>
              </w:rPr>
              <w:t>Unit Plan and Rationale</w:t>
            </w:r>
          </w:p>
        </w:tc>
        <w:tc>
          <w:tcPr>
            <w:tcW w:w="1080" w:type="dxa"/>
          </w:tcPr>
          <w:p w14:paraId="33B1DA63" w14:textId="28CEEA12" w:rsidR="00626403" w:rsidRPr="004917B2" w:rsidRDefault="00626403" w:rsidP="00CA353F">
            <w:pPr>
              <w:jc w:val="center"/>
              <w:rPr>
                <w:bCs/>
              </w:rPr>
            </w:pPr>
            <w:r>
              <w:rPr>
                <w:bCs/>
              </w:rPr>
              <w:t>25</w:t>
            </w:r>
          </w:p>
        </w:tc>
        <w:tc>
          <w:tcPr>
            <w:tcW w:w="4361" w:type="dxa"/>
          </w:tcPr>
          <w:p w14:paraId="4913D2E5" w14:textId="712061A3" w:rsidR="00626403" w:rsidRPr="004917B2" w:rsidRDefault="00C95EFA" w:rsidP="00626403">
            <w:pPr>
              <w:rPr>
                <w:bCs/>
              </w:rPr>
            </w:pPr>
            <w:r>
              <w:rPr>
                <w:bCs/>
              </w:rPr>
              <w:t>End of Semester</w:t>
            </w:r>
          </w:p>
        </w:tc>
      </w:tr>
      <w:tr w:rsidR="00626403" w:rsidRPr="00E8425E" w14:paraId="05FB9D28" w14:textId="77777777" w:rsidTr="00CA353F">
        <w:tc>
          <w:tcPr>
            <w:tcW w:w="4135" w:type="dxa"/>
          </w:tcPr>
          <w:p w14:paraId="212CC694" w14:textId="77777777" w:rsidR="00626403" w:rsidRPr="00E8425E" w:rsidRDefault="00626403" w:rsidP="00626403">
            <w:pPr>
              <w:rPr>
                <w:b/>
                <w:bCs/>
              </w:rPr>
            </w:pPr>
            <w:r w:rsidRPr="00E8425E">
              <w:rPr>
                <w:b/>
                <w:bCs/>
              </w:rPr>
              <w:t>Total</w:t>
            </w:r>
          </w:p>
        </w:tc>
        <w:tc>
          <w:tcPr>
            <w:tcW w:w="1080" w:type="dxa"/>
          </w:tcPr>
          <w:p w14:paraId="4DCAD5AF" w14:textId="77777777" w:rsidR="00626403" w:rsidRPr="00E8425E" w:rsidRDefault="00626403" w:rsidP="00CA353F">
            <w:pPr>
              <w:jc w:val="center"/>
              <w:rPr>
                <w:b/>
                <w:bCs/>
              </w:rPr>
            </w:pPr>
            <w:r w:rsidRPr="00E8425E">
              <w:rPr>
                <w:b/>
                <w:bCs/>
              </w:rPr>
              <w:t>100</w:t>
            </w:r>
          </w:p>
        </w:tc>
        <w:tc>
          <w:tcPr>
            <w:tcW w:w="4361" w:type="dxa"/>
          </w:tcPr>
          <w:p w14:paraId="79748412" w14:textId="77777777" w:rsidR="00626403" w:rsidRPr="00E8425E" w:rsidRDefault="00626403" w:rsidP="00626403">
            <w:pPr>
              <w:rPr>
                <w:bCs/>
              </w:rPr>
            </w:pPr>
          </w:p>
        </w:tc>
      </w:tr>
    </w:tbl>
    <w:p w14:paraId="20C8A953" w14:textId="77777777" w:rsidR="00006785" w:rsidRPr="00E8425E" w:rsidRDefault="00006785" w:rsidP="00006785">
      <w:pPr>
        <w:rPr>
          <w:bCs/>
        </w:rPr>
      </w:pPr>
    </w:p>
    <w:p w14:paraId="4D14ABEB" w14:textId="77777777" w:rsidR="00006785" w:rsidRPr="00E8425E" w:rsidRDefault="00006785" w:rsidP="00006785">
      <w:pPr>
        <w:rPr>
          <w:b/>
        </w:rPr>
      </w:pPr>
      <w:r w:rsidRPr="00E8425E">
        <w:rPr>
          <w:b/>
        </w:rPr>
        <w:t>Late Assignments</w:t>
      </w:r>
      <w:r w:rsidRPr="00E8425E">
        <w:t>:</w:t>
      </w:r>
      <w:r w:rsidRPr="00E8425E">
        <w:rPr>
          <w:b/>
        </w:rPr>
        <w:t xml:space="preserve"> </w:t>
      </w:r>
      <w:r w:rsidRPr="00E8425E">
        <w:t>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reason</w:t>
      </w:r>
      <w:r>
        <w:t xml:space="preserve"> defined by the university through its policy on class attendance in the student policy </w:t>
      </w:r>
      <w:proofErr w:type="spellStart"/>
      <w:r>
        <w:t>ehandbook</w:t>
      </w:r>
      <w:proofErr w:type="spellEnd"/>
      <w:r>
        <w:t xml:space="preserve"> (</w:t>
      </w:r>
      <w:hyperlink r:id="rId28" w:history="1">
        <w:r w:rsidRPr="00EC344C">
          <w:rPr>
            <w:rStyle w:val="Hyperlink"/>
          </w:rPr>
          <w:t>http://www.auburn.edu/student_info/student_policies/</w:t>
        </w:r>
      </w:hyperlink>
      <w:r>
        <w:t xml:space="preserve">). </w:t>
      </w:r>
    </w:p>
    <w:p w14:paraId="2D143D40" w14:textId="77777777" w:rsidR="00006785" w:rsidRPr="00E8425E" w:rsidRDefault="00006785" w:rsidP="00006785"/>
    <w:p w14:paraId="7C7E82C8" w14:textId="77777777" w:rsidR="00006785" w:rsidRDefault="00006785" w:rsidP="00006785">
      <w:r w:rsidRPr="00E8425E">
        <w:rPr>
          <w:b/>
          <w:bCs/>
        </w:rPr>
        <w:t>Turning in Assignments</w:t>
      </w:r>
      <w:r w:rsidRPr="00E8425E">
        <w:t xml:space="preserve">: All work that is turned </w:t>
      </w:r>
      <w:r>
        <w:t>in</w:t>
      </w:r>
      <w:r w:rsidRPr="00E8425E">
        <w:t xml:space="preserve"> for </w:t>
      </w:r>
      <w:r>
        <w:t>assessment should be typed</w:t>
      </w:r>
      <w:r w:rsidRPr="00E8425E">
        <w:t xml:space="preserve"> and should employ 1-inch margins on all sides. Please use a 12-point, legible typeface with </w:t>
      </w:r>
      <w:r>
        <w:t>double</w:t>
      </w:r>
      <w:r w:rsidRPr="00E8425E">
        <w:t xml:space="preserve"> spacing. </w:t>
      </w:r>
      <w:r>
        <w:t xml:space="preserve">If an assignment is due in class, you must submit a printed out, hard copy of the assignment on the due date at the beginning of class. Otherwise it is considered late. Online assignments must be submitted to the correct location by the specified time. </w:t>
      </w:r>
      <w:r w:rsidRPr="00E8425E">
        <w:t xml:space="preserve">When submitting electronic copies, be sure to format your file so that it can be opened in MS Word and that </w:t>
      </w:r>
      <w:r w:rsidRPr="00E8425E">
        <w:rPr>
          <w:b/>
          <w:bCs/>
        </w:rPr>
        <w:t>the file is titled with your name and assignment name</w:t>
      </w:r>
      <w:r w:rsidRPr="00E8425E">
        <w:t xml:space="preserve">. When you are asked to cite </w:t>
      </w:r>
      <w:r>
        <w:t>sources, please use APA format.</w:t>
      </w:r>
    </w:p>
    <w:p w14:paraId="1C6C3E40" w14:textId="77777777" w:rsidR="00006785" w:rsidRDefault="00006785" w:rsidP="00006785"/>
    <w:p w14:paraId="7F9CE002" w14:textId="77777777" w:rsidR="00006785" w:rsidRPr="00E8425E" w:rsidRDefault="00006785" w:rsidP="00006785">
      <w:r w:rsidRPr="00E8425E">
        <w:rPr>
          <w:b/>
        </w:rPr>
        <w:t>Grading Scale</w:t>
      </w:r>
      <w:r w:rsidRPr="00E8425E">
        <w:t>:</w:t>
      </w:r>
      <w:r w:rsidRPr="00E8425E">
        <w:rPr>
          <w:b/>
        </w:rPr>
        <w:t xml:space="preserve"> </w:t>
      </w:r>
      <w:r w:rsidRPr="00E8425E">
        <w:t>The following percentage scale will apply for your end-of-course grade:</w:t>
      </w:r>
    </w:p>
    <w:p w14:paraId="3FB83889" w14:textId="24F1B964" w:rsidR="004917B2" w:rsidRDefault="00006785" w:rsidP="00006785">
      <w:r w:rsidRPr="00E8425E">
        <w:t>9</w:t>
      </w:r>
      <w:r w:rsidR="004917B2">
        <w:t>0</w:t>
      </w:r>
      <w:r w:rsidRPr="00E8425E">
        <w:t xml:space="preserve"> </w:t>
      </w:r>
      <w:r>
        <w:t>–</w:t>
      </w:r>
      <w:r w:rsidRPr="00E8425E">
        <w:t xml:space="preserve"> 100% = A</w:t>
      </w:r>
      <w:r w:rsidR="00BE5E6D">
        <w:tab/>
      </w:r>
      <w:r w:rsidR="004917B2">
        <w:t>89.9</w:t>
      </w:r>
      <w:r w:rsidRPr="00E8425E">
        <w:t xml:space="preserve"> </w:t>
      </w:r>
      <w:r>
        <w:t>–</w:t>
      </w:r>
      <w:r w:rsidRPr="00E8425E">
        <w:t xml:space="preserve"> 8</w:t>
      </w:r>
      <w:r w:rsidR="004917B2">
        <w:t>0</w:t>
      </w:r>
      <w:r w:rsidRPr="00E8425E">
        <w:t>% = B</w:t>
      </w:r>
      <w:r w:rsidR="00BE5E6D">
        <w:tab/>
      </w:r>
      <w:r w:rsidRPr="00E8425E">
        <w:t>7</w:t>
      </w:r>
      <w:r w:rsidR="004917B2">
        <w:t>9.9</w:t>
      </w:r>
      <w:r w:rsidRPr="00E8425E">
        <w:t xml:space="preserve"> </w:t>
      </w:r>
      <w:r>
        <w:t>–</w:t>
      </w:r>
      <w:r w:rsidRPr="00E8425E">
        <w:t xml:space="preserve"> 7</w:t>
      </w:r>
      <w:r w:rsidR="004917B2">
        <w:t>0</w:t>
      </w:r>
      <w:r w:rsidRPr="00E8425E">
        <w:t>% = C</w:t>
      </w:r>
    </w:p>
    <w:p w14:paraId="704DFF9A" w14:textId="12E91297" w:rsidR="00006785" w:rsidRDefault="00006785" w:rsidP="00006785">
      <w:r w:rsidRPr="00E8425E">
        <w:t>6</w:t>
      </w:r>
      <w:r w:rsidR="004917B2">
        <w:t>9.9</w:t>
      </w:r>
      <w:r w:rsidRPr="00E8425E">
        <w:t xml:space="preserve"> </w:t>
      </w:r>
      <w:r>
        <w:t>–</w:t>
      </w:r>
      <w:r w:rsidRPr="00E8425E">
        <w:t xml:space="preserve"> 6</w:t>
      </w:r>
      <w:r w:rsidR="004917B2">
        <w:t>0</w:t>
      </w:r>
      <w:r w:rsidRPr="00E8425E">
        <w:t>% = D</w:t>
      </w:r>
      <w:r w:rsidR="00BE5E6D">
        <w:tab/>
      </w:r>
      <w:r w:rsidRPr="00E8425E">
        <w:t xml:space="preserve">0 </w:t>
      </w:r>
      <w:r>
        <w:t>–</w:t>
      </w:r>
      <w:r w:rsidRPr="00E8425E">
        <w:t xml:space="preserve"> 59</w:t>
      </w:r>
      <w:r>
        <w:t>.9</w:t>
      </w:r>
      <w:r w:rsidRPr="00E8425E">
        <w:t>% = E</w:t>
      </w:r>
    </w:p>
    <w:p w14:paraId="7B53BA84" w14:textId="77777777" w:rsidR="00006785" w:rsidRDefault="00006785" w:rsidP="00006785"/>
    <w:p w14:paraId="562758A8" w14:textId="77777777" w:rsidR="00006785" w:rsidRDefault="00006785" w:rsidP="00006785">
      <w:r w:rsidRPr="00DF677C">
        <w:rPr>
          <w:b/>
        </w:rPr>
        <w:t>Academic Honesty</w:t>
      </w:r>
      <w:r>
        <w:t xml:space="preserve">: </w:t>
      </w:r>
      <w:r w:rsidRPr="00DF677C">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w:t>
      </w:r>
      <w:r>
        <w:t>policies</w:t>
      </w:r>
      <w:r w:rsidRPr="00DF677C">
        <w:t xml:space="preserve">, will be reported to the </w:t>
      </w:r>
      <w:r>
        <w:t>Office of the Provost</w:t>
      </w:r>
      <w:r w:rsidRPr="00DF677C">
        <w:t>.</w:t>
      </w:r>
      <w:r>
        <w:t xml:space="preserve"> See the student policy </w:t>
      </w:r>
      <w:proofErr w:type="spellStart"/>
      <w:r>
        <w:t>ehandbook</w:t>
      </w:r>
      <w:proofErr w:type="spellEnd"/>
      <w:r>
        <w:t xml:space="preserve"> </w:t>
      </w:r>
      <w:hyperlink r:id="rId29" w:history="1">
        <w:r w:rsidRPr="00EC344C">
          <w:rPr>
            <w:rStyle w:val="Hyperlink"/>
          </w:rPr>
          <w:t>http://www.auburn.edu/student_info/student_policies/</w:t>
        </w:r>
      </w:hyperlink>
      <w:r>
        <w:t xml:space="preserve"> </w:t>
      </w:r>
      <w:r>
        <w:br w:type="page"/>
      </w:r>
    </w:p>
    <w:p w14:paraId="74979340" w14:textId="5B9FAFFF" w:rsidR="005C4451" w:rsidRPr="00354EE2" w:rsidRDefault="005C4451" w:rsidP="005C4451">
      <w:pPr>
        <w:rPr>
          <w:b/>
        </w:rPr>
      </w:pPr>
      <w:r w:rsidRPr="00354EE2">
        <w:rPr>
          <w:b/>
        </w:rPr>
        <w:lastRenderedPageBreak/>
        <w:t>Professional Community Participation</w:t>
      </w:r>
      <w:r w:rsidR="00D04E95">
        <w:rPr>
          <w:b/>
        </w:rPr>
        <w:t xml:space="preserve"> (10</w:t>
      </w:r>
      <w:r w:rsidR="00E63077">
        <w:rPr>
          <w:b/>
        </w:rPr>
        <w:t>% total – each event is worth 5%</w:t>
      </w:r>
      <w:r w:rsidR="00D04E95">
        <w:rPr>
          <w:b/>
        </w:rPr>
        <w:t>)</w:t>
      </w:r>
      <w:r w:rsidR="00591213">
        <w:rPr>
          <w:b/>
        </w:rPr>
        <w:t xml:space="preserve"> – Due no later than April 2</w:t>
      </w:r>
    </w:p>
    <w:p w14:paraId="0405B52E" w14:textId="6A045D15" w:rsidR="005C4451" w:rsidRDefault="005C4451" w:rsidP="005C4451"/>
    <w:p w14:paraId="4473D162" w14:textId="0B5DCFFA" w:rsidR="005C4451" w:rsidRDefault="005C4451" w:rsidP="005C4451">
      <w:r>
        <w:t xml:space="preserve">One of important goal of the English Language Arts program is for you to grow not only in your knowledge and skills in teaching but also for you to develop relationships and networks with other professionals and community members. Thus, it’s important not only for you </w:t>
      </w:r>
      <w:r w:rsidR="00354EE2">
        <w:t xml:space="preserve">to participate with other educators within our classroom but also beyond it, whether through face-to-face or digital </w:t>
      </w:r>
      <w:r w:rsidR="0020303B">
        <w:t>avenues.</w:t>
      </w:r>
    </w:p>
    <w:p w14:paraId="2900604B" w14:textId="0E7AF91D" w:rsidR="001A3341" w:rsidRDefault="001A3341" w:rsidP="005C4451"/>
    <w:p w14:paraId="1EB3752D" w14:textId="7519B2C6" w:rsidR="001A3341" w:rsidRDefault="001A3341" w:rsidP="005C4451">
      <w:r>
        <w:t>To complete this assignment, you must attend and participate in two events to build and extend professional and community relationships. For each event, you must submit some sort of documentation of your attendance/participation and a 500-800 word reflection on the experience. Briefly describe the event to provide context (~40-80 words) and then discuss what you learned through the experience and how it relates to the concepts from our course (for instance, by extending, complicating, affirming, contradicting, or challenging concepts).</w:t>
      </w:r>
    </w:p>
    <w:p w14:paraId="75EC5561" w14:textId="06946965" w:rsidR="00DA33E8" w:rsidRDefault="00DA33E8" w:rsidP="005C4451"/>
    <w:p w14:paraId="069C049D" w14:textId="3C940BD9" w:rsidR="00DA33E8" w:rsidRDefault="00DA33E8" w:rsidP="005C4451">
      <w:r>
        <w:t>I will share various events with you throughout the semester. You might also share some with me so that I can tell the class about them. As one option, you can participate in the ELA Twitter chats coordinated by Dr. Cook</w:t>
      </w:r>
      <w:r w:rsidR="00837133">
        <w:t xml:space="preserve"> (he has them scheduled during the semester from 7-8 pm on Sunday February 3, Monday March 4, Tuesday April 9, and potentially on Thursday April 11)</w:t>
      </w:r>
      <w:r>
        <w:t>. You can also participate in other educational Twitter chats or Webinars, as two examples of digital experiences.</w:t>
      </w:r>
      <w:r w:rsidR="009B20B6">
        <w:t xml:space="preserve"> I’m happy to provide examples of these or suggestions (the Twitter assignment that Dr. Cook leads has a rich and varied list).</w:t>
      </w:r>
      <w:r>
        <w:t xml:space="preserve"> Alternatively, you can participate in local events, such as attending film events organized by the Critical Studies Working Group in the College of Education.</w:t>
      </w:r>
      <w:r w:rsidR="004E231C">
        <w:t xml:space="preserve"> For the grading rubric (below), there is a difference between attending and participating. Yes, you might sit in a room and watch a film. This is attendance. To participate, you need to be active, more than just a body in the room. For instance, you might take notes during the film. You might even pose a question to the panel or tweet about your experience.</w:t>
      </w:r>
    </w:p>
    <w:p w14:paraId="63BDAD9A" w14:textId="7EB9E5E0" w:rsidR="00DA33E8" w:rsidRDefault="00DA33E8" w:rsidP="005C4451"/>
    <w:p w14:paraId="3CB4C906" w14:textId="65AEE39C" w:rsidR="00DA33E8" w:rsidRDefault="00DA33E8" w:rsidP="005C4451">
      <w:r>
        <w:t>You can complete</w:t>
      </w:r>
      <w:r w:rsidR="00F154C8">
        <w:t xml:space="preserve"> your two events at any time during the semester. However, both must be finished (and you must submit your documentation and reflective writing) no later than April 2.</w:t>
      </w:r>
      <w:r w:rsidR="001446F0">
        <w:t xml:space="preserve"> If you find out about an event that excites you but it is scheduled later than April 2, please let me know at least 1 week prior to the April 2 deadline, and we can discuss the possibility of modifying the due date for you individually.</w:t>
      </w:r>
    </w:p>
    <w:p w14:paraId="5FFBC89C" w14:textId="4B6A30B8" w:rsidR="005C4451" w:rsidRDefault="005C4451" w:rsidP="005C4451"/>
    <w:p w14:paraId="43DBD796" w14:textId="12FDA157" w:rsidR="00E8438D" w:rsidRPr="004E231C" w:rsidRDefault="00E8438D" w:rsidP="005C4451">
      <w:pPr>
        <w:rPr>
          <w:u w:val="single"/>
        </w:rPr>
      </w:pPr>
      <w:r w:rsidRPr="004E231C">
        <w:rPr>
          <w:u w:val="single"/>
        </w:rPr>
        <w:t>Grading Rubric for each Professional Community Event:</w:t>
      </w:r>
    </w:p>
    <w:p w14:paraId="363EE4B6" w14:textId="77777777" w:rsidR="00E8438D" w:rsidRDefault="00E8438D" w:rsidP="005C4451"/>
    <w:p w14:paraId="3C00C415" w14:textId="059DE95B" w:rsidR="005C4451" w:rsidRDefault="00E8438D" w:rsidP="005C4451">
      <w:r w:rsidRPr="00E377DB">
        <w:rPr>
          <w:b/>
        </w:rPr>
        <w:t>A:</w:t>
      </w:r>
      <w:r w:rsidR="00D47563">
        <w:t xml:space="preserve"> </w:t>
      </w:r>
      <w:r w:rsidR="00BB3FED">
        <w:t>Student has</w:t>
      </w:r>
      <w:r w:rsidR="00FC6C46">
        <w:t>:</w:t>
      </w:r>
      <w:r w:rsidR="00BB3FED">
        <w:t xml:space="preserve"> attended a meaningful and appropriate professional event, whether through a face-to-face or digital experience;</w:t>
      </w:r>
      <w:r w:rsidR="00FC6C46">
        <w:t xml:space="preserve"> substantially</w:t>
      </w:r>
      <w:r w:rsidR="00BB3FED">
        <w:t xml:space="preserve"> </w:t>
      </w:r>
      <w:r w:rsidR="00FC6C46">
        <w:t>participated in the event as a pre-service educator;</w:t>
      </w:r>
      <w:r w:rsidR="0077142F">
        <w:t xml:space="preserve"> and</w:t>
      </w:r>
      <w:r w:rsidR="00FC6C46">
        <w:t xml:space="preserve"> submitted </w:t>
      </w:r>
      <w:r w:rsidR="0077142F">
        <w:t>unambiguous</w:t>
      </w:r>
      <w:r w:rsidR="00FC6C46">
        <w:t xml:space="preserve"> documentation of their attendance and participation</w:t>
      </w:r>
      <w:r w:rsidR="0077142F">
        <w:t xml:space="preserve">. </w:t>
      </w:r>
      <w:r w:rsidR="00FC6C46">
        <w:t xml:space="preserve"> </w:t>
      </w:r>
      <w:r w:rsidR="0077142F">
        <w:t xml:space="preserve">The student has written a reflection that clearly and briefly describes the event; substantially and thoughtfully discusses their learning from the event in a way that exhibits nuance and personal uniqueness; explicitly links the learning experience to course texts and topics by naming and citing authors and </w:t>
      </w:r>
      <w:r w:rsidR="004E231C">
        <w:t xml:space="preserve">discussing </w:t>
      </w:r>
      <w:r w:rsidR="0077142F">
        <w:t xml:space="preserve">specific </w:t>
      </w:r>
      <w:r w:rsidR="00004FC9">
        <w:t>ideas from these authors</w:t>
      </w:r>
      <w:r w:rsidR="00F91B35">
        <w:t>; and meets or exceeds length requirements</w:t>
      </w:r>
      <w:r w:rsidR="00004FC9">
        <w:t>.</w:t>
      </w:r>
    </w:p>
    <w:p w14:paraId="0D216489" w14:textId="551A8C8C" w:rsidR="00E8438D" w:rsidRDefault="00E8438D" w:rsidP="005C4451"/>
    <w:p w14:paraId="768EBA36" w14:textId="7524E42D" w:rsidR="00E8438D" w:rsidRDefault="00E8438D" w:rsidP="005C4451">
      <w:r w:rsidRPr="00E377DB">
        <w:rPr>
          <w:b/>
        </w:rPr>
        <w:t>B</w:t>
      </w:r>
      <w:r w:rsidR="004E231C" w:rsidRPr="00E377DB">
        <w:rPr>
          <w:b/>
        </w:rPr>
        <w:t>:</w:t>
      </w:r>
      <w:r w:rsidR="004E231C">
        <w:t xml:space="preserve"> Student has: attended a meaningful and appropriate professional event, whether through a face-to-face or digital experience; participated in the event as a pre-service educator; and submitted documentation of their attendance and participation.  The student has written a reflection that clearly describes the event; thoughtfully discusses their learning from the event in a way that exhibits personal uniqueness; links the learning experience to course texts and topics by naming authors and their ideas</w:t>
      </w:r>
      <w:r w:rsidR="00F91B35">
        <w:t>;</w:t>
      </w:r>
      <w:r w:rsidR="00F91B35" w:rsidRPr="00F91B35">
        <w:t xml:space="preserve"> </w:t>
      </w:r>
      <w:r w:rsidR="00F91B35">
        <w:t>and meets or exceeds length requirements</w:t>
      </w:r>
      <w:r w:rsidR="004E231C">
        <w:t>. The reflection might lack the insightfulness, precision, originality, or nuance or an A-level assignment.</w:t>
      </w:r>
    </w:p>
    <w:p w14:paraId="25BCB1AD" w14:textId="52F90394" w:rsidR="00E8438D" w:rsidRDefault="00E8438D" w:rsidP="005C4451"/>
    <w:p w14:paraId="360B146A" w14:textId="7C3FFE86" w:rsidR="00E8438D" w:rsidRDefault="00E8438D" w:rsidP="005C4451">
      <w:r w:rsidRPr="00E377DB">
        <w:rPr>
          <w:b/>
        </w:rPr>
        <w:t>C:</w:t>
      </w:r>
      <w:r>
        <w:t xml:space="preserve"> </w:t>
      </w:r>
      <w:r w:rsidR="004E231C">
        <w:t>Student has: attended an appropriate professional event, whether through a face-to-face or digital experience and submitted documentation of their attendance.  The student has written a reflection that describes the event; discusses their learning from the event; somewhat links the learning experience to course texts and topics by naming authors and their ideas</w:t>
      </w:r>
      <w:r w:rsidR="00F91B35">
        <w:t xml:space="preserve"> but only in a general or vague way; and meets length requirements</w:t>
      </w:r>
      <w:r w:rsidR="004E231C">
        <w:t>.</w:t>
      </w:r>
      <w:r w:rsidR="00F91B35">
        <w:t xml:space="preserve"> The discussion might exhibit some misunderstandings or distortions of key ideas from the event or course material. </w:t>
      </w:r>
    </w:p>
    <w:p w14:paraId="4227933A" w14:textId="3E7328DF" w:rsidR="00E8438D" w:rsidRDefault="00E8438D" w:rsidP="005C4451"/>
    <w:p w14:paraId="62F3DA09" w14:textId="74CF6125" w:rsidR="00E8438D" w:rsidRDefault="00E8438D" w:rsidP="005C4451">
      <w:r w:rsidRPr="00E377DB">
        <w:rPr>
          <w:b/>
        </w:rPr>
        <w:t>D:</w:t>
      </w:r>
      <w:r w:rsidR="00F91B35">
        <w:t xml:space="preserve"> Student has: attended a professional event, whether through a face-to-face or digital experience and submitted documentation of their attendance.  The student has written a reflection that attempts to describe the event but is potentially confusing or unclear; attempts to discuss their learning from the event but does so in a way where it is unclear what they actually learned; and fails to link the learning experience to course texts and topics or does so in ways that are inaccurate, distorted, or reflect significant misunderstandings of course materials. </w:t>
      </w:r>
      <w:r w:rsidR="00F91B35" w:rsidRPr="00ED020A">
        <w:t>A</w:t>
      </w:r>
      <w:r w:rsidR="00F91B35">
        <w:t xml:space="preserve">n assignment </w:t>
      </w:r>
      <w:r w:rsidR="00F91B35" w:rsidRPr="00ED020A">
        <w:t xml:space="preserve">that is noticeably (but not considerably) shorter than the assigned length or does not make a </w:t>
      </w:r>
      <w:r w:rsidR="00F91B35">
        <w:t xml:space="preserve">clearly </w:t>
      </w:r>
      <w:r w:rsidR="00F91B35" w:rsidRPr="00ED020A">
        <w:t xml:space="preserve">discernible point is also a D-level </w:t>
      </w:r>
      <w:r w:rsidR="00F91B35">
        <w:t>assignment.</w:t>
      </w:r>
    </w:p>
    <w:p w14:paraId="3BDE85F2" w14:textId="76669FD9" w:rsidR="00E8438D" w:rsidRDefault="00E8438D" w:rsidP="005C4451"/>
    <w:p w14:paraId="7777A793" w14:textId="77777777" w:rsidR="00E8438D" w:rsidRDefault="00E8438D" w:rsidP="005C4451"/>
    <w:p w14:paraId="5C107C6F" w14:textId="77777777" w:rsidR="00E8438D" w:rsidRDefault="00E8438D">
      <w:pPr>
        <w:rPr>
          <w:b/>
        </w:rPr>
      </w:pPr>
      <w:r>
        <w:rPr>
          <w:b/>
        </w:rPr>
        <w:br w:type="page"/>
      </w:r>
    </w:p>
    <w:p w14:paraId="75F8F190" w14:textId="5B580DA6" w:rsidR="005C4451" w:rsidRPr="00354EE2" w:rsidRDefault="005C4451" w:rsidP="005C4451">
      <w:pPr>
        <w:rPr>
          <w:b/>
        </w:rPr>
      </w:pPr>
      <w:r w:rsidRPr="00354EE2">
        <w:rPr>
          <w:b/>
        </w:rPr>
        <w:lastRenderedPageBreak/>
        <w:t>Weekly Discussion Posts</w:t>
      </w:r>
      <w:r w:rsidR="0074154E">
        <w:rPr>
          <w:b/>
        </w:rPr>
        <w:t xml:space="preserve"> (20%) </w:t>
      </w:r>
      <w:r w:rsidR="004C0EF3">
        <w:rPr>
          <w:b/>
        </w:rPr>
        <w:t>–</w:t>
      </w:r>
      <w:r w:rsidR="0074154E">
        <w:rPr>
          <w:b/>
        </w:rPr>
        <w:t xml:space="preserve"> </w:t>
      </w:r>
      <w:r w:rsidR="004C0EF3">
        <w:rPr>
          <w:b/>
        </w:rPr>
        <w:t>Due weekly throughout the semester</w:t>
      </w:r>
    </w:p>
    <w:p w14:paraId="0156B47B" w14:textId="5CC69961" w:rsidR="00354EE2" w:rsidRDefault="00354EE2" w:rsidP="005C4451"/>
    <w:p w14:paraId="6E1BF802" w14:textId="26F3FD26" w:rsidR="007B4DD3" w:rsidRDefault="007B4DD3" w:rsidP="005C4451">
      <w:r>
        <w:t xml:space="preserve">Responding to and discussing course texts is the central learning opportunity for our course. </w:t>
      </w:r>
      <w:r w:rsidR="00D439B6">
        <w:t>To help you be an active reader, engage with texts, and practice important analytic skills, you will be posting a weekly discussion post and replying</w:t>
      </w:r>
      <w:r w:rsidR="0041549A">
        <w:t xml:space="preserve"> to your peers. This will help us collectively develop insights and extend our conversations beyond our classroom since we will only be meeting once per week.</w:t>
      </w:r>
    </w:p>
    <w:p w14:paraId="79435AA4" w14:textId="5D48C532" w:rsidR="00CD6220" w:rsidRDefault="00CD6220" w:rsidP="005C4451"/>
    <w:p w14:paraId="765C4B53" w14:textId="43B78884" w:rsidR="00A4015B" w:rsidRDefault="00CD6220" w:rsidP="005C4451">
      <w:r>
        <w:t>Each week, you will be</w:t>
      </w:r>
      <w:r w:rsidR="00A4015B">
        <w:t xml:space="preserve"> group with a total of 3-4 students. Group member assignments will be posted weekly. </w:t>
      </w:r>
      <w:r w:rsidR="008435C1">
        <w:t>The minimum requirements are as follows:</w:t>
      </w:r>
    </w:p>
    <w:p w14:paraId="72FD1ACC" w14:textId="72FA050F" w:rsidR="008435C1" w:rsidRDefault="008435C1" w:rsidP="005C4451"/>
    <w:p w14:paraId="29691559" w14:textId="6BA88E2B" w:rsidR="007E5A0F" w:rsidRPr="006A72EE" w:rsidRDefault="008435C1" w:rsidP="008435C1">
      <w:pPr>
        <w:pStyle w:val="ListParagraph"/>
        <w:numPr>
          <w:ilvl w:val="0"/>
          <w:numId w:val="7"/>
        </w:numPr>
      </w:pPr>
      <w:r>
        <w:t xml:space="preserve">You are expected to draft an original discussion post no later than </w:t>
      </w:r>
      <w:r w:rsidRPr="00893F09">
        <w:rPr>
          <w:u w:val="single"/>
        </w:rPr>
        <w:t>Tuesday by noon of each week</w:t>
      </w:r>
      <w:r>
        <w:t xml:space="preserve">. This original post is an opportunity for you to begin to articulate your ideas about the topics covered in </w:t>
      </w:r>
      <w:r w:rsidR="00E10744">
        <w:t xml:space="preserve">the course. </w:t>
      </w:r>
      <w:r w:rsidR="00E17CFA">
        <w:t>At the core of your writing</w:t>
      </w:r>
      <w:r w:rsidR="007E5A0F" w:rsidRPr="007E5A0F">
        <w:t xml:space="preserve">, you might ask yourself: what do these texts have to do with each other and me? </w:t>
      </w:r>
      <w:r w:rsidR="00E10744">
        <w:t xml:space="preserve">You will post a </w:t>
      </w:r>
      <w:r w:rsidR="00E10744" w:rsidRPr="00E17CFA">
        <w:rPr>
          <w:u w:val="single"/>
        </w:rPr>
        <w:t xml:space="preserve">600+ word response </w:t>
      </w:r>
      <w:r w:rsidR="00E10744">
        <w:t>engaging with the readings for that week</w:t>
      </w:r>
      <w:r w:rsidR="006D5130">
        <w:t xml:space="preserve"> by analyzing and synthesizing, NOT summarizing, the texts</w:t>
      </w:r>
      <w:r w:rsidR="00E10744">
        <w:t>. For each week’s post, you should be engaging with all of the readings, not some, assigned for that week.</w:t>
      </w:r>
      <w:r w:rsidR="007E5A0F">
        <w:t xml:space="preserve"> In doing so, you should identify 1-2 key or unifying concerns presented through the readings. When discussing texts, you should do so through putting the authors’ perspectives in conversation with one another (and your own ideas) and citing relevant direct quotes from the texts to illustrate or substantiate the issue. You must include </w:t>
      </w:r>
      <w:r w:rsidR="007E5A0F" w:rsidRPr="00E17CFA">
        <w:rPr>
          <w:u w:val="single"/>
        </w:rPr>
        <w:t>at least 2 quotes from the week’s readings</w:t>
      </w:r>
      <w:r w:rsidR="007E5A0F">
        <w:t xml:space="preserve">. Furthermore, you must explicitly </w:t>
      </w:r>
      <w:r w:rsidR="007E5A0F" w:rsidRPr="006A72EE">
        <w:t xml:space="preserve">discuss and explain connections between the current week’s reading and </w:t>
      </w:r>
      <w:r w:rsidR="007E5A0F" w:rsidRPr="00E17CFA">
        <w:rPr>
          <w:u w:val="single"/>
        </w:rPr>
        <w:t>a text from a previous week</w:t>
      </w:r>
      <w:r w:rsidR="007E5A0F" w:rsidRPr="006A72EE">
        <w:t>.</w:t>
      </w:r>
      <w:r w:rsidR="006D5130" w:rsidRPr="006A72EE">
        <w:t xml:space="preserve"> At the end of your post, </w:t>
      </w:r>
      <w:r w:rsidR="006D5130" w:rsidRPr="00E17CFA">
        <w:rPr>
          <w:u w:val="single"/>
        </w:rPr>
        <w:t>include the word count</w:t>
      </w:r>
      <w:r w:rsidR="006D5130" w:rsidRPr="006A72EE">
        <w:t>.</w:t>
      </w:r>
    </w:p>
    <w:p w14:paraId="1F5EA152" w14:textId="77777777" w:rsidR="006D5130" w:rsidRPr="006A72EE" w:rsidRDefault="006D5130" w:rsidP="006D5130"/>
    <w:p w14:paraId="5CBCC645" w14:textId="587BD23D" w:rsidR="00893F09" w:rsidRPr="006A72EE" w:rsidRDefault="00893F09" w:rsidP="00832032">
      <w:pPr>
        <w:pStyle w:val="ListParagraph"/>
        <w:numPr>
          <w:ilvl w:val="0"/>
          <w:numId w:val="7"/>
        </w:numPr>
      </w:pPr>
      <w:r w:rsidRPr="006A72EE">
        <w:t xml:space="preserve">You are then expected to </w:t>
      </w:r>
      <w:r w:rsidR="006D5130" w:rsidRPr="006A72EE">
        <w:t xml:space="preserve">reply to EACH of your small group members by </w:t>
      </w:r>
      <w:r w:rsidR="006D5130" w:rsidRPr="00BE5E6D">
        <w:rPr>
          <w:u w:val="single"/>
        </w:rPr>
        <w:t>Wednesday by midnight</w:t>
      </w:r>
      <w:r w:rsidR="006D5130" w:rsidRPr="006A72EE">
        <w:t xml:space="preserve">. Your replies should </w:t>
      </w:r>
      <w:r w:rsidR="006D5130" w:rsidRPr="00E17CFA">
        <w:rPr>
          <w:u w:val="single"/>
        </w:rPr>
        <w:t>be 150+ words</w:t>
      </w:r>
      <w:r w:rsidR="006D5130" w:rsidRPr="006A72EE">
        <w:t>. This extending post will build (and not merely compliment or state disagreement) upon the original post</w:t>
      </w:r>
      <w:r w:rsidR="006A72EE">
        <w:t>. In doing so, you should still utilize concrete details and evidence from the readings to support your perspectives</w:t>
      </w:r>
      <w:r w:rsidR="00E17CFA">
        <w:t>, such as by using direct quotes</w:t>
      </w:r>
      <w:r w:rsidR="006A72EE">
        <w:t>. Some approaches for replies include but aren’t limited to</w:t>
      </w:r>
      <w:r w:rsidR="006D5130" w:rsidRPr="006A72EE">
        <w:t>:</w:t>
      </w:r>
    </w:p>
    <w:p w14:paraId="1BA71B18" w14:textId="4564068E" w:rsidR="007E5A0F" w:rsidRPr="006A72EE" w:rsidRDefault="007E5A0F" w:rsidP="00832032"/>
    <w:p w14:paraId="3ED7C9CA" w14:textId="4091A499" w:rsidR="00832032" w:rsidRPr="006A72EE" w:rsidRDefault="00832032" w:rsidP="00832032">
      <w:pPr>
        <w:numPr>
          <w:ilvl w:val="0"/>
          <w:numId w:val="10"/>
        </w:numPr>
      </w:pPr>
      <w:r w:rsidRPr="006A72EE">
        <w:t>Comparing and contrasting their insights with your own learning.</w:t>
      </w:r>
    </w:p>
    <w:p w14:paraId="77651143" w14:textId="657AA661" w:rsidR="00832032" w:rsidRPr="006A72EE" w:rsidRDefault="00832032" w:rsidP="00832032">
      <w:pPr>
        <w:numPr>
          <w:ilvl w:val="0"/>
          <w:numId w:val="10"/>
        </w:numPr>
      </w:pPr>
      <w:r w:rsidRPr="006A72EE">
        <w:t xml:space="preserve">Offering alternative insights or ideas based on your interpretation of the readings. </w:t>
      </w:r>
    </w:p>
    <w:p w14:paraId="7F92DF68" w14:textId="77777777" w:rsidR="00832032" w:rsidRPr="006A72EE" w:rsidRDefault="00832032" w:rsidP="00832032">
      <w:pPr>
        <w:numPr>
          <w:ilvl w:val="0"/>
          <w:numId w:val="10"/>
        </w:numPr>
      </w:pPr>
      <w:r w:rsidRPr="006A72EE">
        <w:t xml:space="preserve">Suggesting potential ways to make sense of the things that don’t make sense, are frustrating, etc. </w:t>
      </w:r>
    </w:p>
    <w:p w14:paraId="4BC2022E" w14:textId="65A4D52C" w:rsidR="00CD6220" w:rsidRPr="006A72EE" w:rsidRDefault="00832032" w:rsidP="00832032">
      <w:pPr>
        <w:numPr>
          <w:ilvl w:val="0"/>
          <w:numId w:val="10"/>
        </w:numPr>
      </w:pPr>
      <w:r w:rsidRPr="006A72EE">
        <w:t>Engaging substantively with the original person’s post in a way that is productive and generous</w:t>
      </w:r>
      <w:r w:rsidR="00CD6220" w:rsidRPr="006A72EE">
        <w:t xml:space="preserve"> expected to post a unique, original discussion post</w:t>
      </w:r>
      <w:r w:rsidR="00A4015B" w:rsidRPr="006A72EE">
        <w:t>.</w:t>
      </w:r>
    </w:p>
    <w:p w14:paraId="1F926B71" w14:textId="681192CA" w:rsidR="00CD6220" w:rsidRPr="006A72EE" w:rsidRDefault="00CD6220" w:rsidP="00832032"/>
    <w:p w14:paraId="05393E35" w14:textId="4F3CE7C9" w:rsidR="00832032" w:rsidRPr="006A72EE" w:rsidRDefault="00832032" w:rsidP="00832032">
      <w:r w:rsidRPr="006A72EE">
        <w:t>Some elements to avoid in your posts:</w:t>
      </w:r>
    </w:p>
    <w:p w14:paraId="6E94E4FB" w14:textId="77777777" w:rsidR="00832032" w:rsidRDefault="00832032" w:rsidP="00832032"/>
    <w:p w14:paraId="7A296950" w14:textId="77777777" w:rsidR="00832032" w:rsidRPr="00832032" w:rsidRDefault="00832032" w:rsidP="00832032">
      <w:r w:rsidRPr="00832032">
        <w:t>1. Summary for summary’s sake (retelling plot)</w:t>
      </w:r>
      <w:r w:rsidRPr="00832032">
        <w:rPr>
          <w:rFonts w:ascii="MS Mincho" w:eastAsia="MS Mincho" w:hAnsi="MS Mincho" w:cs="MS Mincho" w:hint="eastAsia"/>
        </w:rPr>
        <w:t> </w:t>
      </w:r>
    </w:p>
    <w:p w14:paraId="21BA1A2D" w14:textId="461E9663" w:rsidR="00832032" w:rsidRPr="00832032" w:rsidRDefault="00832032" w:rsidP="00832032">
      <w:r w:rsidRPr="00832032">
        <w:t>2. Evaluation</w:t>
      </w:r>
      <w:r w:rsidR="00E17CFA">
        <w:t xml:space="preserve"> of whether or not you liked the book</w:t>
      </w:r>
      <w:r w:rsidRPr="00832032">
        <w:t xml:space="preserve"> (“This book is great because...”)</w:t>
      </w:r>
    </w:p>
    <w:p w14:paraId="7B8AEA6A" w14:textId="7EFDB0F5" w:rsidR="00832032" w:rsidRPr="00832032" w:rsidRDefault="00832032" w:rsidP="00832032">
      <w:r w:rsidRPr="00832032">
        <w:t>3. Opinion (“I believe/I think/I feel</w:t>
      </w:r>
      <w:r>
        <w:t>”)</w:t>
      </w:r>
    </w:p>
    <w:p w14:paraId="1B4FDBF2" w14:textId="77777777" w:rsidR="00832032" w:rsidRPr="00832032" w:rsidRDefault="00832032" w:rsidP="00832032">
      <w:r w:rsidRPr="00832032">
        <w:t xml:space="preserve">4. Appropriateness (“The book shows teens drinking, which is not appropriate behavior, so...”) </w:t>
      </w:r>
    </w:p>
    <w:p w14:paraId="61B59B11" w14:textId="77777777" w:rsidR="00832032" w:rsidRPr="00832032" w:rsidRDefault="00832032" w:rsidP="00832032">
      <w:r w:rsidRPr="00832032">
        <w:lastRenderedPageBreak/>
        <w:t xml:space="preserve">5. Generalizations (“The novel is too complicated for teens” or “Boys will be boys” or “Teens are self-centered.”) </w:t>
      </w:r>
    </w:p>
    <w:p w14:paraId="799592B0" w14:textId="201B6B10" w:rsidR="00832032" w:rsidRDefault="00832032" w:rsidP="00832032"/>
    <w:p w14:paraId="56E711C3" w14:textId="79A15495" w:rsidR="00ED020A" w:rsidRDefault="00ED020A" w:rsidP="00832032"/>
    <w:p w14:paraId="79026A0F" w14:textId="389F4130" w:rsidR="00ED020A" w:rsidRPr="00ED020A" w:rsidRDefault="00ED020A" w:rsidP="00ED020A">
      <w:pPr>
        <w:rPr>
          <w:rFonts w:ascii="MS Mincho" w:eastAsia="MS Mincho" w:hAnsi="MS Mincho" w:cs="MS Mincho"/>
          <w:bCs/>
        </w:rPr>
      </w:pPr>
      <w:r w:rsidRPr="00ED020A">
        <w:rPr>
          <w:bCs/>
          <w:u w:val="single"/>
        </w:rPr>
        <w:t xml:space="preserve">Grading Rubric for </w:t>
      </w:r>
      <w:r>
        <w:rPr>
          <w:bCs/>
          <w:u w:val="single"/>
        </w:rPr>
        <w:t xml:space="preserve">Original </w:t>
      </w:r>
      <w:r w:rsidRPr="00ED020A">
        <w:rPr>
          <w:bCs/>
          <w:u w:val="single"/>
        </w:rPr>
        <w:t xml:space="preserve">Discussion and Peer </w:t>
      </w:r>
      <w:r>
        <w:rPr>
          <w:bCs/>
          <w:u w:val="single"/>
        </w:rPr>
        <w:t>Reply</w:t>
      </w:r>
      <w:r w:rsidRPr="00ED020A">
        <w:rPr>
          <w:bCs/>
          <w:u w:val="single"/>
        </w:rPr>
        <w:t xml:space="preserve"> Posts</w:t>
      </w:r>
      <w:r>
        <w:rPr>
          <w:bCs/>
        </w:rPr>
        <w:t>:</w:t>
      </w:r>
    </w:p>
    <w:p w14:paraId="0D613BAF" w14:textId="77777777" w:rsidR="00ED020A" w:rsidRPr="00ED020A" w:rsidRDefault="00ED020A" w:rsidP="00ED020A">
      <w:pPr>
        <w:rPr>
          <w:bCs/>
        </w:rPr>
      </w:pPr>
    </w:p>
    <w:p w14:paraId="6CABB270" w14:textId="5912C42A" w:rsidR="00ED020A" w:rsidRDefault="00ED020A" w:rsidP="00ED020A">
      <w:pPr>
        <w:rPr>
          <w:rFonts w:ascii="MS Mincho" w:eastAsia="MS Mincho" w:hAnsi="MS Mincho" w:cs="MS Mincho"/>
        </w:rPr>
      </w:pPr>
      <w:r w:rsidRPr="00ED020A">
        <w:rPr>
          <w:b/>
          <w:bCs/>
        </w:rPr>
        <w:t xml:space="preserve">A: </w:t>
      </w:r>
      <w:r w:rsidRPr="00ED020A">
        <w:t>A great post: is creative and surprising with ideas that move way beyond the obvious</w:t>
      </w:r>
      <w:r w:rsidR="00967D1A">
        <w:t xml:space="preserve">, </w:t>
      </w:r>
      <w:r w:rsidRPr="00ED020A">
        <w:t>literal</w:t>
      </w:r>
      <w:r w:rsidR="00967D1A">
        <w:t xml:space="preserve">, </w:t>
      </w:r>
      <w:r w:rsidRPr="00ED020A">
        <w:t>typical</w:t>
      </w:r>
      <w:r w:rsidR="00967D1A">
        <w:t>, or expected</w:t>
      </w:r>
      <w:r w:rsidRPr="00ED020A">
        <w:t xml:space="preserve"> while still clearly growing out of </w:t>
      </w:r>
      <w:r>
        <w:t>course materials and topics</w:t>
      </w:r>
      <w:r w:rsidR="001051A6">
        <w:t xml:space="preserve"> in ways that address the prompt</w:t>
      </w:r>
      <w:r w:rsidRPr="00ED020A">
        <w:t xml:space="preserve">; is organized and coherent with very few mechanical errors; uses an abundance of direct quotations that are cited, text-based forms of evidence from the texts under consideration--the general (paraphrasing) and the specific (quotations)--to directly support points; </w:t>
      </w:r>
      <w:r w:rsidR="001051A6">
        <w:t xml:space="preserve">substantially discusses a text from a previous week; </w:t>
      </w:r>
      <w:r w:rsidRPr="00ED020A">
        <w:t>directly and thoroughly explores ideas</w:t>
      </w:r>
      <w:r w:rsidR="001051A6">
        <w:t xml:space="preserve"> with depth, complexity, and nuance</w:t>
      </w:r>
      <w:r w:rsidRPr="00ED020A">
        <w:t>;</w:t>
      </w:r>
      <w:r w:rsidR="001051A6">
        <w:t xml:space="preserve"> focuses on a central idea (or two related ideas) to synthesize the materials;</w:t>
      </w:r>
      <w:r w:rsidRPr="00ED020A">
        <w:t xml:space="preserve"> meets or exceeds </w:t>
      </w:r>
      <w:r>
        <w:t>word count</w:t>
      </w:r>
      <w:r w:rsidRPr="00ED020A">
        <w:t xml:space="preserve"> minimum requirement.</w:t>
      </w:r>
      <w:r w:rsidRPr="00ED020A">
        <w:rPr>
          <w:rFonts w:ascii="MS Mincho" w:eastAsia="MS Mincho" w:hAnsi="MS Mincho" w:cs="MS Mincho" w:hint="eastAsia"/>
        </w:rPr>
        <w:t> </w:t>
      </w:r>
    </w:p>
    <w:p w14:paraId="6541EF17" w14:textId="77777777" w:rsidR="00967D1A" w:rsidRPr="00ED020A" w:rsidRDefault="00967D1A" w:rsidP="00ED020A"/>
    <w:p w14:paraId="11E96F99" w14:textId="5CDA621D" w:rsidR="00ED020A" w:rsidRDefault="00ED020A" w:rsidP="00ED020A">
      <w:r w:rsidRPr="00ED020A">
        <w:rPr>
          <w:b/>
          <w:bCs/>
        </w:rPr>
        <w:t xml:space="preserve">B: </w:t>
      </w:r>
      <w:r w:rsidRPr="00ED020A">
        <w:t xml:space="preserve">A good post: reflects good ideas that move beyond the obvious and literal while still clearly growing </w:t>
      </w:r>
      <w:r w:rsidR="001051A6" w:rsidRPr="00ED020A">
        <w:t xml:space="preserve">out of </w:t>
      </w:r>
      <w:r w:rsidR="001051A6">
        <w:t>course materials and topics in ways that address the prompt</w:t>
      </w:r>
      <w:r w:rsidRPr="00ED020A">
        <w:t xml:space="preserve">; is an organized, coherent </w:t>
      </w:r>
      <w:r w:rsidR="001051A6">
        <w:t>piece of writing</w:t>
      </w:r>
      <w:r w:rsidRPr="00ED020A">
        <w:t xml:space="preserve"> with no distracting mechanical errors; uses text based evidence to support points, though perhaps more generally and/or less effectively than </w:t>
      </w:r>
      <w:r w:rsidR="001051A6">
        <w:t xml:space="preserve">an </w:t>
      </w:r>
      <w:r w:rsidRPr="00ED020A">
        <w:t xml:space="preserve">A-rated post; </w:t>
      </w:r>
      <w:r w:rsidR="001051A6">
        <w:t xml:space="preserve">discusses a text from a previous week; </w:t>
      </w:r>
      <w:r w:rsidRPr="00ED020A">
        <w:t xml:space="preserve">directly explores ideas; </w:t>
      </w:r>
      <w:r w:rsidR="00E8438D">
        <w:t xml:space="preserve">mostly focuses on a central idea (or two related ideas) to synthesize the materials; </w:t>
      </w:r>
      <w:r w:rsidRPr="00ED020A">
        <w:t xml:space="preserve">meets or exceeds </w:t>
      </w:r>
      <w:r>
        <w:t>word count</w:t>
      </w:r>
      <w:r w:rsidRPr="00ED020A">
        <w:t xml:space="preserve"> minimum requirement.</w:t>
      </w:r>
    </w:p>
    <w:p w14:paraId="7069EB32" w14:textId="77777777" w:rsidR="00967D1A" w:rsidRPr="00ED020A" w:rsidRDefault="00967D1A" w:rsidP="00ED020A"/>
    <w:p w14:paraId="436AEC44" w14:textId="1ACD919E" w:rsidR="00ED020A" w:rsidRDefault="00ED020A" w:rsidP="00ED020A">
      <w:r w:rsidRPr="00ED020A">
        <w:rPr>
          <w:b/>
          <w:bCs/>
        </w:rPr>
        <w:t xml:space="preserve">C: </w:t>
      </w:r>
      <w:r w:rsidRPr="00ED020A">
        <w:t>An average post: is one in which ideas hardly move beyond the obvious or literal</w:t>
      </w:r>
      <w:r w:rsidR="00E8438D">
        <w:t xml:space="preserve"> or the writer rehashes, rather than extends, previous discussions from the class</w:t>
      </w:r>
      <w:r w:rsidRPr="00ED020A">
        <w:t xml:space="preserve">; the writer might demonstrate a general misunderstanding or misuse of course concepts, the prompt, and/or the </w:t>
      </w:r>
      <w:r w:rsidR="00E8438D">
        <w:t>text</w:t>
      </w:r>
      <w:r w:rsidRPr="00ED020A">
        <w:t xml:space="preserve"> itself; the post meanders rather than gets right to the argument; the writer satisfies the minimum </w:t>
      </w:r>
      <w:r>
        <w:t>word count</w:t>
      </w:r>
      <w:r w:rsidRPr="00ED020A">
        <w:t xml:space="preserve"> requirement, but overlooks essential points that shouldn't be ignored;</w:t>
      </w:r>
      <w:r w:rsidR="00E8438D">
        <w:t xml:space="preserve"> the writer only engages with texts on a general summary level rather than with specificity and precision;</w:t>
      </w:r>
      <w:r w:rsidRPr="00ED020A">
        <w:t xml:space="preserve"> </w:t>
      </w:r>
      <w:r w:rsidR="00E8438D">
        <w:t xml:space="preserve">the writer may or may not discuss a text from a previous week; </w:t>
      </w:r>
      <w:r w:rsidRPr="00ED020A">
        <w:t xml:space="preserve">the post </w:t>
      </w:r>
      <w:r w:rsidR="00E8438D">
        <w:t>lacks a clear central idea or two interrelated ideas that unify the post and synthesize the readings</w:t>
      </w:r>
      <w:r w:rsidRPr="00ED020A">
        <w:t>.</w:t>
      </w:r>
    </w:p>
    <w:p w14:paraId="4336AA18" w14:textId="77777777" w:rsidR="00967D1A" w:rsidRDefault="00967D1A" w:rsidP="00ED020A"/>
    <w:p w14:paraId="77F6C291" w14:textId="6B3C9973" w:rsidR="00ED020A" w:rsidRPr="00ED020A" w:rsidRDefault="00ED020A" w:rsidP="00ED020A">
      <w:r w:rsidRPr="00ED020A">
        <w:rPr>
          <w:b/>
          <w:bCs/>
        </w:rPr>
        <w:t>D</w:t>
      </w:r>
      <w:r w:rsidRPr="00ED020A">
        <w:t>: A below-average post. It is missing a main point or argument, it ignores or does not engage the intended audience, it is fraught with mechanical and grammatical errors, and/or does not indicate much thought, and/or is clearly working in a vacuum</w:t>
      </w:r>
      <w:r w:rsidR="00E8438D">
        <w:t xml:space="preserve"> with little relation to the assigned texts, course conversations, and previous weeks’ texts</w:t>
      </w:r>
      <w:r w:rsidRPr="00ED020A">
        <w:t xml:space="preserve">. A post that is noticeably (but not considerably) shorter than the assigned length or does not make a </w:t>
      </w:r>
      <w:r w:rsidR="00E8438D">
        <w:t xml:space="preserve">clearly </w:t>
      </w:r>
      <w:r w:rsidRPr="00ED020A">
        <w:t xml:space="preserve">discernible point is also a D-level post </w:t>
      </w:r>
    </w:p>
    <w:p w14:paraId="3D36C3CD" w14:textId="77777777" w:rsidR="00ED020A" w:rsidRDefault="00ED020A" w:rsidP="00832032"/>
    <w:p w14:paraId="6ED6168B" w14:textId="77777777" w:rsidR="00354EE2" w:rsidRDefault="00354EE2" w:rsidP="00832032"/>
    <w:p w14:paraId="6DDEA93E" w14:textId="77777777" w:rsidR="00E70C6A" w:rsidRDefault="00E70C6A">
      <w:pPr>
        <w:rPr>
          <w:b/>
        </w:rPr>
      </w:pPr>
      <w:r>
        <w:rPr>
          <w:b/>
        </w:rPr>
        <w:br w:type="page"/>
      </w:r>
    </w:p>
    <w:p w14:paraId="6A581021" w14:textId="7ED5DF26" w:rsidR="005C4451" w:rsidRPr="00354EE2" w:rsidRDefault="005C4451" w:rsidP="005C4451">
      <w:pPr>
        <w:rPr>
          <w:b/>
        </w:rPr>
      </w:pPr>
      <w:r w:rsidRPr="00354EE2">
        <w:rPr>
          <w:b/>
        </w:rPr>
        <w:lastRenderedPageBreak/>
        <w:t>Collaborative Work with Adolescent Readers</w:t>
      </w:r>
      <w:r w:rsidR="009E36DC">
        <w:rPr>
          <w:b/>
        </w:rPr>
        <w:t xml:space="preserve"> (10%)</w:t>
      </w:r>
    </w:p>
    <w:p w14:paraId="4F6FB4B4" w14:textId="62A56B1C" w:rsidR="005C4451" w:rsidRDefault="005C4451" w:rsidP="005C4451"/>
    <w:p w14:paraId="7F0B0CCD" w14:textId="69087C6E" w:rsidR="009E36DC" w:rsidRDefault="002453C1" w:rsidP="005C4451">
      <w:r>
        <w:t>The details of this assignment will unfold</w:t>
      </w:r>
      <w:r w:rsidR="009E36DC">
        <w:t xml:space="preserve"> during the semester in collaboration with a local classroom teacher.</w:t>
      </w:r>
      <w:r w:rsidR="00687108">
        <w:t xml:space="preserve"> </w:t>
      </w:r>
      <w:r>
        <w:t>Depending on how much this assignment grows, we might cancel other assignments to make room for your work here.</w:t>
      </w:r>
    </w:p>
    <w:p w14:paraId="158D96CB" w14:textId="73DE9B45" w:rsidR="00D4765A" w:rsidRDefault="00D4765A" w:rsidP="005C4451"/>
    <w:p w14:paraId="3DF7A8BE" w14:textId="6B2926A1" w:rsidR="00D4765A" w:rsidRDefault="00D4765A" w:rsidP="005C4451">
      <w:r>
        <w:t xml:space="preserve">Currently, you’ll likely be doing a few different activities to interact with middle school readers about </w:t>
      </w:r>
      <w:r>
        <w:rPr>
          <w:i/>
        </w:rPr>
        <w:t>The Hate U Give</w:t>
      </w:r>
      <w:r>
        <w:t xml:space="preserve"> or </w:t>
      </w:r>
      <w:r>
        <w:rPr>
          <w:i/>
        </w:rPr>
        <w:t>Dear Martin</w:t>
      </w:r>
      <w:r>
        <w:t>, such as:</w:t>
      </w:r>
    </w:p>
    <w:p w14:paraId="24BBEFBE" w14:textId="58E90C3C" w:rsidR="00D4765A" w:rsidRDefault="00D4765A" w:rsidP="005C4451"/>
    <w:p w14:paraId="7F874D2F" w14:textId="6D55F26C" w:rsidR="00D4765A" w:rsidRDefault="00D4765A" w:rsidP="00D4765A">
      <w:pPr>
        <w:pStyle w:val="ListParagraph"/>
        <w:numPr>
          <w:ilvl w:val="0"/>
          <w:numId w:val="16"/>
        </w:numPr>
      </w:pPr>
      <w:r>
        <w:t>Responding to youths’ writing about the texts;</w:t>
      </w:r>
    </w:p>
    <w:p w14:paraId="15420954" w14:textId="661B6A89" w:rsidR="00D4765A" w:rsidRDefault="00D4765A" w:rsidP="00D4765A">
      <w:pPr>
        <w:pStyle w:val="ListParagraph"/>
        <w:numPr>
          <w:ilvl w:val="0"/>
          <w:numId w:val="16"/>
        </w:numPr>
      </w:pPr>
      <w:r>
        <w:t>Gathering potential curricular resources for the students;</w:t>
      </w:r>
    </w:p>
    <w:p w14:paraId="44D2EB40" w14:textId="624E8E33" w:rsidR="00D4765A" w:rsidRPr="00D4765A" w:rsidRDefault="00D4765A" w:rsidP="00D4765A">
      <w:pPr>
        <w:pStyle w:val="ListParagraph"/>
        <w:numPr>
          <w:ilvl w:val="0"/>
          <w:numId w:val="16"/>
        </w:numPr>
      </w:pPr>
      <w:r>
        <w:t>Providing feedback to help shape their unit final projects and serving as an audience for these projects (they might be podcasts).</w:t>
      </w:r>
    </w:p>
    <w:p w14:paraId="0B743AC1" w14:textId="77777777" w:rsidR="005C4451" w:rsidRDefault="005C4451" w:rsidP="005C4451"/>
    <w:p w14:paraId="7AA7F46C" w14:textId="74048493" w:rsidR="00E70C6A" w:rsidRDefault="002453C1">
      <w:pPr>
        <w:rPr>
          <w:b/>
        </w:rPr>
      </w:pPr>
      <w:r>
        <w:t>More details to come!</w:t>
      </w:r>
      <w:r w:rsidR="00E70C6A">
        <w:rPr>
          <w:b/>
        </w:rPr>
        <w:br w:type="page"/>
      </w:r>
    </w:p>
    <w:p w14:paraId="04FEBE08" w14:textId="120F93DB" w:rsidR="005C4451" w:rsidRPr="00354EE2" w:rsidRDefault="005C4451" w:rsidP="005C4451">
      <w:pPr>
        <w:rPr>
          <w:b/>
        </w:rPr>
      </w:pPr>
      <w:r w:rsidRPr="00354EE2">
        <w:rPr>
          <w:b/>
        </w:rPr>
        <w:lastRenderedPageBreak/>
        <w:t>Teaching Demonstration, Lesson Plan, and “Thinking Behind the Planning”</w:t>
      </w:r>
      <w:r w:rsidR="009E36DC">
        <w:rPr>
          <w:b/>
        </w:rPr>
        <w:t xml:space="preserve"> (15%) – Due during the weeks of March 19-April 2 (depending on your group)</w:t>
      </w:r>
    </w:p>
    <w:p w14:paraId="75C6E23E" w14:textId="6D9ABE89" w:rsidR="00354EE2" w:rsidRDefault="00354EE2" w:rsidP="005C4451"/>
    <w:p w14:paraId="5669D04F" w14:textId="2241D904" w:rsidR="00AD351E" w:rsidRDefault="00AD351E" w:rsidP="005C4451">
      <w:r>
        <w:t>For this assignment, you will be working with a partner to plan and implement literature instruction in our classroom. You should think of this as teaching a mini-lesson rather than a full class lesson or entire unit since you will be teaching in a 12-15 minute block (not more, not less). For this assignment, you must do the following</w:t>
      </w:r>
      <w:r w:rsidR="00F54354">
        <w:t xml:space="preserve"> in collaboration with your partner(s)</w:t>
      </w:r>
      <w:r>
        <w:t>:</w:t>
      </w:r>
    </w:p>
    <w:p w14:paraId="110EE497" w14:textId="03641ED2" w:rsidR="00AD351E" w:rsidRDefault="00AD351E" w:rsidP="005C4451"/>
    <w:p w14:paraId="32FF06FA" w14:textId="5073E6B6" w:rsidR="00AD351E" w:rsidRDefault="00AD351E" w:rsidP="00AD351E">
      <w:pPr>
        <w:pStyle w:val="ListParagraph"/>
        <w:numPr>
          <w:ilvl w:val="0"/>
          <w:numId w:val="11"/>
        </w:numPr>
      </w:pPr>
      <w:r>
        <w:t>Use a portion of the young adult text the class will read for the da</w:t>
      </w:r>
      <w:r w:rsidR="00E87FC8">
        <w:t>y</w:t>
      </w:r>
      <w:r>
        <w:t xml:space="preserve"> of your teaching demonstration.</w:t>
      </w:r>
    </w:p>
    <w:p w14:paraId="0966B261" w14:textId="77777777" w:rsidR="00C24240" w:rsidRDefault="00C24240" w:rsidP="00C24240">
      <w:pPr>
        <w:pStyle w:val="ListParagraph"/>
      </w:pPr>
    </w:p>
    <w:p w14:paraId="7BBA2D3D" w14:textId="43D5FA0C" w:rsidR="00AD351E" w:rsidRDefault="00AD351E" w:rsidP="00AD351E">
      <w:pPr>
        <w:pStyle w:val="ListParagraph"/>
        <w:numPr>
          <w:ilvl w:val="0"/>
          <w:numId w:val="11"/>
        </w:numPr>
      </w:pPr>
      <w:r>
        <w:t xml:space="preserve">Support students in learning (i.e., teach) </w:t>
      </w:r>
      <w:r w:rsidR="002C540B">
        <w:t>ONE</w:t>
      </w:r>
      <w:r>
        <w:t xml:space="preserve"> skill that is part of the standard that you have been assigned (yes, I will be assigning you a state standard).</w:t>
      </w:r>
    </w:p>
    <w:p w14:paraId="02E66ACA" w14:textId="77777777" w:rsidR="00C24240" w:rsidRDefault="00C24240" w:rsidP="00C24240"/>
    <w:p w14:paraId="28C6B362" w14:textId="5A9F1E17" w:rsidR="00AD351E" w:rsidRDefault="002C540B" w:rsidP="00AD351E">
      <w:pPr>
        <w:pStyle w:val="ListParagraph"/>
        <w:numPr>
          <w:ilvl w:val="0"/>
          <w:numId w:val="11"/>
        </w:numPr>
      </w:pPr>
      <w:r>
        <w:t>Research potential instructional techniques and approaches for teaching your central skill and select a technique that is appropriate for the text, grade level, and skill/standard.</w:t>
      </w:r>
      <w:r w:rsidR="007040C0">
        <w:t xml:space="preserve"> You must select a new technique that is not already included in our course materials.</w:t>
      </w:r>
      <w:r w:rsidR="00F54354">
        <w:t xml:space="preserve"> (One purpose of this assignment is to share more literature instruction techniques with the class and for you to practice finding such techniques when planning.)</w:t>
      </w:r>
    </w:p>
    <w:p w14:paraId="2552302C" w14:textId="77777777" w:rsidR="00C24240" w:rsidRDefault="00C24240" w:rsidP="00C24240"/>
    <w:p w14:paraId="347E67CA" w14:textId="52DBFC8F" w:rsidR="008B3414" w:rsidRDefault="00F54354" w:rsidP="00AD351E">
      <w:pPr>
        <w:pStyle w:val="ListParagraph"/>
        <w:numPr>
          <w:ilvl w:val="0"/>
          <w:numId w:val="11"/>
        </w:numPr>
      </w:pPr>
      <w:r>
        <w:t>C</w:t>
      </w:r>
      <w:r w:rsidR="008B3414">
        <w:t>omplete a lesson plan (using the assigned template) and submit it to me at least one week prior to your teaching demonstration date.</w:t>
      </w:r>
      <w:r w:rsidR="00E87FC8">
        <w:t xml:space="preserve"> When you do so, you must </w:t>
      </w:r>
      <w:r w:rsidR="00C5714B">
        <w:t>submit ALL of the associated materials (such as a handout or PowerPoint).</w:t>
      </w:r>
      <w:r w:rsidR="008B3414">
        <w:t xml:space="preserve"> You must then meet with me before your teaching demonstration date to receive feedback</w:t>
      </w:r>
      <w:r w:rsidR="00247567">
        <w:t xml:space="preserve">. You should print out the rubric and complete it to assess your work, bringing the completed self-assessment to our meeting. Based on the feedback from me and your self-assessment, you must </w:t>
      </w:r>
      <w:r w:rsidR="008B3414">
        <w:t>make revisions</w:t>
      </w:r>
      <w:r w:rsidR="005867BC">
        <w:t xml:space="preserve"> (again, within the assigned template)</w:t>
      </w:r>
      <w:r w:rsidR="008B3414">
        <w:t>.</w:t>
      </w:r>
      <w:r w:rsidR="005867BC">
        <w:t xml:space="preserve"> In your final submission, use the “notes” function of Word to highlight places where you made revisions, explaining what changes you made and why in light of my feedback.</w:t>
      </w:r>
      <w:r w:rsidR="00A129E2">
        <w:t xml:space="preserve"> There should be at least 3 substantial revisions.</w:t>
      </w:r>
      <w:r w:rsidR="00E87FC8">
        <w:t xml:space="preserve"> You must submit your final revised lesson plan</w:t>
      </w:r>
      <w:r w:rsidR="00A326FF">
        <w:t xml:space="preserve"> with ALL of the associated materials (such as a handout or PowerPoint)</w:t>
      </w:r>
      <w:r w:rsidR="00E87FC8">
        <w:t xml:space="preserve"> before the start of class on the day of your teaching demonstration</w:t>
      </w:r>
      <w:r w:rsidR="00CE7904">
        <w:t>.</w:t>
      </w:r>
      <w:r w:rsidR="00C37E9C">
        <w:t xml:space="preserve"> You must also complete a self-assessment using the rubric.</w:t>
      </w:r>
    </w:p>
    <w:p w14:paraId="433E8277" w14:textId="77777777" w:rsidR="00C24240" w:rsidRDefault="00C24240" w:rsidP="00C24240"/>
    <w:p w14:paraId="658ECDB7" w14:textId="068EE683" w:rsidR="005867BC" w:rsidRDefault="00F54354" w:rsidP="00AD351E">
      <w:pPr>
        <w:pStyle w:val="ListParagraph"/>
        <w:numPr>
          <w:ilvl w:val="0"/>
          <w:numId w:val="11"/>
        </w:numPr>
      </w:pPr>
      <w:r>
        <w:t>C</w:t>
      </w:r>
      <w:r w:rsidR="00E87FC8">
        <w:t>omplete a “thinking behind the planning” document (using the assigned template).</w:t>
      </w:r>
      <w:r w:rsidR="00087D04">
        <w:t xml:space="preserve"> In this document, you will explain </w:t>
      </w:r>
      <w:r w:rsidR="005208D5">
        <w:t>and justify the instructional decisions that you have made in your lesson plan. You will also ground your choices in educational theory and research.</w:t>
      </w:r>
      <w:r w:rsidR="00FA260D">
        <w:t xml:space="preserve"> You must submit </w:t>
      </w:r>
      <w:r w:rsidR="00B0080F">
        <w:t>this document before the start of class on the day of your teaching demonstration.</w:t>
      </w:r>
    </w:p>
    <w:p w14:paraId="03F98301" w14:textId="77777777" w:rsidR="001A2927" w:rsidRDefault="001A2927" w:rsidP="001A2927">
      <w:pPr>
        <w:pStyle w:val="ListParagraph"/>
      </w:pPr>
    </w:p>
    <w:p w14:paraId="332DED68" w14:textId="48572DAC" w:rsidR="001A2927" w:rsidRDefault="001A2927" w:rsidP="00AD351E">
      <w:pPr>
        <w:pStyle w:val="ListParagraph"/>
        <w:numPr>
          <w:ilvl w:val="0"/>
          <w:numId w:val="11"/>
        </w:numPr>
      </w:pPr>
      <w:r>
        <w:t>Teach your lesson to our class. You will teach the class “as if” they are, for example, 9</w:t>
      </w:r>
      <w:r w:rsidRPr="001A2927">
        <w:rPr>
          <w:vertAlign w:val="superscript"/>
        </w:rPr>
        <w:t>th</w:t>
      </w:r>
      <w:r>
        <w:t xml:space="preserve"> grade ELA students (or whatever grade level you are assigned based on your standard).</w:t>
      </w:r>
      <w:r w:rsidR="00C945A5">
        <w:t xml:space="preserve"> So you will teach the class in the same exact way you would a group of 9</w:t>
      </w:r>
      <w:r w:rsidR="00C945A5" w:rsidRPr="00C945A5">
        <w:rPr>
          <w:vertAlign w:val="superscript"/>
        </w:rPr>
        <w:t>th</w:t>
      </w:r>
      <w:r w:rsidR="00C945A5">
        <w:t xml:space="preserve"> grade students, again as an example. </w:t>
      </w:r>
      <w:r w:rsidR="00A91AD3">
        <w:t>You will NOT teach the class by describing what you would do if you were in a 9</w:t>
      </w:r>
      <w:r w:rsidR="00A91AD3" w:rsidRPr="00A91AD3">
        <w:rPr>
          <w:vertAlign w:val="superscript"/>
        </w:rPr>
        <w:t>th</w:t>
      </w:r>
      <w:r w:rsidR="00A91AD3">
        <w:t xml:space="preserve"> grade classroom. </w:t>
      </w:r>
    </w:p>
    <w:p w14:paraId="0F01C9C9" w14:textId="52A6EDAC" w:rsidR="0018242F" w:rsidRDefault="0018242F" w:rsidP="0018242F"/>
    <w:p w14:paraId="76EFEE6D" w14:textId="77777777" w:rsidR="005E31F2" w:rsidRDefault="005E31F2">
      <w:pPr>
        <w:rPr>
          <w:b/>
        </w:rPr>
      </w:pPr>
      <w:r>
        <w:rPr>
          <w:b/>
        </w:rPr>
        <w:br w:type="page"/>
      </w:r>
    </w:p>
    <w:p w14:paraId="3BCCEA0F" w14:textId="7802C193" w:rsidR="005C4451" w:rsidRPr="00354EE2" w:rsidRDefault="005C4451" w:rsidP="005C4451">
      <w:pPr>
        <w:rPr>
          <w:b/>
        </w:rPr>
      </w:pPr>
      <w:r w:rsidRPr="00354EE2">
        <w:rPr>
          <w:b/>
        </w:rPr>
        <w:lastRenderedPageBreak/>
        <w:t>Classroom Library Assignment</w:t>
      </w:r>
      <w:r w:rsidR="00E70C6A">
        <w:rPr>
          <w:b/>
        </w:rPr>
        <w:t xml:space="preserve"> (10%) – </w:t>
      </w:r>
      <w:r w:rsidR="00181C13">
        <w:rPr>
          <w:b/>
        </w:rPr>
        <w:t>Rough draft due Feb 12; Final due Feb 26</w:t>
      </w:r>
      <w:r w:rsidR="00E70C6A">
        <w:rPr>
          <w:b/>
        </w:rPr>
        <w:t xml:space="preserve"> </w:t>
      </w:r>
    </w:p>
    <w:p w14:paraId="02F84B54" w14:textId="238D7174" w:rsidR="00354EE2" w:rsidRDefault="00354EE2" w:rsidP="005C4451"/>
    <w:p w14:paraId="04462338" w14:textId="3F0B2ABF" w:rsidR="005E31F2" w:rsidRDefault="0076670D" w:rsidP="005C4451">
      <w:r>
        <w:t xml:space="preserve">As Kate Roberts helps us understand, reading teachers </w:t>
      </w:r>
      <w:r w:rsidR="00965748">
        <w:t>have an important role in that they need to</w:t>
      </w:r>
      <w:r>
        <w:t xml:space="preserve"> connect students with </w:t>
      </w:r>
      <w:r w:rsidR="00ED4A0F">
        <w:t xml:space="preserve">books that will be engaging yet challenging avenues for them to learn about literacy and the world. </w:t>
      </w:r>
      <w:r w:rsidR="00226DB6">
        <w:t>As Roberts highlights, t</w:t>
      </w:r>
      <w:r w:rsidR="00ED4A0F">
        <w:t>his requires that educators look beyond “the usual suspects” and their own favorites in order to select the texts that their students need, a perspective that centers students instead of teachers.</w:t>
      </w:r>
      <w:r w:rsidR="00C6347B">
        <w:t xml:space="preserve"> However, unless teachers are familiar with a wide-range of texts, they will struggle to </w:t>
      </w:r>
      <w:r w:rsidR="008847C1">
        <w:t>identify</w:t>
      </w:r>
      <w:r w:rsidR="00C6347B">
        <w:t xml:space="preserve"> engaging, challenging texts that support </w:t>
      </w:r>
      <w:r w:rsidR="008847C1">
        <w:t xml:space="preserve">their students’ </w:t>
      </w:r>
      <w:r w:rsidR="00C6347B">
        <w:t xml:space="preserve">learning. </w:t>
      </w:r>
    </w:p>
    <w:p w14:paraId="4E8A8B4A" w14:textId="340E7EDC" w:rsidR="00DF00A7" w:rsidRDefault="00DF00A7" w:rsidP="005C4451"/>
    <w:p w14:paraId="1BA0C1B1" w14:textId="01426D50" w:rsidR="00DF00A7" w:rsidRDefault="00DF00A7" w:rsidP="005C4451">
      <w:r>
        <w:t>For this assignment, you will be putting together a proposal for a classroom library purchase. Imagine that you are a secondary ELA teacher preparing for the new school year. Your principal tells you that you’ll receive some additional funds to help you support students’ literacy learning by promoting independent reading. You’ll have enough funds to purchase 10 books for your classroom library. Your principal wants you to submit a list of the texts and a justification for use and inclusion of each text.</w:t>
      </w:r>
      <w:r w:rsidR="00BC5B28">
        <w:t xml:space="preserve"> Once you submit your 10 titles, you’ll receive 5 copies of each book. You’ll need to make sure that you choose compelling books to get your students excited about and invested in reading!</w:t>
      </w:r>
    </w:p>
    <w:p w14:paraId="29DF9E9B" w14:textId="77777777" w:rsidR="00DF00A7" w:rsidRDefault="00DF00A7" w:rsidP="005C4451"/>
    <w:p w14:paraId="2B2583C2" w14:textId="7D234F63" w:rsidR="00DF00A7" w:rsidRDefault="00DF00A7" w:rsidP="005C4451">
      <w:r>
        <w:t xml:space="preserve">For the rationale for each of the 10 books, you’ll need to draw on Roberts’ four criteria outlined in chapter 3: engagement, skills, diversity, and difficulty. (See the key questions on page 42 and the discussion of each criterion on pages 42-50.) </w:t>
      </w:r>
      <w:r w:rsidR="00F371A8">
        <w:t xml:space="preserve">You can also draw on other texts from or beyond our course if they are helpful to you. </w:t>
      </w:r>
      <w:r>
        <w:t>Each justification should be 2</w:t>
      </w:r>
      <w:r w:rsidR="00F371A8">
        <w:t>0</w:t>
      </w:r>
      <w:r>
        <w:t>0-400 words in length</w:t>
      </w:r>
      <w:r w:rsidR="00E838DA">
        <w:t xml:space="preserve"> and explain for each text how, when, and why you would use it with a reader</w:t>
      </w:r>
      <w:r>
        <w:t>.</w:t>
      </w:r>
      <w:r w:rsidR="001C2627">
        <w:t xml:space="preserve"> </w:t>
      </w:r>
      <w:r w:rsidR="00F371A8">
        <w:t xml:space="preserve">At the beginning of your </w:t>
      </w:r>
      <w:r w:rsidR="00E838DA">
        <w:t>proposal</w:t>
      </w:r>
      <w:r w:rsidR="00F371A8">
        <w:t>, you’ll need an overall justification explaining what you’re trying to accomplish with your library choices (again, approximately 200-400 words in length). This should come at the beginning of your proposal. Then, list each book with a bibliographical entry (APA or MLA style) and your rationale</w:t>
      </w:r>
      <w:r w:rsidR="00210383">
        <w:t xml:space="preserve"> for that book</w:t>
      </w:r>
      <w:r w:rsidR="00F371A8">
        <w:t>.</w:t>
      </w:r>
      <w:r w:rsidR="00210383">
        <w:t xml:space="preserve"> You’ll have 10 total books, with an individual justification each (so 11 total rationales, 1 for your overall classroom library and 10 for the books).</w:t>
      </w:r>
      <w:r w:rsidR="00DC50C5">
        <w:t xml:space="preserve"> When you submit your final document, you must complete a</w:t>
      </w:r>
      <w:r w:rsidR="00F50AB3">
        <w:t xml:space="preserve"> self-assessment of your work using the rubric.</w:t>
      </w:r>
    </w:p>
    <w:p w14:paraId="406BB521" w14:textId="7F109990" w:rsidR="00DF00A7" w:rsidRDefault="00DF00A7" w:rsidP="005C4451"/>
    <w:p w14:paraId="3AE01CB4" w14:textId="2DC31F39" w:rsidR="00DF00A7" w:rsidRDefault="00DF00A7" w:rsidP="005C4451">
      <w:r>
        <w:t xml:space="preserve">Please note that while you must be familiar with each of the 10 books and must have read at least a portion (I suggest a chapter) of each book, you don’t need to have read every book cover to cover. </w:t>
      </w:r>
      <w:r w:rsidR="00BC5B28">
        <w:t xml:space="preserve">Instead, you’ll need to peruse and explore a range of books to find the 10 that you think </w:t>
      </w:r>
      <w:r w:rsidR="001C2627">
        <w:t>will be the best for your students.</w:t>
      </w:r>
    </w:p>
    <w:p w14:paraId="3191A081" w14:textId="3AC743B0" w:rsidR="001C2627" w:rsidRDefault="001C2627" w:rsidP="005C4451"/>
    <w:p w14:paraId="097C9414" w14:textId="1FCAE4A7" w:rsidR="001C2627" w:rsidRDefault="001C2627" w:rsidP="005C4451">
      <w:r>
        <w:t>Of course, it’s tough to plan for students you haven’t met. So I’d like you to choose a school context for your classroom library.</w:t>
      </w:r>
      <w:r w:rsidR="00FC6DF1">
        <w:t xml:space="preserve"> This can be a school placement from the current semester or previous one. At the start of your assignment, include a brief description of the school, classroom, grade level, and community.</w:t>
      </w:r>
    </w:p>
    <w:p w14:paraId="4EC39BDA" w14:textId="77777777" w:rsidR="00354EE2" w:rsidRDefault="00354EE2" w:rsidP="005C4451"/>
    <w:p w14:paraId="0C39E185" w14:textId="35BD4F22" w:rsidR="005E31F2" w:rsidRDefault="00181C13">
      <w:pPr>
        <w:rPr>
          <w:b/>
        </w:rPr>
      </w:pPr>
      <w:r>
        <w:t>Finally, you’ll need to select one book and do a book talk in class</w:t>
      </w:r>
      <w:r w:rsidR="000F5F0F">
        <w:t>. You’ll complete the book talk acting “as if” the class was, for example, a group of 7</w:t>
      </w:r>
      <w:r w:rsidR="000F5F0F" w:rsidRPr="000F5F0F">
        <w:rPr>
          <w:vertAlign w:val="superscript"/>
        </w:rPr>
        <w:t>th</w:t>
      </w:r>
      <w:r w:rsidR="000F5F0F">
        <w:t xml:space="preserve"> grade ELA students. The grade level depends on the school you choose</w:t>
      </w:r>
      <w:r>
        <w:t xml:space="preserve">. </w:t>
      </w:r>
      <w:r w:rsidR="000F5F0F">
        <w:t>Your book talk</w:t>
      </w:r>
      <w:r>
        <w:t xml:space="preserve"> should be short and to the point (about 2 minutes). It should preview the text and get readers excited about picking it up and diving in!</w:t>
      </w:r>
      <w:r w:rsidR="005E31F2">
        <w:rPr>
          <w:b/>
        </w:rPr>
        <w:br w:type="page"/>
      </w:r>
    </w:p>
    <w:p w14:paraId="3F3C2148" w14:textId="57EDC7D4" w:rsidR="005C4451" w:rsidRPr="00354EE2" w:rsidRDefault="005C4451" w:rsidP="005C4451">
      <w:pPr>
        <w:rPr>
          <w:b/>
        </w:rPr>
      </w:pPr>
      <w:r w:rsidRPr="00354EE2">
        <w:rPr>
          <w:b/>
        </w:rPr>
        <w:lastRenderedPageBreak/>
        <w:t xml:space="preserve">Pairing </w:t>
      </w:r>
      <w:r w:rsidR="00E70C6A">
        <w:rPr>
          <w:b/>
        </w:rPr>
        <w:t>Young Adult Literature</w:t>
      </w:r>
      <w:r w:rsidRPr="00354EE2">
        <w:rPr>
          <w:b/>
        </w:rPr>
        <w:t xml:space="preserve"> and the Canon Project</w:t>
      </w:r>
      <w:r w:rsidR="00AF7FAF">
        <w:rPr>
          <w:b/>
        </w:rPr>
        <w:t xml:space="preserve"> (10%) – Due </w:t>
      </w:r>
      <w:r w:rsidR="003F137E">
        <w:rPr>
          <w:b/>
        </w:rPr>
        <w:t>March 19</w:t>
      </w:r>
    </w:p>
    <w:p w14:paraId="21A69AF3" w14:textId="679D965B" w:rsidR="00354EE2" w:rsidRDefault="00354EE2" w:rsidP="005C4451"/>
    <w:p w14:paraId="747A0A5B" w14:textId="20DFC61F" w:rsidR="007E378A" w:rsidRDefault="00102F4D" w:rsidP="005C4451">
      <w:r>
        <w:t>Whether you love or loathe canonical literature, it remains an important part of the English Language Arts curriculum.</w:t>
      </w:r>
      <w:r w:rsidR="00D403F4">
        <w:t xml:space="preserve"> </w:t>
      </w:r>
      <w:r w:rsidR="00F827DC">
        <w:t>At the same time, l</w:t>
      </w:r>
      <w:r w:rsidR="00D403F4">
        <w:t xml:space="preserve">inking texts into </w:t>
      </w:r>
      <w:r w:rsidR="00EA2FE1">
        <w:t xml:space="preserve">sets has been advocated for by educational authors (such as Kate Roberts) and is becoming increasingly common in schools. </w:t>
      </w:r>
      <w:r w:rsidR="00F827DC">
        <w:t>One purpose of this assignment is to give you an opportunity to practice combining these two threads. Your task is</w:t>
      </w:r>
      <w:r w:rsidR="00FE0D64">
        <w:t xml:space="preserve"> to collaborate with your book group</w:t>
      </w:r>
      <w:r w:rsidR="00F827DC">
        <w:t xml:space="preserve"> to design two assessments for a pair of texts: one young adult book and a canonical novel.</w:t>
      </w:r>
    </w:p>
    <w:p w14:paraId="6921A491" w14:textId="77777777" w:rsidR="007E378A" w:rsidRDefault="007E378A" w:rsidP="005C4451"/>
    <w:p w14:paraId="01DF045E" w14:textId="5A5EFF0C" w:rsidR="00F827DC" w:rsidRDefault="007E378A" w:rsidP="005C4451">
      <w:r>
        <w:t>One assessment must be a small formative assessment used partway through the unit to help you gather information that will help students understand their own learning progression and will help you design future instruction in the unit. The second assessment must be a larger culminating or summative assessment</w:t>
      </w:r>
      <w:r w:rsidR="00780B07">
        <w:t xml:space="preserve"> (i.e., project)</w:t>
      </w:r>
      <w:bookmarkStart w:id="0" w:name="_GoBack"/>
      <w:bookmarkEnd w:id="0"/>
      <w:r>
        <w:t xml:space="preserve"> that provides students with an opportunity to demonstrate their learning at the end of the unit. </w:t>
      </w:r>
      <w:r w:rsidR="00BB480B">
        <w:t>Importantly, these two assessments need to be aligned. In other words, they must assess the same state standards and learning objectives. Chapter 10 in Roberts’ book should be particularly helpful here.</w:t>
      </w:r>
      <w:r w:rsidR="00D66349">
        <w:t xml:space="preserve"> Please keep in mind that just because an assessment is presented to students, it does not mean that every student needs to complete the same exact assignment. Choice can be an element even as students must demonstrate their understandings and abilities with respect to the same learning goals.</w:t>
      </w:r>
    </w:p>
    <w:p w14:paraId="506D04AC" w14:textId="01591201" w:rsidR="003D6C46" w:rsidRDefault="003D6C46" w:rsidP="005C4451"/>
    <w:p w14:paraId="1B3A0979" w14:textId="10A3A5E7" w:rsidR="00354EE2" w:rsidRDefault="003D6C46" w:rsidP="005C4451">
      <w:r>
        <w:t xml:space="preserve">You will need to create each of the assessments (so you’ll create the actual handouts that you would give to students) and the </w:t>
      </w:r>
      <w:r w:rsidR="00C14EEF">
        <w:t>rubrics that you’ll use when responding to and evaluating the work that students produce.</w:t>
      </w:r>
      <w:r w:rsidR="001351ED">
        <w:t xml:space="preserve"> Keep in mind that you would be handing these to adolescents, so design them with that in mind!</w:t>
      </w:r>
      <w:r w:rsidR="00A3231B">
        <w:t xml:space="preserve"> Similarly, your rubrics need to be student-friendly.</w:t>
      </w:r>
    </w:p>
    <w:p w14:paraId="71204B88" w14:textId="7EFE9E95" w:rsidR="00472881" w:rsidRDefault="00472881" w:rsidP="005C4451"/>
    <w:p w14:paraId="0916B5D7" w14:textId="58227EB9" w:rsidR="00472881" w:rsidRDefault="00472881" w:rsidP="005C4451">
      <w:r>
        <w:t>In addition, you’ll need to include an explanation</w:t>
      </w:r>
      <w:r w:rsidR="00642671">
        <w:t xml:space="preserve"> or justification</w:t>
      </w:r>
      <w:r>
        <w:t xml:space="preserve"> of your teacherly choices. </w:t>
      </w:r>
      <w:r w:rsidR="00E838DA">
        <w:t xml:space="preserve">You should </w:t>
      </w:r>
      <w:r w:rsidR="00FE0D64">
        <w:t xml:space="preserve">write a 1,000-1,500 word reflection that </w:t>
      </w:r>
      <w:r w:rsidR="00D34EB7">
        <w:t>meets the following requirements</w:t>
      </w:r>
      <w:r w:rsidR="00FE0D64">
        <w:t>:</w:t>
      </w:r>
    </w:p>
    <w:p w14:paraId="4788373B" w14:textId="4BE59B24" w:rsidR="00FE0D64" w:rsidRDefault="00FE0D64" w:rsidP="005C4451"/>
    <w:p w14:paraId="27BBF1C3" w14:textId="57256E9E" w:rsidR="000A0F28" w:rsidRDefault="000A0F28" w:rsidP="00642671">
      <w:pPr>
        <w:pStyle w:val="ListParagraph"/>
        <w:numPr>
          <w:ilvl w:val="0"/>
          <w:numId w:val="12"/>
        </w:numPr>
      </w:pPr>
      <w:r>
        <w:t>Explains why you made the choices you made as you designed your assessments.</w:t>
      </w:r>
    </w:p>
    <w:p w14:paraId="52119810" w14:textId="0718B398" w:rsidR="000A0F28" w:rsidRDefault="000A0F28" w:rsidP="00642671">
      <w:pPr>
        <w:pStyle w:val="ListParagraph"/>
        <w:numPr>
          <w:ilvl w:val="0"/>
          <w:numId w:val="12"/>
        </w:numPr>
      </w:pPr>
      <w:r>
        <w:t>Justifies why your assessments are a fair, valid, and reliable measure of student learning.</w:t>
      </w:r>
    </w:p>
    <w:p w14:paraId="59AE79D3" w14:textId="79689901" w:rsidR="000A0F28" w:rsidRDefault="000A0F28" w:rsidP="00642671">
      <w:pPr>
        <w:pStyle w:val="ListParagraph"/>
        <w:numPr>
          <w:ilvl w:val="0"/>
          <w:numId w:val="12"/>
        </w:numPr>
      </w:pPr>
      <w:r>
        <w:t xml:space="preserve">Discusses how you differentiated for student interests, learning styles, and readiness levels </w:t>
      </w:r>
      <w:r w:rsidR="00D34EB7">
        <w:t>in the design of your assessments</w:t>
      </w:r>
      <w:r>
        <w:t>.</w:t>
      </w:r>
    </w:p>
    <w:p w14:paraId="427D9436" w14:textId="008D54DC" w:rsidR="00642671" w:rsidRDefault="000A0F28" w:rsidP="00642671">
      <w:pPr>
        <w:pStyle w:val="ListParagraph"/>
        <w:numPr>
          <w:ilvl w:val="0"/>
          <w:numId w:val="12"/>
        </w:numPr>
      </w:pPr>
      <w:r>
        <w:t xml:space="preserve">Articulates </w:t>
      </w:r>
      <w:r w:rsidR="00845DD6">
        <w:t xml:space="preserve">how you drew on educational theory and research to </w:t>
      </w:r>
      <w:r w:rsidR="00D34EB7">
        <w:t>create</w:t>
      </w:r>
      <w:r w:rsidR="00845DD6">
        <w:t xml:space="preserve"> your assessments</w:t>
      </w:r>
      <w:r>
        <w:t>.</w:t>
      </w:r>
    </w:p>
    <w:p w14:paraId="48FD2BCD" w14:textId="33A0A59B" w:rsidR="007D306D" w:rsidRDefault="007D306D" w:rsidP="00642671">
      <w:pPr>
        <w:pStyle w:val="ListParagraph"/>
        <w:numPr>
          <w:ilvl w:val="0"/>
          <w:numId w:val="12"/>
        </w:numPr>
      </w:pPr>
      <w:r>
        <w:t>You must cite at least 2 different educational authors to support your ideas.</w:t>
      </w:r>
    </w:p>
    <w:p w14:paraId="6D3471F4" w14:textId="504453AD" w:rsidR="00FE0D64" w:rsidRDefault="00FE0D64" w:rsidP="005C4451"/>
    <w:p w14:paraId="684AF76D" w14:textId="41F416DA" w:rsidR="00C01D83" w:rsidRDefault="00C01D83" w:rsidP="005C4451">
      <w:r>
        <w:t xml:space="preserve">You will also prepare an 8-10 minute classroom presentation that provides an overview of your assessments and rubrics (share copies with the class) and </w:t>
      </w:r>
      <w:r w:rsidR="00642671">
        <w:t>explains the choices you’ve made.</w:t>
      </w:r>
    </w:p>
    <w:p w14:paraId="5035E1D9" w14:textId="77777777" w:rsidR="00C01D83" w:rsidRDefault="00C01D83" w:rsidP="005C4451"/>
    <w:p w14:paraId="5CBA6A20" w14:textId="26490389" w:rsidR="0023720D" w:rsidRPr="00004A53" w:rsidRDefault="00FE0D64">
      <w:r>
        <w:t xml:space="preserve">In completing this project, you will be collaborating with a small group to co-design the assessments and co-author the explanation. </w:t>
      </w:r>
      <w:r w:rsidR="00BF5700">
        <w:t>You will be put into a group with several other students based on the your preferences among the following texts. You will read the YA text and should be familiar with the canonical text (you don’t need to re-read the canonical text in its entirety but will need to brush up on it depending on how recently you have, or haven’t, read it).</w:t>
      </w:r>
    </w:p>
    <w:p w14:paraId="1764E038" w14:textId="13FA7F3E" w:rsidR="004D6D21" w:rsidRDefault="004D6D21">
      <w:pPr>
        <w:rPr>
          <w:b/>
        </w:rPr>
      </w:pPr>
    </w:p>
    <w:p w14:paraId="0BF01829" w14:textId="5A197649" w:rsidR="004D6D21" w:rsidRDefault="004D6D21">
      <w:pPr>
        <w:rPr>
          <w:b/>
        </w:rPr>
      </w:pPr>
    </w:p>
    <w:p w14:paraId="1DDBAE5B" w14:textId="77777777" w:rsidR="00004A53" w:rsidRDefault="00004A53">
      <w:pPr>
        <w:rPr>
          <w:b/>
        </w:rPr>
      </w:pPr>
    </w:p>
    <w:tbl>
      <w:tblPr>
        <w:tblStyle w:val="TableGrid"/>
        <w:tblW w:w="0" w:type="auto"/>
        <w:tblLook w:val="04A0" w:firstRow="1" w:lastRow="0" w:firstColumn="1" w:lastColumn="0" w:noHBand="0" w:noVBand="1"/>
      </w:tblPr>
      <w:tblGrid>
        <w:gridCol w:w="4675"/>
        <w:gridCol w:w="4675"/>
      </w:tblGrid>
      <w:tr w:rsidR="004D6D21" w14:paraId="55982D7B" w14:textId="77777777" w:rsidTr="004D6D21">
        <w:tc>
          <w:tcPr>
            <w:tcW w:w="4675" w:type="dxa"/>
          </w:tcPr>
          <w:p w14:paraId="51C3AB0B" w14:textId="72E293E6" w:rsidR="004D6D21" w:rsidRDefault="004D6D21">
            <w:pPr>
              <w:rPr>
                <w:b/>
              </w:rPr>
            </w:pPr>
            <w:r>
              <w:rPr>
                <w:b/>
              </w:rPr>
              <w:lastRenderedPageBreak/>
              <w:t>YA Literature Text</w:t>
            </w:r>
          </w:p>
        </w:tc>
        <w:tc>
          <w:tcPr>
            <w:tcW w:w="4675" w:type="dxa"/>
          </w:tcPr>
          <w:p w14:paraId="5A85AF05" w14:textId="383D53E7" w:rsidR="004D6D21" w:rsidRDefault="004D6D21">
            <w:pPr>
              <w:rPr>
                <w:b/>
              </w:rPr>
            </w:pPr>
            <w:r>
              <w:rPr>
                <w:b/>
              </w:rPr>
              <w:t>Canonical Text</w:t>
            </w:r>
          </w:p>
        </w:tc>
      </w:tr>
      <w:tr w:rsidR="004D6D21" w14:paraId="37C8CD1D" w14:textId="77777777" w:rsidTr="004D6D21">
        <w:tc>
          <w:tcPr>
            <w:tcW w:w="4675" w:type="dxa"/>
          </w:tcPr>
          <w:p w14:paraId="4A159948" w14:textId="73DA7B7D" w:rsidR="004D6D21" w:rsidRPr="004D6D21" w:rsidRDefault="004D6D21">
            <w:pPr>
              <w:rPr>
                <w:i/>
              </w:rPr>
            </w:pPr>
            <w:r>
              <w:t xml:space="preserve">Anderson’s </w:t>
            </w:r>
            <w:r>
              <w:rPr>
                <w:i/>
              </w:rPr>
              <w:t>Speak</w:t>
            </w:r>
          </w:p>
        </w:tc>
        <w:tc>
          <w:tcPr>
            <w:tcW w:w="4675" w:type="dxa"/>
          </w:tcPr>
          <w:p w14:paraId="39A63194" w14:textId="08DDEDF1" w:rsidR="004D6D21" w:rsidRPr="004D6D21" w:rsidRDefault="004D6D21">
            <w:pPr>
              <w:rPr>
                <w:i/>
              </w:rPr>
            </w:pPr>
            <w:r>
              <w:t xml:space="preserve">Hawthorne’s </w:t>
            </w:r>
            <w:r>
              <w:rPr>
                <w:i/>
              </w:rPr>
              <w:t>The Scarlet Letter</w:t>
            </w:r>
          </w:p>
        </w:tc>
      </w:tr>
      <w:tr w:rsidR="004D6D21" w14:paraId="0924265B" w14:textId="77777777" w:rsidTr="004D6D21">
        <w:tc>
          <w:tcPr>
            <w:tcW w:w="4675" w:type="dxa"/>
          </w:tcPr>
          <w:p w14:paraId="2D719CEA" w14:textId="32A4847D" w:rsidR="004D6D21" w:rsidRPr="004D6D21" w:rsidRDefault="004D6D21">
            <w:pPr>
              <w:rPr>
                <w:i/>
              </w:rPr>
            </w:pPr>
            <w:r>
              <w:t xml:space="preserve">Anderson’s </w:t>
            </w:r>
            <w:r>
              <w:rPr>
                <w:i/>
              </w:rPr>
              <w:t>Feed</w:t>
            </w:r>
          </w:p>
        </w:tc>
        <w:tc>
          <w:tcPr>
            <w:tcW w:w="4675" w:type="dxa"/>
          </w:tcPr>
          <w:p w14:paraId="7A9D8C81" w14:textId="6D294415" w:rsidR="004D6D21" w:rsidRPr="004D6D21" w:rsidRDefault="004D6D21">
            <w:pPr>
              <w:rPr>
                <w:i/>
              </w:rPr>
            </w:pPr>
            <w:r>
              <w:t xml:space="preserve">Orwell’s </w:t>
            </w:r>
            <w:r>
              <w:rPr>
                <w:i/>
              </w:rPr>
              <w:t>1984</w:t>
            </w:r>
          </w:p>
        </w:tc>
      </w:tr>
      <w:tr w:rsidR="004D6D21" w14:paraId="2F99ABF0" w14:textId="77777777" w:rsidTr="004D6D21">
        <w:tc>
          <w:tcPr>
            <w:tcW w:w="4675" w:type="dxa"/>
          </w:tcPr>
          <w:p w14:paraId="4AE01D57" w14:textId="79255CE8" w:rsidR="004D6D21" w:rsidRPr="004D6D21" w:rsidRDefault="004D6D21">
            <w:pPr>
              <w:rPr>
                <w:i/>
              </w:rPr>
            </w:pPr>
            <w:r>
              <w:t xml:space="preserve">Green’s </w:t>
            </w:r>
            <w:r>
              <w:rPr>
                <w:i/>
              </w:rPr>
              <w:t>Looking for Alaska</w:t>
            </w:r>
          </w:p>
        </w:tc>
        <w:tc>
          <w:tcPr>
            <w:tcW w:w="4675" w:type="dxa"/>
          </w:tcPr>
          <w:p w14:paraId="12D279DC" w14:textId="49BFA9DD" w:rsidR="004D6D21" w:rsidRPr="004D6D21" w:rsidRDefault="004D6D21">
            <w:pPr>
              <w:rPr>
                <w:i/>
              </w:rPr>
            </w:pPr>
            <w:r>
              <w:t xml:space="preserve">Salinger’s </w:t>
            </w:r>
            <w:r>
              <w:rPr>
                <w:i/>
              </w:rPr>
              <w:t>Catcher in the Rye</w:t>
            </w:r>
          </w:p>
        </w:tc>
      </w:tr>
      <w:tr w:rsidR="004D6D21" w14:paraId="41774CD2" w14:textId="77777777" w:rsidTr="004D6D21">
        <w:tc>
          <w:tcPr>
            <w:tcW w:w="4675" w:type="dxa"/>
          </w:tcPr>
          <w:p w14:paraId="3565E6D0" w14:textId="6FA518A9" w:rsidR="004D6D21" w:rsidRPr="00004A53" w:rsidRDefault="00004A53">
            <w:pPr>
              <w:rPr>
                <w:i/>
              </w:rPr>
            </w:pPr>
            <w:r>
              <w:t xml:space="preserve">Myers’ </w:t>
            </w:r>
            <w:r>
              <w:rPr>
                <w:i/>
              </w:rPr>
              <w:t>Monster</w:t>
            </w:r>
          </w:p>
        </w:tc>
        <w:tc>
          <w:tcPr>
            <w:tcW w:w="4675" w:type="dxa"/>
          </w:tcPr>
          <w:p w14:paraId="21547E20" w14:textId="7836576C" w:rsidR="004D6D21" w:rsidRPr="00004A53" w:rsidRDefault="00004A53">
            <w:pPr>
              <w:rPr>
                <w:i/>
              </w:rPr>
            </w:pPr>
            <w:r>
              <w:t xml:space="preserve">Lee’s </w:t>
            </w:r>
            <w:r>
              <w:rPr>
                <w:i/>
              </w:rPr>
              <w:t>To Kill a Mockingbird</w:t>
            </w:r>
          </w:p>
        </w:tc>
      </w:tr>
      <w:tr w:rsidR="004D6D21" w14:paraId="4BA029FE" w14:textId="77777777" w:rsidTr="004D6D21">
        <w:tc>
          <w:tcPr>
            <w:tcW w:w="4675" w:type="dxa"/>
          </w:tcPr>
          <w:p w14:paraId="18CADACD" w14:textId="182CB4E1" w:rsidR="004D6D21" w:rsidRPr="00004A53" w:rsidRDefault="00004A53">
            <w:pPr>
              <w:rPr>
                <w:i/>
              </w:rPr>
            </w:pPr>
            <w:r>
              <w:t xml:space="preserve">Pérez’s </w:t>
            </w:r>
            <w:r>
              <w:rPr>
                <w:i/>
              </w:rPr>
              <w:t>Out of Darkness</w:t>
            </w:r>
          </w:p>
        </w:tc>
        <w:tc>
          <w:tcPr>
            <w:tcW w:w="4675" w:type="dxa"/>
          </w:tcPr>
          <w:p w14:paraId="39389B07" w14:textId="151F4B2F" w:rsidR="004D6D21" w:rsidRPr="00004A53" w:rsidRDefault="00004A53">
            <w:pPr>
              <w:rPr>
                <w:i/>
              </w:rPr>
            </w:pPr>
            <w:r>
              <w:t xml:space="preserve">Shakespeare’s </w:t>
            </w:r>
            <w:r>
              <w:rPr>
                <w:i/>
              </w:rPr>
              <w:t>Romeo and Juliet</w:t>
            </w:r>
          </w:p>
        </w:tc>
      </w:tr>
      <w:tr w:rsidR="004D6D21" w14:paraId="1C7937B2" w14:textId="77777777" w:rsidTr="004D6D21">
        <w:tc>
          <w:tcPr>
            <w:tcW w:w="4675" w:type="dxa"/>
          </w:tcPr>
          <w:p w14:paraId="5A77D5EE" w14:textId="0EA65EF2" w:rsidR="004D6D21" w:rsidRPr="00004A53" w:rsidRDefault="00004A53">
            <w:pPr>
              <w:rPr>
                <w:i/>
              </w:rPr>
            </w:pPr>
            <w:proofErr w:type="spellStart"/>
            <w:r>
              <w:t>Zobio’s</w:t>
            </w:r>
            <w:proofErr w:type="spellEnd"/>
            <w:r>
              <w:t xml:space="preserve"> </w:t>
            </w:r>
            <w:r>
              <w:rPr>
                <w:i/>
              </w:rPr>
              <w:t>Pride</w:t>
            </w:r>
          </w:p>
        </w:tc>
        <w:tc>
          <w:tcPr>
            <w:tcW w:w="4675" w:type="dxa"/>
          </w:tcPr>
          <w:p w14:paraId="4256F170" w14:textId="42CBFA2A" w:rsidR="004D6D21" w:rsidRPr="00004A53" w:rsidRDefault="00004A53">
            <w:pPr>
              <w:rPr>
                <w:i/>
              </w:rPr>
            </w:pPr>
            <w:r>
              <w:t xml:space="preserve">Austin’s </w:t>
            </w:r>
            <w:r>
              <w:rPr>
                <w:i/>
              </w:rPr>
              <w:t>Pride and Prejudice</w:t>
            </w:r>
          </w:p>
        </w:tc>
      </w:tr>
    </w:tbl>
    <w:p w14:paraId="4846A6C7" w14:textId="5044DFE0" w:rsidR="004D6D21" w:rsidRDefault="004D6D21">
      <w:pPr>
        <w:rPr>
          <w:b/>
        </w:rPr>
      </w:pPr>
    </w:p>
    <w:p w14:paraId="31AF701C" w14:textId="3423CE9F" w:rsidR="005E31F2" w:rsidRDefault="005E31F2">
      <w:pPr>
        <w:rPr>
          <w:b/>
        </w:rPr>
      </w:pPr>
      <w:r>
        <w:rPr>
          <w:b/>
        </w:rPr>
        <w:br w:type="page"/>
      </w:r>
    </w:p>
    <w:p w14:paraId="3E8104DD" w14:textId="565A56DE" w:rsidR="00006785" w:rsidRPr="00354EE2" w:rsidRDefault="005C4451" w:rsidP="005C4451">
      <w:pPr>
        <w:rPr>
          <w:b/>
        </w:rPr>
      </w:pPr>
      <w:r w:rsidRPr="00354EE2">
        <w:rPr>
          <w:b/>
        </w:rPr>
        <w:lastRenderedPageBreak/>
        <w:t>Unit Plan and Rationale</w:t>
      </w:r>
      <w:r w:rsidR="00AF7FAF">
        <w:rPr>
          <w:b/>
        </w:rPr>
        <w:t xml:space="preserve"> (25%) – Due </w:t>
      </w:r>
      <w:r w:rsidR="004C6CF8">
        <w:rPr>
          <w:b/>
        </w:rPr>
        <w:t>at the end of the semester</w:t>
      </w:r>
    </w:p>
    <w:p w14:paraId="727DA609" w14:textId="59578D9F" w:rsidR="00516CDF" w:rsidRDefault="00516CDF" w:rsidP="00006785"/>
    <w:p w14:paraId="193311D6" w14:textId="43E2880A" w:rsidR="000D109D" w:rsidRDefault="00157C49" w:rsidP="00006785">
      <w:r>
        <w:t xml:space="preserve">For your final project, you will be designing an instructional unit based on Kate Roberts’ framework presented in </w:t>
      </w:r>
      <w:r>
        <w:rPr>
          <w:i/>
        </w:rPr>
        <w:t>A Novel Approach</w:t>
      </w:r>
      <w:r>
        <w:t>. Thus, you will be designing a 5-6 week unit that combines a whole-class novel with student choice (whether book clubs or independent reading) and a culminating unit end</w:t>
      </w:r>
      <w:r w:rsidR="00FA5B65">
        <w:t xml:space="preserve">. Importantly, your unit should be driven by the learning objectives and skills first and foremost! Then, you will think about what reading and interpretation strategies will support readers in reaching these objectives and skills. Finally, you’ll sequence a series of minilessons, read </w:t>
      </w:r>
      <w:proofErr w:type="spellStart"/>
      <w:r w:rsidR="00FA5B65">
        <w:t>alouds</w:t>
      </w:r>
      <w:proofErr w:type="spellEnd"/>
      <w:r w:rsidR="00FA5B65">
        <w:t xml:space="preserve">, independent reading sessions, activities, </w:t>
      </w:r>
      <w:r w:rsidR="000D109D">
        <w:t xml:space="preserve">small group work, conferences, </w:t>
      </w:r>
      <w:r w:rsidR="00FA5B65">
        <w:t xml:space="preserve">and possibly homework. </w:t>
      </w:r>
      <w:r w:rsidR="000D109D">
        <w:t>You’ll also need a clear plan for teaching students how they can successfully participate in book clubs or independent reading.</w:t>
      </w:r>
    </w:p>
    <w:p w14:paraId="4EE535DB" w14:textId="77777777" w:rsidR="000D109D" w:rsidRDefault="000D109D" w:rsidP="00006785"/>
    <w:p w14:paraId="1D3EBF3D" w14:textId="601B53D0" w:rsidR="00FA5B65" w:rsidRDefault="000D109D" w:rsidP="00006785">
      <w:r>
        <w:t>Y</w:t>
      </w:r>
      <w:r w:rsidR="00FA5B65">
        <w:t>ou do NOT have to assign every word of every book. Excerpting, summarizing, abridging, and so forth are complet</w:t>
      </w:r>
      <w:r w:rsidR="00F463AB">
        <w:t>ely</w:t>
      </w:r>
      <w:r w:rsidR="00FA5B65">
        <w:t xml:space="preserve"> appropriate.</w:t>
      </w:r>
      <w:r w:rsidR="00342A58">
        <w:t xml:space="preserve"> Remember, the goal of reading is to facilitate student learning.</w:t>
      </w:r>
      <w:r w:rsidR="005F1614">
        <w:t xml:space="preserve"> Your approach should be to facilitate and maximize student learning. Your approach should NOT be to make sure you cover every bit of every books.</w:t>
      </w:r>
    </w:p>
    <w:p w14:paraId="798D5929" w14:textId="77777777" w:rsidR="00FA5B65" w:rsidRDefault="00FA5B65" w:rsidP="00006785"/>
    <w:p w14:paraId="2F29C6CB" w14:textId="532FAC0E" w:rsidR="00516CDF" w:rsidRDefault="003E5820" w:rsidP="00006785">
      <w:r>
        <w:t>Your unit plan should follow this structure</w:t>
      </w:r>
      <w:r w:rsidR="00B83CD7">
        <w:t>. You will NOT use the lesson plan template on Canvas for this assignment.</w:t>
      </w:r>
    </w:p>
    <w:p w14:paraId="75D9753E" w14:textId="3273CEE0" w:rsidR="003E5820" w:rsidRDefault="003E5820" w:rsidP="00006785"/>
    <w:p w14:paraId="1FD42AE3" w14:textId="368F1D15" w:rsidR="003E5820" w:rsidRDefault="00270BFB" w:rsidP="003E5820">
      <w:pPr>
        <w:pStyle w:val="ListParagraph"/>
        <w:numPr>
          <w:ilvl w:val="0"/>
          <w:numId w:val="13"/>
        </w:numPr>
      </w:pPr>
      <w:r>
        <w:t>Unit Title</w:t>
      </w:r>
    </w:p>
    <w:p w14:paraId="2B5B73B7" w14:textId="4C98729D" w:rsidR="00270BFB" w:rsidRDefault="00270BFB" w:rsidP="003E5820">
      <w:pPr>
        <w:pStyle w:val="ListParagraph"/>
        <w:numPr>
          <w:ilvl w:val="0"/>
          <w:numId w:val="13"/>
        </w:numPr>
      </w:pPr>
      <w:r>
        <w:t>Grade Level</w:t>
      </w:r>
    </w:p>
    <w:p w14:paraId="0F71D8E4" w14:textId="3B5502EB" w:rsidR="00270BFB" w:rsidRDefault="00270BFB" w:rsidP="003E5820">
      <w:pPr>
        <w:pStyle w:val="ListParagraph"/>
        <w:numPr>
          <w:ilvl w:val="0"/>
          <w:numId w:val="13"/>
        </w:numPr>
      </w:pPr>
      <w:r>
        <w:t>State Standards</w:t>
      </w:r>
    </w:p>
    <w:p w14:paraId="22994505" w14:textId="67633BD0" w:rsidR="00270BFB" w:rsidRDefault="00270BFB" w:rsidP="003E5820">
      <w:pPr>
        <w:pStyle w:val="ListParagraph"/>
        <w:numPr>
          <w:ilvl w:val="0"/>
          <w:numId w:val="13"/>
        </w:numPr>
      </w:pPr>
      <w:r>
        <w:t>Learning Objectives</w:t>
      </w:r>
    </w:p>
    <w:p w14:paraId="64FA9598" w14:textId="2BB68077" w:rsidR="00270BFB" w:rsidRDefault="00270BFB" w:rsidP="003E5820">
      <w:pPr>
        <w:pStyle w:val="ListParagraph"/>
        <w:numPr>
          <w:ilvl w:val="0"/>
          <w:numId w:val="13"/>
        </w:numPr>
      </w:pPr>
      <w:r>
        <w:t>Assessments (Described and aligned with learning objectives. Include all of the information you would on the daily lesson plan template and “thinking behind the planning” document)</w:t>
      </w:r>
    </w:p>
    <w:p w14:paraId="72E53158" w14:textId="49FAA5B0" w:rsidR="00270BFB" w:rsidRDefault="00270BFB" w:rsidP="003E5820">
      <w:pPr>
        <w:pStyle w:val="ListParagraph"/>
        <w:numPr>
          <w:ilvl w:val="0"/>
          <w:numId w:val="13"/>
        </w:numPr>
      </w:pPr>
      <w:r>
        <w:t>Prior Knowledge and Skills</w:t>
      </w:r>
      <w:r w:rsidR="004B429E">
        <w:t xml:space="preserve"> (What you assume that students know and can do prior to the start of the unit. Your unit should build upon and extend these knowledges and skills.)</w:t>
      </w:r>
    </w:p>
    <w:p w14:paraId="4A883B99" w14:textId="0DCD4F83" w:rsidR="00270BFB" w:rsidRDefault="00270BFB" w:rsidP="003E5820">
      <w:pPr>
        <w:pStyle w:val="ListParagraph"/>
        <w:numPr>
          <w:ilvl w:val="0"/>
          <w:numId w:val="13"/>
        </w:numPr>
      </w:pPr>
      <w:r>
        <w:t>Texts (Novels</w:t>
      </w:r>
      <w:r w:rsidR="004B429E">
        <w:t xml:space="preserve"> and any additional texts used during the unit</w:t>
      </w:r>
      <w:r w:rsidR="004C6CF8">
        <w:t xml:space="preserve"> – you can NOT use any of the young adult texts included on this syllabus but must go beyond this list.</w:t>
      </w:r>
      <w:r w:rsidR="004B429E">
        <w:t>)</w:t>
      </w:r>
    </w:p>
    <w:p w14:paraId="7971F8E3" w14:textId="37856DFA" w:rsidR="004B429E" w:rsidRDefault="004B429E" w:rsidP="003E5820">
      <w:pPr>
        <w:pStyle w:val="ListParagraph"/>
        <w:numPr>
          <w:ilvl w:val="0"/>
          <w:numId w:val="13"/>
        </w:numPr>
      </w:pPr>
      <w:r>
        <w:t>Materials</w:t>
      </w:r>
      <w:r w:rsidR="009C311B">
        <w:t xml:space="preserve"> (Resources beyond the texts that you need. For instance, chart paper, sticky notes, markers, laptops, etc.)</w:t>
      </w:r>
    </w:p>
    <w:p w14:paraId="20895E52" w14:textId="165966D3" w:rsidR="004B429E" w:rsidRDefault="004B429E" w:rsidP="003E5820">
      <w:pPr>
        <w:pStyle w:val="ListParagraph"/>
        <w:numPr>
          <w:ilvl w:val="0"/>
          <w:numId w:val="13"/>
        </w:numPr>
      </w:pPr>
      <w:r>
        <w:t>Description of Daily Lessons and Activities (include all assignment sheets and rubrics – every assignment needs a rubric; include 1-2 learning objectives for each day)</w:t>
      </w:r>
    </w:p>
    <w:p w14:paraId="7ECA5B67" w14:textId="755BC91A" w:rsidR="009C311B" w:rsidRDefault="009C311B" w:rsidP="009C311B"/>
    <w:p w14:paraId="51EA578D" w14:textId="77777777" w:rsidR="00A27194" w:rsidRDefault="009C311B" w:rsidP="009C311B">
      <w:r>
        <w:t>In addition to your unit plan, you need to include a rationale that justifies your decisions. It should discuss your curriculum (i.e., the texts</w:t>
      </w:r>
      <w:r w:rsidR="006F033C">
        <w:t>, themes, topics,</w:t>
      </w:r>
      <w:r>
        <w:t xml:space="preserve"> and </w:t>
      </w:r>
      <w:r w:rsidR="00A85EBF">
        <w:t>learning objectives) and your pedagogy (i.e., the teaching techniques that you used to support students in learning the texts</w:t>
      </w:r>
      <w:r w:rsidR="006F033C">
        <w:t>, themes, topics,</w:t>
      </w:r>
      <w:r w:rsidR="00A85EBF">
        <w:t xml:space="preserve"> and objectives).</w:t>
      </w:r>
      <w:r w:rsidR="006F033C">
        <w:t xml:space="preserve"> You need to provide a rationale defending your choices for why the texts, themes, topics, and objectives you’ve selected are worthwhile, meaningful, and appropriate for your students.</w:t>
      </w:r>
    </w:p>
    <w:p w14:paraId="403E5A54" w14:textId="77777777" w:rsidR="00A27194" w:rsidRDefault="00A27194" w:rsidP="009C311B"/>
    <w:p w14:paraId="5D3EF3DD" w14:textId="262DA5CC" w:rsidR="009C311B" w:rsidRDefault="00DF338C" w:rsidP="009C311B">
      <w:r>
        <w:t xml:space="preserve">I recommend chapter 10 from </w:t>
      </w:r>
      <w:proofErr w:type="spellStart"/>
      <w:r>
        <w:t>Smagorinsky’s</w:t>
      </w:r>
      <w:proofErr w:type="spellEnd"/>
      <w:r>
        <w:t xml:space="preserve"> </w:t>
      </w:r>
      <w:r>
        <w:rPr>
          <w:i/>
        </w:rPr>
        <w:t>Teaching English by Design</w:t>
      </w:r>
      <w:r>
        <w:t xml:space="preserve"> as a valuable resource for articulating a rationale. The National Council of Teachers of English also provides valuable resources (for example: </w:t>
      </w:r>
      <w:hyperlink r:id="rId30" w:history="1">
        <w:r w:rsidRPr="007A360D">
          <w:rPr>
            <w:rStyle w:val="Hyperlink"/>
          </w:rPr>
          <w:t>http://www.ncte.org/action/anti-censorship/rationales</w:t>
        </w:r>
      </w:hyperlink>
      <w:r>
        <w:t xml:space="preserve">). </w:t>
      </w:r>
      <w:r w:rsidR="00425320">
        <w:t xml:space="preserve">You also need to </w:t>
      </w:r>
      <w:r w:rsidR="00425320">
        <w:lastRenderedPageBreak/>
        <w:t xml:space="preserve">provide justification for why the teaching techniques you’re using are effective, appropriate, </w:t>
      </w:r>
      <w:r w:rsidR="0025408C">
        <w:t xml:space="preserve">and reasonable. </w:t>
      </w:r>
      <w:r w:rsidR="006E3C50">
        <w:t xml:space="preserve">Here, </w:t>
      </w:r>
      <w:r w:rsidR="00047D62">
        <w:t>you should draw on educational research and theory to articulate your decision-making.</w:t>
      </w:r>
    </w:p>
    <w:p w14:paraId="6A9A6BC2" w14:textId="4124D6EE" w:rsidR="0018147F" w:rsidRDefault="0018147F" w:rsidP="009C311B"/>
    <w:p w14:paraId="3D56400D" w14:textId="63E8667A" w:rsidR="0018147F" w:rsidRDefault="0018147F" w:rsidP="009C311B">
      <w:r>
        <w:t xml:space="preserve">There is a wealth of sample units and rationales available online through Peter </w:t>
      </w:r>
      <w:proofErr w:type="spellStart"/>
      <w:r>
        <w:t>Smagorinsky’s</w:t>
      </w:r>
      <w:proofErr w:type="spellEnd"/>
      <w:r>
        <w:t xml:space="preserve"> website. These are generally strong samples of how to put together a unit, combining rationales, goals, and daily activities. They are available here: </w:t>
      </w:r>
      <w:hyperlink r:id="rId31" w:history="1">
        <w:r w:rsidRPr="007A360D">
          <w:rPr>
            <w:rStyle w:val="Hyperlink"/>
          </w:rPr>
          <w:t>http://www.petersmagorinsky.net/Units/index.html</w:t>
        </w:r>
      </w:hyperlink>
      <w:r>
        <w:t>. I strongly recommend spending some time exploring several of these units to better understand how to layout a unit and offer a rationale.</w:t>
      </w:r>
    </w:p>
    <w:p w14:paraId="3C47BCC5" w14:textId="2721A8B6" w:rsidR="00425320" w:rsidRDefault="00425320" w:rsidP="009C311B"/>
    <w:p w14:paraId="51520B1C" w14:textId="4D849C3F" w:rsidR="00425320" w:rsidRDefault="00A27194" w:rsidP="009C311B">
      <w:r>
        <w:t>Individually, you will submit your final unit plan and rationale to Canvas</w:t>
      </w:r>
      <w:r w:rsidR="004C6CF8">
        <w:t>. You will also be presenting your unit in class.</w:t>
      </w:r>
      <w:r w:rsidR="00A24C74">
        <w:t xml:space="preserve"> Your presentation should cover the following</w:t>
      </w:r>
      <w:r w:rsidR="00EE0C46">
        <w:t>. It should be 10-12 minutes in length.</w:t>
      </w:r>
    </w:p>
    <w:p w14:paraId="1F6D00AF" w14:textId="33C004BA" w:rsidR="00A24C74" w:rsidRDefault="00A24C74" w:rsidP="009C311B"/>
    <w:p w14:paraId="43404C85" w14:textId="45BF7EC5" w:rsidR="00A24C74" w:rsidRDefault="00A24C74" w:rsidP="00A24C74">
      <w:pPr>
        <w:pStyle w:val="ListParagraph"/>
        <w:numPr>
          <w:ilvl w:val="0"/>
          <w:numId w:val="14"/>
        </w:numPr>
      </w:pPr>
      <w:r>
        <w:t xml:space="preserve">Name and describe your unit and central theme along with the core </w:t>
      </w:r>
      <w:r w:rsidR="00B8091E">
        <w:t xml:space="preserve">curricular </w:t>
      </w:r>
      <w:r>
        <w:t>texts you will use.</w:t>
      </w:r>
    </w:p>
    <w:p w14:paraId="68823486" w14:textId="65F40AC6" w:rsidR="00A24C74" w:rsidRDefault="00A24C74" w:rsidP="00A24C74">
      <w:pPr>
        <w:pStyle w:val="ListParagraph"/>
        <w:numPr>
          <w:ilvl w:val="0"/>
          <w:numId w:val="14"/>
        </w:numPr>
      </w:pPr>
      <w:r>
        <w:t>Name your grade level.</w:t>
      </w:r>
    </w:p>
    <w:p w14:paraId="583E1E20" w14:textId="00DDCAE4" w:rsidR="00A24C74" w:rsidRDefault="005F72BF" w:rsidP="00A24C74">
      <w:pPr>
        <w:pStyle w:val="ListParagraph"/>
        <w:numPr>
          <w:ilvl w:val="0"/>
          <w:numId w:val="14"/>
        </w:numPr>
      </w:pPr>
      <w:r>
        <w:t>Describe the central learning objective for your unit. This should be one unifying objective, not several loosely related objectives.</w:t>
      </w:r>
    </w:p>
    <w:p w14:paraId="57BD4D7D" w14:textId="1E3922E9" w:rsidR="00C76FF6" w:rsidRDefault="00B8091E" w:rsidP="00A24C74">
      <w:pPr>
        <w:pStyle w:val="ListParagraph"/>
        <w:numPr>
          <w:ilvl w:val="0"/>
          <w:numId w:val="14"/>
        </w:numPr>
      </w:pPr>
      <w:r>
        <w:t>Describe your culminating assessment.</w:t>
      </w:r>
    </w:p>
    <w:p w14:paraId="10FD18A4" w14:textId="25620E23" w:rsidR="00B8091E" w:rsidRDefault="00B8091E" w:rsidP="00A24C74">
      <w:pPr>
        <w:pStyle w:val="ListParagraph"/>
        <w:numPr>
          <w:ilvl w:val="0"/>
          <w:numId w:val="14"/>
        </w:numPr>
      </w:pPr>
      <w:r>
        <w:t>Describe ONE key learning activity that will help students learn the key objective of the unit.</w:t>
      </w:r>
    </w:p>
    <w:p w14:paraId="712023FC" w14:textId="77777777" w:rsidR="00ED1109" w:rsidRDefault="00ED1109" w:rsidP="00006785"/>
    <w:p w14:paraId="3D2743AA" w14:textId="77777777" w:rsidR="00516CDF" w:rsidRDefault="00516CDF" w:rsidP="00516CDF"/>
    <w:p w14:paraId="265B971E" w14:textId="77777777" w:rsidR="00516CDF" w:rsidRPr="009B29F5" w:rsidRDefault="00516CDF" w:rsidP="00516CDF">
      <w:pPr>
        <w:jc w:val="center"/>
        <w:rPr>
          <w:i/>
          <w:sz w:val="22"/>
        </w:rPr>
      </w:pPr>
      <w:r w:rsidRPr="000A428E">
        <w:rPr>
          <w:i/>
          <w:sz w:val="22"/>
        </w:rPr>
        <w:t>*Subject to change by instructor</w:t>
      </w:r>
    </w:p>
    <w:p w14:paraId="7B2E6009" w14:textId="77777777" w:rsidR="00516CDF" w:rsidRDefault="00516CDF" w:rsidP="00006785"/>
    <w:sectPr w:rsidR="00516CDF" w:rsidSect="007936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6BC1C" w14:textId="77777777" w:rsidR="00A70078" w:rsidRDefault="00A70078" w:rsidP="00006785">
      <w:r>
        <w:separator/>
      </w:r>
    </w:p>
  </w:endnote>
  <w:endnote w:type="continuationSeparator" w:id="0">
    <w:p w14:paraId="160D3AC3" w14:textId="77777777" w:rsidR="00A70078" w:rsidRDefault="00A70078" w:rsidP="0000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UI">
    <w:altName w:val="Cambria"/>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51C4" w14:textId="77777777" w:rsidR="0040782D" w:rsidRPr="007948C2" w:rsidRDefault="0040782D" w:rsidP="00D47563">
    <w:pPr>
      <w:pStyle w:val="Footer"/>
      <w:jc w:val="right"/>
      <w:rPr>
        <w:i/>
        <w:sz w:val="20"/>
      </w:rPr>
    </w:pPr>
    <w:r w:rsidRPr="007948C2">
      <w:rPr>
        <w:i/>
        <w:sz w:val="20"/>
      </w:rPr>
      <w:t>C</w:t>
    </w:r>
    <w:r>
      <w:rPr>
        <w:i/>
        <w:sz w:val="20"/>
      </w:rPr>
      <w:t>TRE 5030 Syllabus</w:t>
    </w:r>
    <w:r w:rsidRPr="007948C2">
      <w:rPr>
        <w:i/>
        <w:sz w:val="20"/>
      </w:rPr>
      <w:t xml:space="preserve"> </w:t>
    </w:r>
    <w:r>
      <w:rPr>
        <w:i/>
        <w:sz w:val="20"/>
      </w:rPr>
      <w:t>SP19</w:t>
    </w:r>
    <w:r w:rsidRPr="007948C2">
      <w:rPr>
        <w:i/>
        <w:sz w:val="20"/>
      </w:rPr>
      <w:t xml:space="preserve"> Schey - Page </w:t>
    </w:r>
    <w:r w:rsidRPr="007948C2">
      <w:rPr>
        <w:i/>
        <w:sz w:val="20"/>
      </w:rPr>
      <w:fldChar w:fldCharType="begin"/>
    </w:r>
    <w:r w:rsidRPr="007948C2">
      <w:rPr>
        <w:i/>
        <w:sz w:val="20"/>
      </w:rPr>
      <w:instrText xml:space="preserve"> PAGE </w:instrText>
    </w:r>
    <w:r w:rsidRPr="007948C2">
      <w:rPr>
        <w:i/>
        <w:sz w:val="20"/>
      </w:rPr>
      <w:fldChar w:fldCharType="separate"/>
    </w:r>
    <w:r>
      <w:rPr>
        <w:i/>
        <w:noProof/>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Pr>
        <w:i/>
        <w:noProof/>
        <w:sz w:val="20"/>
      </w:rPr>
      <w:t>2</w:t>
    </w:r>
    <w:r w:rsidRPr="007948C2">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E8D03" w14:textId="77777777" w:rsidR="00A70078" w:rsidRDefault="00A70078" w:rsidP="00006785">
      <w:r>
        <w:separator/>
      </w:r>
    </w:p>
  </w:footnote>
  <w:footnote w:type="continuationSeparator" w:id="0">
    <w:p w14:paraId="2041DFE1" w14:textId="77777777" w:rsidR="00A70078" w:rsidRDefault="00A70078" w:rsidP="0000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6182"/>
    <w:multiLevelType w:val="hybridMultilevel"/>
    <w:tmpl w:val="1856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0654"/>
    <w:multiLevelType w:val="hybridMultilevel"/>
    <w:tmpl w:val="52FA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E22A6"/>
    <w:multiLevelType w:val="hybridMultilevel"/>
    <w:tmpl w:val="C080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12082"/>
    <w:multiLevelType w:val="hybridMultilevel"/>
    <w:tmpl w:val="5FF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C52F9"/>
    <w:multiLevelType w:val="hybridMultilevel"/>
    <w:tmpl w:val="B8BEE2E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7B0692"/>
    <w:multiLevelType w:val="hybridMultilevel"/>
    <w:tmpl w:val="5C34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7472B"/>
    <w:multiLevelType w:val="hybridMultilevel"/>
    <w:tmpl w:val="1DBE5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B4D28"/>
    <w:multiLevelType w:val="hybridMultilevel"/>
    <w:tmpl w:val="73FC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727E2"/>
    <w:multiLevelType w:val="hybridMultilevel"/>
    <w:tmpl w:val="8828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55A08"/>
    <w:multiLevelType w:val="hybridMultilevel"/>
    <w:tmpl w:val="4E1C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A649E"/>
    <w:multiLevelType w:val="hybridMultilevel"/>
    <w:tmpl w:val="967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A303D"/>
    <w:multiLevelType w:val="hybridMultilevel"/>
    <w:tmpl w:val="8BFA66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D54B81"/>
    <w:multiLevelType w:val="hybridMultilevel"/>
    <w:tmpl w:val="9488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E761B"/>
    <w:multiLevelType w:val="hybridMultilevel"/>
    <w:tmpl w:val="519C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437BD"/>
    <w:multiLevelType w:val="hybridMultilevel"/>
    <w:tmpl w:val="86DE63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BA3DD7"/>
    <w:multiLevelType w:val="hybridMultilevel"/>
    <w:tmpl w:val="2950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2"/>
  </w:num>
  <w:num w:numId="5">
    <w:abstractNumId w:val="12"/>
  </w:num>
  <w:num w:numId="6">
    <w:abstractNumId w:val="5"/>
  </w:num>
  <w:num w:numId="7">
    <w:abstractNumId w:val="3"/>
  </w:num>
  <w:num w:numId="8">
    <w:abstractNumId w:val="14"/>
  </w:num>
  <w:num w:numId="9">
    <w:abstractNumId w:val="4"/>
  </w:num>
  <w:num w:numId="10">
    <w:abstractNumId w:val="11"/>
  </w:num>
  <w:num w:numId="11">
    <w:abstractNumId w:val="15"/>
  </w:num>
  <w:num w:numId="12">
    <w:abstractNumId w:val="10"/>
  </w:num>
  <w:num w:numId="13">
    <w:abstractNumId w:val="1"/>
  </w:num>
  <w:num w:numId="14">
    <w:abstractNumId w:val="9"/>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A3"/>
    <w:rsid w:val="00004A53"/>
    <w:rsid w:val="00004FC9"/>
    <w:rsid w:val="00006785"/>
    <w:rsid w:val="000110DD"/>
    <w:rsid w:val="00017E53"/>
    <w:rsid w:val="00023385"/>
    <w:rsid w:val="00047D62"/>
    <w:rsid w:val="000672B0"/>
    <w:rsid w:val="00070A8F"/>
    <w:rsid w:val="00075B9F"/>
    <w:rsid w:val="00087D04"/>
    <w:rsid w:val="00091B2F"/>
    <w:rsid w:val="0009208E"/>
    <w:rsid w:val="00094F2A"/>
    <w:rsid w:val="000A0F28"/>
    <w:rsid w:val="000D109D"/>
    <w:rsid w:val="000D2530"/>
    <w:rsid w:val="000F5F0F"/>
    <w:rsid w:val="00102F4D"/>
    <w:rsid w:val="001051A6"/>
    <w:rsid w:val="00120FA7"/>
    <w:rsid w:val="001351ED"/>
    <w:rsid w:val="001446F0"/>
    <w:rsid w:val="001500FC"/>
    <w:rsid w:val="00157C49"/>
    <w:rsid w:val="00174174"/>
    <w:rsid w:val="0018147F"/>
    <w:rsid w:val="0018157B"/>
    <w:rsid w:val="00181C13"/>
    <w:rsid w:val="0018242F"/>
    <w:rsid w:val="00197AE9"/>
    <w:rsid w:val="00197E57"/>
    <w:rsid w:val="001A1AE5"/>
    <w:rsid w:val="001A2927"/>
    <w:rsid w:val="001A3341"/>
    <w:rsid w:val="001A743C"/>
    <w:rsid w:val="001C2627"/>
    <w:rsid w:val="001E5C2F"/>
    <w:rsid w:val="0020303B"/>
    <w:rsid w:val="00207E63"/>
    <w:rsid w:val="00210383"/>
    <w:rsid w:val="002175D6"/>
    <w:rsid w:val="00221A57"/>
    <w:rsid w:val="00222CA4"/>
    <w:rsid w:val="00226DB6"/>
    <w:rsid w:val="002277B0"/>
    <w:rsid w:val="0023720D"/>
    <w:rsid w:val="00237EED"/>
    <w:rsid w:val="002453C1"/>
    <w:rsid w:val="00247567"/>
    <w:rsid w:val="0025408C"/>
    <w:rsid w:val="00265FD2"/>
    <w:rsid w:val="00270BFB"/>
    <w:rsid w:val="00272ADB"/>
    <w:rsid w:val="00286D2D"/>
    <w:rsid w:val="002B4121"/>
    <w:rsid w:val="002C038A"/>
    <w:rsid w:val="002C0FFD"/>
    <w:rsid w:val="002C1901"/>
    <w:rsid w:val="002C3087"/>
    <w:rsid w:val="002C540B"/>
    <w:rsid w:val="00342A58"/>
    <w:rsid w:val="00345522"/>
    <w:rsid w:val="00354EE2"/>
    <w:rsid w:val="00373021"/>
    <w:rsid w:val="00376AC9"/>
    <w:rsid w:val="003905F7"/>
    <w:rsid w:val="003C34DD"/>
    <w:rsid w:val="003C5158"/>
    <w:rsid w:val="003D6C46"/>
    <w:rsid w:val="003E5820"/>
    <w:rsid w:val="003F137E"/>
    <w:rsid w:val="00402837"/>
    <w:rsid w:val="0040782D"/>
    <w:rsid w:val="0041549A"/>
    <w:rsid w:val="00425320"/>
    <w:rsid w:val="00427CCE"/>
    <w:rsid w:val="004505B1"/>
    <w:rsid w:val="00472881"/>
    <w:rsid w:val="004917B2"/>
    <w:rsid w:val="004A708C"/>
    <w:rsid w:val="004B429E"/>
    <w:rsid w:val="004C0EF3"/>
    <w:rsid w:val="004C1EFE"/>
    <w:rsid w:val="004C6CF8"/>
    <w:rsid w:val="004D6D21"/>
    <w:rsid w:val="004E231C"/>
    <w:rsid w:val="004E7734"/>
    <w:rsid w:val="00505A81"/>
    <w:rsid w:val="00516CDF"/>
    <w:rsid w:val="005208D5"/>
    <w:rsid w:val="00524964"/>
    <w:rsid w:val="00535603"/>
    <w:rsid w:val="00543803"/>
    <w:rsid w:val="005476F7"/>
    <w:rsid w:val="00567D55"/>
    <w:rsid w:val="0057704B"/>
    <w:rsid w:val="005867BC"/>
    <w:rsid w:val="00591213"/>
    <w:rsid w:val="005A4F22"/>
    <w:rsid w:val="005B74C4"/>
    <w:rsid w:val="005C4451"/>
    <w:rsid w:val="005E31F2"/>
    <w:rsid w:val="005E7A4C"/>
    <w:rsid w:val="005F1614"/>
    <w:rsid w:val="005F6615"/>
    <w:rsid w:val="005F72BF"/>
    <w:rsid w:val="00612090"/>
    <w:rsid w:val="00626403"/>
    <w:rsid w:val="00632BF9"/>
    <w:rsid w:val="006367AA"/>
    <w:rsid w:val="00642671"/>
    <w:rsid w:val="00666BBD"/>
    <w:rsid w:val="00687108"/>
    <w:rsid w:val="00687BE9"/>
    <w:rsid w:val="006A43A6"/>
    <w:rsid w:val="006A72EE"/>
    <w:rsid w:val="006B3675"/>
    <w:rsid w:val="006D5130"/>
    <w:rsid w:val="006D54AF"/>
    <w:rsid w:val="006E3C50"/>
    <w:rsid w:val="006E7B45"/>
    <w:rsid w:val="006F033C"/>
    <w:rsid w:val="006F5FD5"/>
    <w:rsid w:val="006F65EB"/>
    <w:rsid w:val="006F76C1"/>
    <w:rsid w:val="0070069A"/>
    <w:rsid w:val="007040C0"/>
    <w:rsid w:val="007153E7"/>
    <w:rsid w:val="007259B7"/>
    <w:rsid w:val="0072687D"/>
    <w:rsid w:val="00730262"/>
    <w:rsid w:val="007402A4"/>
    <w:rsid w:val="0074154E"/>
    <w:rsid w:val="00741A00"/>
    <w:rsid w:val="00747C5B"/>
    <w:rsid w:val="0076670D"/>
    <w:rsid w:val="0077142F"/>
    <w:rsid w:val="00780B07"/>
    <w:rsid w:val="007936E4"/>
    <w:rsid w:val="007B2167"/>
    <w:rsid w:val="007B4DD3"/>
    <w:rsid w:val="007B541A"/>
    <w:rsid w:val="007C0C9E"/>
    <w:rsid w:val="007C3E40"/>
    <w:rsid w:val="007D225C"/>
    <w:rsid w:val="007D306D"/>
    <w:rsid w:val="007E378A"/>
    <w:rsid w:val="007E5A0F"/>
    <w:rsid w:val="007F08D0"/>
    <w:rsid w:val="0080574D"/>
    <w:rsid w:val="00815C43"/>
    <w:rsid w:val="008319E7"/>
    <w:rsid w:val="00832032"/>
    <w:rsid w:val="00837133"/>
    <w:rsid w:val="008435C1"/>
    <w:rsid w:val="00845DD6"/>
    <w:rsid w:val="00847011"/>
    <w:rsid w:val="00850649"/>
    <w:rsid w:val="00851776"/>
    <w:rsid w:val="00853DAF"/>
    <w:rsid w:val="008847C1"/>
    <w:rsid w:val="00893F09"/>
    <w:rsid w:val="008B3414"/>
    <w:rsid w:val="008B5171"/>
    <w:rsid w:val="008C70BB"/>
    <w:rsid w:val="008C7C24"/>
    <w:rsid w:val="008D5C77"/>
    <w:rsid w:val="008D6B1D"/>
    <w:rsid w:val="008E2D90"/>
    <w:rsid w:val="008E5DFB"/>
    <w:rsid w:val="00911B27"/>
    <w:rsid w:val="00933FD9"/>
    <w:rsid w:val="009371BF"/>
    <w:rsid w:val="009575D7"/>
    <w:rsid w:val="00965748"/>
    <w:rsid w:val="00967D1A"/>
    <w:rsid w:val="00974D5A"/>
    <w:rsid w:val="00981C2A"/>
    <w:rsid w:val="00982D84"/>
    <w:rsid w:val="009B20B6"/>
    <w:rsid w:val="009B38F9"/>
    <w:rsid w:val="009C311B"/>
    <w:rsid w:val="009C535A"/>
    <w:rsid w:val="009D7A3C"/>
    <w:rsid w:val="009E16BF"/>
    <w:rsid w:val="009E36DC"/>
    <w:rsid w:val="009E4697"/>
    <w:rsid w:val="009F2AE9"/>
    <w:rsid w:val="00A02FFB"/>
    <w:rsid w:val="00A04DA2"/>
    <w:rsid w:val="00A129E2"/>
    <w:rsid w:val="00A13016"/>
    <w:rsid w:val="00A176A6"/>
    <w:rsid w:val="00A24C74"/>
    <w:rsid w:val="00A27194"/>
    <w:rsid w:val="00A3231B"/>
    <w:rsid w:val="00A326FF"/>
    <w:rsid w:val="00A346F1"/>
    <w:rsid w:val="00A4015B"/>
    <w:rsid w:val="00A41CCB"/>
    <w:rsid w:val="00A62D78"/>
    <w:rsid w:val="00A70078"/>
    <w:rsid w:val="00A721F4"/>
    <w:rsid w:val="00A85EBF"/>
    <w:rsid w:val="00A90E55"/>
    <w:rsid w:val="00A91AD3"/>
    <w:rsid w:val="00A9489B"/>
    <w:rsid w:val="00AA0651"/>
    <w:rsid w:val="00AB7950"/>
    <w:rsid w:val="00AD351E"/>
    <w:rsid w:val="00AF6163"/>
    <w:rsid w:val="00AF7FAF"/>
    <w:rsid w:val="00B0080F"/>
    <w:rsid w:val="00B05956"/>
    <w:rsid w:val="00B2204D"/>
    <w:rsid w:val="00B27867"/>
    <w:rsid w:val="00B35CF0"/>
    <w:rsid w:val="00B43D3C"/>
    <w:rsid w:val="00B447B9"/>
    <w:rsid w:val="00B5560B"/>
    <w:rsid w:val="00B55B1B"/>
    <w:rsid w:val="00B8091E"/>
    <w:rsid w:val="00B83CD7"/>
    <w:rsid w:val="00B9534F"/>
    <w:rsid w:val="00B97780"/>
    <w:rsid w:val="00BA1F80"/>
    <w:rsid w:val="00BA7C18"/>
    <w:rsid w:val="00BB3FED"/>
    <w:rsid w:val="00BB480B"/>
    <w:rsid w:val="00BC33C4"/>
    <w:rsid w:val="00BC5B28"/>
    <w:rsid w:val="00BD7A5F"/>
    <w:rsid w:val="00BE022D"/>
    <w:rsid w:val="00BE5E6D"/>
    <w:rsid w:val="00BF2B25"/>
    <w:rsid w:val="00BF4E92"/>
    <w:rsid w:val="00BF5700"/>
    <w:rsid w:val="00BF70A3"/>
    <w:rsid w:val="00C0103A"/>
    <w:rsid w:val="00C01D83"/>
    <w:rsid w:val="00C14EEF"/>
    <w:rsid w:val="00C24240"/>
    <w:rsid w:val="00C37E9C"/>
    <w:rsid w:val="00C5714B"/>
    <w:rsid w:val="00C6347B"/>
    <w:rsid w:val="00C70934"/>
    <w:rsid w:val="00C76FF6"/>
    <w:rsid w:val="00C7727F"/>
    <w:rsid w:val="00C92F40"/>
    <w:rsid w:val="00C93EEB"/>
    <w:rsid w:val="00C945A5"/>
    <w:rsid w:val="00C95EFA"/>
    <w:rsid w:val="00CA353F"/>
    <w:rsid w:val="00CA4173"/>
    <w:rsid w:val="00CD6220"/>
    <w:rsid w:val="00CD701A"/>
    <w:rsid w:val="00CE0816"/>
    <w:rsid w:val="00CE5BBB"/>
    <w:rsid w:val="00CE7904"/>
    <w:rsid w:val="00CF39B4"/>
    <w:rsid w:val="00D000B7"/>
    <w:rsid w:val="00D04E95"/>
    <w:rsid w:val="00D14FDD"/>
    <w:rsid w:val="00D34EB7"/>
    <w:rsid w:val="00D351F5"/>
    <w:rsid w:val="00D403F4"/>
    <w:rsid w:val="00D439B6"/>
    <w:rsid w:val="00D447DA"/>
    <w:rsid w:val="00D47563"/>
    <w:rsid w:val="00D4765A"/>
    <w:rsid w:val="00D56C08"/>
    <w:rsid w:val="00D66349"/>
    <w:rsid w:val="00D72F43"/>
    <w:rsid w:val="00D97381"/>
    <w:rsid w:val="00DA320F"/>
    <w:rsid w:val="00DA33E8"/>
    <w:rsid w:val="00DB6655"/>
    <w:rsid w:val="00DC50C5"/>
    <w:rsid w:val="00DD0565"/>
    <w:rsid w:val="00DF00A7"/>
    <w:rsid w:val="00DF338C"/>
    <w:rsid w:val="00E013EE"/>
    <w:rsid w:val="00E07511"/>
    <w:rsid w:val="00E10744"/>
    <w:rsid w:val="00E17CFA"/>
    <w:rsid w:val="00E22ACF"/>
    <w:rsid w:val="00E3394B"/>
    <w:rsid w:val="00E377DB"/>
    <w:rsid w:val="00E4433F"/>
    <w:rsid w:val="00E63077"/>
    <w:rsid w:val="00E6516C"/>
    <w:rsid w:val="00E70C6A"/>
    <w:rsid w:val="00E838DA"/>
    <w:rsid w:val="00E8438D"/>
    <w:rsid w:val="00E877E3"/>
    <w:rsid w:val="00E87FC8"/>
    <w:rsid w:val="00E96D4E"/>
    <w:rsid w:val="00EA1D12"/>
    <w:rsid w:val="00EA2FE1"/>
    <w:rsid w:val="00EA69DB"/>
    <w:rsid w:val="00EB0A38"/>
    <w:rsid w:val="00EB6D8D"/>
    <w:rsid w:val="00EC161D"/>
    <w:rsid w:val="00ED020A"/>
    <w:rsid w:val="00ED1109"/>
    <w:rsid w:val="00ED4A0F"/>
    <w:rsid w:val="00ED55F2"/>
    <w:rsid w:val="00ED7862"/>
    <w:rsid w:val="00EE0C46"/>
    <w:rsid w:val="00EF4F67"/>
    <w:rsid w:val="00F01C4F"/>
    <w:rsid w:val="00F1474C"/>
    <w:rsid w:val="00F154C8"/>
    <w:rsid w:val="00F16339"/>
    <w:rsid w:val="00F371A8"/>
    <w:rsid w:val="00F46198"/>
    <w:rsid w:val="00F463AB"/>
    <w:rsid w:val="00F50AB3"/>
    <w:rsid w:val="00F54354"/>
    <w:rsid w:val="00F827DC"/>
    <w:rsid w:val="00F91B35"/>
    <w:rsid w:val="00F94211"/>
    <w:rsid w:val="00F94AF2"/>
    <w:rsid w:val="00FA260D"/>
    <w:rsid w:val="00FA5B65"/>
    <w:rsid w:val="00FA7DF8"/>
    <w:rsid w:val="00FB4E9C"/>
    <w:rsid w:val="00FC06CA"/>
    <w:rsid w:val="00FC6C46"/>
    <w:rsid w:val="00FC6DF1"/>
    <w:rsid w:val="00FD1B55"/>
    <w:rsid w:val="00FE0D64"/>
    <w:rsid w:val="00FE136F"/>
    <w:rsid w:val="00FE2AA6"/>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7D58"/>
  <w15:chartTrackingRefBased/>
  <w15:docId w15:val="{0A609730-28FF-6C45-B3DE-92119B9D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0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70A3"/>
    <w:pPr>
      <w:tabs>
        <w:tab w:val="center" w:pos="4320"/>
        <w:tab w:val="right" w:pos="8640"/>
      </w:tabs>
    </w:pPr>
  </w:style>
  <w:style w:type="character" w:customStyle="1" w:styleId="FooterChar">
    <w:name w:val="Footer Char"/>
    <w:basedOn w:val="DefaultParagraphFont"/>
    <w:link w:val="Footer"/>
    <w:uiPriority w:val="99"/>
    <w:rsid w:val="00BF70A3"/>
    <w:rPr>
      <w:rFonts w:ascii="Times New Roman" w:eastAsia="Times New Roman" w:hAnsi="Times New Roman" w:cs="Times New Roman"/>
    </w:rPr>
  </w:style>
  <w:style w:type="paragraph" w:styleId="ListParagraph">
    <w:name w:val="List Paragraph"/>
    <w:basedOn w:val="Normal"/>
    <w:uiPriority w:val="1"/>
    <w:qFormat/>
    <w:rsid w:val="00BF70A3"/>
    <w:pPr>
      <w:ind w:left="720"/>
      <w:contextualSpacing/>
    </w:pPr>
  </w:style>
  <w:style w:type="paragraph" w:styleId="Header">
    <w:name w:val="header"/>
    <w:basedOn w:val="Normal"/>
    <w:link w:val="HeaderChar"/>
    <w:uiPriority w:val="99"/>
    <w:unhideWhenUsed/>
    <w:rsid w:val="00006785"/>
    <w:pPr>
      <w:tabs>
        <w:tab w:val="center" w:pos="4680"/>
        <w:tab w:val="right" w:pos="9360"/>
      </w:tabs>
    </w:pPr>
  </w:style>
  <w:style w:type="character" w:customStyle="1" w:styleId="HeaderChar">
    <w:name w:val="Header Char"/>
    <w:basedOn w:val="DefaultParagraphFont"/>
    <w:link w:val="Header"/>
    <w:uiPriority w:val="99"/>
    <w:rsid w:val="00006785"/>
    <w:rPr>
      <w:rFonts w:ascii="Times New Roman" w:eastAsia="Times New Roman" w:hAnsi="Times New Roman" w:cs="Times New Roman"/>
    </w:rPr>
  </w:style>
  <w:style w:type="table" w:styleId="TableGrid">
    <w:name w:val="Table Grid"/>
    <w:basedOn w:val="TableNormal"/>
    <w:uiPriority w:val="59"/>
    <w:rsid w:val="0000678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785"/>
    <w:rPr>
      <w:color w:val="0563C1" w:themeColor="hyperlink"/>
      <w:u w:val="single"/>
    </w:rPr>
  </w:style>
  <w:style w:type="character" w:styleId="CommentReference">
    <w:name w:val="annotation reference"/>
    <w:basedOn w:val="DefaultParagraphFont"/>
    <w:uiPriority w:val="99"/>
    <w:semiHidden/>
    <w:unhideWhenUsed/>
    <w:rsid w:val="00006785"/>
    <w:rPr>
      <w:sz w:val="16"/>
      <w:szCs w:val="16"/>
    </w:rPr>
  </w:style>
  <w:style w:type="paragraph" w:styleId="CommentText">
    <w:name w:val="annotation text"/>
    <w:basedOn w:val="Normal"/>
    <w:link w:val="CommentTextChar"/>
    <w:uiPriority w:val="99"/>
    <w:semiHidden/>
    <w:unhideWhenUsed/>
    <w:rsid w:val="00006785"/>
    <w:rPr>
      <w:sz w:val="20"/>
      <w:szCs w:val="20"/>
    </w:rPr>
  </w:style>
  <w:style w:type="character" w:customStyle="1" w:styleId="CommentTextChar">
    <w:name w:val="Comment Text Char"/>
    <w:basedOn w:val="DefaultParagraphFont"/>
    <w:link w:val="CommentText"/>
    <w:uiPriority w:val="99"/>
    <w:semiHidden/>
    <w:rsid w:val="000067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785"/>
    <w:rPr>
      <w:b/>
      <w:bCs/>
    </w:rPr>
  </w:style>
  <w:style w:type="character" w:customStyle="1" w:styleId="CommentSubjectChar">
    <w:name w:val="Comment Subject Char"/>
    <w:basedOn w:val="CommentTextChar"/>
    <w:link w:val="CommentSubject"/>
    <w:uiPriority w:val="99"/>
    <w:semiHidden/>
    <w:rsid w:val="000067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6785"/>
    <w:rPr>
      <w:sz w:val="18"/>
      <w:szCs w:val="18"/>
    </w:rPr>
  </w:style>
  <w:style w:type="character" w:customStyle="1" w:styleId="BalloonTextChar">
    <w:name w:val="Balloon Text Char"/>
    <w:basedOn w:val="DefaultParagraphFont"/>
    <w:link w:val="BalloonText"/>
    <w:uiPriority w:val="99"/>
    <w:semiHidden/>
    <w:rsid w:val="00006785"/>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C70934"/>
    <w:rPr>
      <w:color w:val="954F72" w:themeColor="followedHyperlink"/>
      <w:u w:val="single"/>
    </w:rPr>
  </w:style>
  <w:style w:type="character" w:styleId="UnresolvedMention">
    <w:name w:val="Unresolved Mention"/>
    <w:basedOn w:val="DefaultParagraphFont"/>
    <w:uiPriority w:val="99"/>
    <w:semiHidden/>
    <w:unhideWhenUsed/>
    <w:rsid w:val="00DF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ademicsupport.auburn.edu/academic-support-home/academic-coaching/" TargetMode="External"/><Relationship Id="rId18" Type="http://schemas.openxmlformats.org/officeDocument/2006/relationships/hyperlink" Target="http://wp.auburn.edu/writing/writing-center/" TargetMode="External"/><Relationship Id="rId26" Type="http://schemas.openxmlformats.org/officeDocument/2006/relationships/hyperlink" Target="http://wp.auburn.edu/healthandwellness/recovery/" TargetMode="External"/><Relationship Id="rId3" Type="http://schemas.openxmlformats.org/officeDocument/2006/relationships/settings" Target="settings.xml"/><Relationship Id="rId21" Type="http://schemas.openxmlformats.org/officeDocument/2006/relationships/hyperlink" Target="http://wp.auburn.edu/healthandwellness/safe-harbor/" TargetMode="External"/><Relationship Id="rId7" Type="http://schemas.openxmlformats.org/officeDocument/2006/relationships/footer" Target="footer1.xml"/><Relationship Id="rId12" Type="http://schemas.openxmlformats.org/officeDocument/2006/relationships/hyperlink" Target="http://academicsupport.auburn.edu/" TargetMode="External"/><Relationship Id="rId17" Type="http://schemas.openxmlformats.org/officeDocument/2006/relationships/hyperlink" Target="http://wp.auburn.edu/writing/eportfolio-project/" TargetMode="External"/><Relationship Id="rId25" Type="http://schemas.openxmlformats.org/officeDocument/2006/relationships/hyperlink" Target="http://wp.auburn.edu/healthandwellness/alcohol-drug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artner@auburn.edu" TargetMode="External"/><Relationship Id="rId20" Type="http://schemas.openxmlformats.org/officeDocument/2006/relationships/hyperlink" Target="http://www.auburn.edu/administration/aaeeo/title-ix/"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ccessibility" TargetMode="External"/><Relationship Id="rId24" Type="http://schemas.openxmlformats.org/officeDocument/2006/relationships/hyperlink" Target="http://wp.auburn.edu/sc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cademicsupport.auburn.edu/academic-support-home/study-partners-home/" TargetMode="External"/><Relationship Id="rId23" Type="http://schemas.openxmlformats.org/officeDocument/2006/relationships/hyperlink" Target="http://veterans.auburn.edu/"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mailto:accessibility@auburn.edu" TargetMode="External"/><Relationship Id="rId19" Type="http://schemas.openxmlformats.org/officeDocument/2006/relationships/hyperlink" Target="http://career.auburn.edu/" TargetMode="External"/><Relationship Id="rId31" Type="http://schemas.openxmlformats.org/officeDocument/2006/relationships/hyperlink" Target="http://www.petersmagorinsky.net/Units/index.html"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hyperlink" Target="mailto:academic_support@auburn.edu" TargetMode="External"/><Relationship Id="rId22" Type="http://schemas.openxmlformats.org/officeDocument/2006/relationships/hyperlink" Target="http://diversity.auburn.edu/cross-cultural-center-for-excellence/" TargetMode="External"/><Relationship Id="rId27" Type="http://schemas.openxmlformats.org/officeDocument/2006/relationships/hyperlink" Target="http://wp.auburn.edu/healthandwellness/other-services/" TargetMode="External"/><Relationship Id="rId30" Type="http://schemas.openxmlformats.org/officeDocument/2006/relationships/hyperlink" Target="http://www.ncte.org/action/anti-censorship/rationales" TargetMode="External"/><Relationship Id="rId8"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6812</Words>
  <Characters>38831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Schey</dc:creator>
  <cp:keywords/>
  <dc:description/>
  <cp:lastModifiedBy>Ryan Schey</cp:lastModifiedBy>
  <cp:revision>4</cp:revision>
  <dcterms:created xsi:type="dcterms:W3CDTF">2019-01-09T01:07:00Z</dcterms:created>
  <dcterms:modified xsi:type="dcterms:W3CDTF">2019-01-09T01:21:00Z</dcterms:modified>
</cp:coreProperties>
</file>