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198FA" w14:textId="77777777" w:rsidR="00143266" w:rsidRPr="0081105E" w:rsidRDefault="00143266" w:rsidP="00143266">
      <w:pPr>
        <w:ind w:right="-720"/>
        <w:jc w:val="center"/>
        <w:rPr>
          <w:b/>
        </w:rPr>
      </w:pPr>
      <w:r w:rsidRPr="0081105E">
        <w:rPr>
          <w:b/>
        </w:rPr>
        <w:t>AUBURN UNIVERSITY</w:t>
      </w:r>
    </w:p>
    <w:p w14:paraId="16C6B1F3" w14:textId="77777777" w:rsidR="00143266" w:rsidRPr="0081105E" w:rsidRDefault="00143266" w:rsidP="00143266">
      <w:pPr>
        <w:contextualSpacing/>
        <w:jc w:val="center"/>
        <w:rPr>
          <w:b/>
        </w:rPr>
      </w:pPr>
      <w:r w:rsidRPr="0081105E">
        <w:rPr>
          <w:b/>
        </w:rPr>
        <w:t>DEPARTMENT OF SPECIAL EDUCATION, REHABILITATION, AND COUNSELING</w:t>
      </w:r>
    </w:p>
    <w:p w14:paraId="5FA565F5" w14:textId="77777777" w:rsidR="00143266" w:rsidRDefault="00143266" w:rsidP="00143266">
      <w:pPr>
        <w:ind w:left="-720" w:right="-720"/>
        <w:jc w:val="center"/>
        <w:rPr>
          <w:b/>
        </w:rPr>
      </w:pPr>
      <w:r w:rsidRPr="0081105E">
        <w:rPr>
          <w:b/>
        </w:rPr>
        <w:t>Course Syllabus</w:t>
      </w:r>
    </w:p>
    <w:p w14:paraId="311C7210" w14:textId="5FE41CAB" w:rsidR="00E73132" w:rsidRPr="0081105E" w:rsidRDefault="00C42793" w:rsidP="00143266">
      <w:pPr>
        <w:ind w:left="-720" w:right="-720"/>
        <w:jc w:val="center"/>
        <w:rPr>
          <w:b/>
        </w:rPr>
      </w:pPr>
      <w:r>
        <w:rPr>
          <w:b/>
        </w:rPr>
        <w:t>SPRING 2019</w:t>
      </w:r>
    </w:p>
    <w:p w14:paraId="6745480F" w14:textId="77777777" w:rsidR="00143266" w:rsidRPr="0081105E" w:rsidRDefault="00143266" w:rsidP="00143266">
      <w:pPr>
        <w:ind w:left="-720" w:right="-720"/>
        <w:jc w:val="center"/>
        <w:rPr>
          <w:b/>
        </w:rPr>
      </w:pPr>
    </w:p>
    <w:p w14:paraId="67EA6268" w14:textId="77777777" w:rsidR="00143266" w:rsidRPr="0081105E" w:rsidRDefault="00143266" w:rsidP="00143266">
      <w:pPr>
        <w:ind w:left="-720" w:right="-720"/>
        <w:jc w:val="center"/>
        <w:rPr>
          <w:b/>
        </w:rPr>
      </w:pPr>
    </w:p>
    <w:p w14:paraId="25CE0C65" w14:textId="65A87741" w:rsidR="00143266" w:rsidRPr="0081105E" w:rsidRDefault="00143266" w:rsidP="00143266">
      <w:pPr>
        <w:numPr>
          <w:ilvl w:val="0"/>
          <w:numId w:val="1"/>
        </w:numPr>
        <w:tabs>
          <w:tab w:val="left" w:pos="2430"/>
        </w:tabs>
      </w:pPr>
      <w:r w:rsidRPr="0081105E">
        <w:rPr>
          <w:b/>
        </w:rPr>
        <w:t xml:space="preserve">Course Number: </w:t>
      </w:r>
      <w:r w:rsidRPr="0081105E">
        <w:rPr>
          <w:b/>
        </w:rPr>
        <w:tab/>
      </w:r>
      <w:r w:rsidR="001B4090">
        <w:t>RSED</w:t>
      </w:r>
      <w:r w:rsidRPr="0081105E">
        <w:t xml:space="preserve"> </w:t>
      </w:r>
      <w:r w:rsidR="00155A76" w:rsidRPr="0081105E">
        <w:rPr>
          <w:rStyle w:val="apple-converted-space"/>
          <w:color w:val="212121"/>
          <w:shd w:val="clear" w:color="auto" w:fill="FFFFFF"/>
        </w:rPr>
        <w:t> </w:t>
      </w:r>
      <w:r w:rsidR="00E66775">
        <w:rPr>
          <w:color w:val="212121"/>
          <w:shd w:val="clear" w:color="auto" w:fill="FFFFFF"/>
        </w:rPr>
        <w:t>4970/</w:t>
      </w:r>
      <w:r w:rsidR="00164E3A">
        <w:rPr>
          <w:color w:val="212121"/>
          <w:shd w:val="clear" w:color="auto" w:fill="FFFFFF"/>
        </w:rPr>
        <w:t>4973</w:t>
      </w:r>
    </w:p>
    <w:tbl>
      <w:tblPr>
        <w:tblW w:w="94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4"/>
        <w:gridCol w:w="4027"/>
        <w:gridCol w:w="3377"/>
      </w:tblGrid>
      <w:tr w:rsidR="00143266" w:rsidRPr="0081105E" w14:paraId="66CC3B5B" w14:textId="77777777" w:rsidTr="005849BF">
        <w:tc>
          <w:tcPr>
            <w:tcW w:w="2064" w:type="dxa"/>
            <w:tcBorders>
              <w:top w:val="single" w:sz="4" w:space="0" w:color="D9D9D9"/>
              <w:left w:val="nil"/>
              <w:bottom w:val="single" w:sz="4" w:space="0" w:color="D9D9D9"/>
              <w:right w:val="nil"/>
            </w:tcBorders>
          </w:tcPr>
          <w:p w14:paraId="6CBE45A5" w14:textId="77777777" w:rsidR="00143266" w:rsidRPr="0081105E" w:rsidRDefault="00143266" w:rsidP="005849BF">
            <w:pPr>
              <w:rPr>
                <w:b/>
              </w:rPr>
            </w:pPr>
            <w:r w:rsidRPr="0081105E">
              <w:rPr>
                <w:b/>
              </w:rPr>
              <w:t xml:space="preserve">Course Title: </w:t>
            </w:r>
          </w:p>
        </w:tc>
        <w:tc>
          <w:tcPr>
            <w:tcW w:w="7404" w:type="dxa"/>
            <w:gridSpan w:val="2"/>
            <w:tcBorders>
              <w:top w:val="single" w:sz="4" w:space="0" w:color="D9D9D9"/>
              <w:left w:val="nil"/>
              <w:bottom w:val="single" w:sz="4" w:space="0" w:color="D9D9D9"/>
              <w:right w:val="nil"/>
            </w:tcBorders>
          </w:tcPr>
          <w:p w14:paraId="5A82CBAB" w14:textId="77777777" w:rsidR="00143266" w:rsidRPr="0081105E" w:rsidRDefault="00143266" w:rsidP="005849BF">
            <w:r w:rsidRPr="0081105E">
              <w:t>Transition Services through Emerging Adulthood in Rehabilitation</w:t>
            </w:r>
          </w:p>
        </w:tc>
      </w:tr>
      <w:tr w:rsidR="00143266" w:rsidRPr="0081105E" w14:paraId="48F68EE5" w14:textId="77777777" w:rsidTr="005849BF">
        <w:tc>
          <w:tcPr>
            <w:tcW w:w="2064" w:type="dxa"/>
            <w:tcBorders>
              <w:top w:val="single" w:sz="4" w:space="0" w:color="D9D9D9"/>
              <w:left w:val="nil"/>
              <w:bottom w:val="single" w:sz="4" w:space="0" w:color="D9D9D9"/>
              <w:right w:val="nil"/>
            </w:tcBorders>
          </w:tcPr>
          <w:p w14:paraId="440E02E7" w14:textId="77777777" w:rsidR="00143266" w:rsidRPr="0081105E" w:rsidRDefault="00143266" w:rsidP="005849BF">
            <w:pPr>
              <w:rPr>
                <w:b/>
              </w:rPr>
            </w:pPr>
            <w:r w:rsidRPr="0081105E">
              <w:rPr>
                <w:b/>
              </w:rPr>
              <w:t xml:space="preserve">Credit Hours: </w:t>
            </w:r>
          </w:p>
        </w:tc>
        <w:tc>
          <w:tcPr>
            <w:tcW w:w="7404" w:type="dxa"/>
            <w:gridSpan w:val="2"/>
            <w:tcBorders>
              <w:top w:val="single" w:sz="4" w:space="0" w:color="D9D9D9"/>
              <w:left w:val="nil"/>
              <w:bottom w:val="single" w:sz="4" w:space="0" w:color="D9D9D9"/>
              <w:right w:val="nil"/>
            </w:tcBorders>
          </w:tcPr>
          <w:p w14:paraId="68922085" w14:textId="77777777" w:rsidR="00143266" w:rsidRPr="0081105E" w:rsidRDefault="00143266" w:rsidP="005849BF">
            <w:r w:rsidRPr="0081105E">
              <w:t>3 Semester Hours</w:t>
            </w:r>
          </w:p>
        </w:tc>
      </w:tr>
      <w:tr w:rsidR="00143266" w:rsidRPr="0081105E" w14:paraId="26727D37" w14:textId="77777777" w:rsidTr="005849BF">
        <w:tc>
          <w:tcPr>
            <w:tcW w:w="2064" w:type="dxa"/>
            <w:tcBorders>
              <w:top w:val="single" w:sz="4" w:space="0" w:color="D9D9D9"/>
              <w:left w:val="nil"/>
              <w:bottom w:val="single" w:sz="4" w:space="0" w:color="D9D9D9"/>
              <w:right w:val="nil"/>
            </w:tcBorders>
          </w:tcPr>
          <w:p w14:paraId="35D4B558" w14:textId="77777777" w:rsidR="00143266" w:rsidRPr="0081105E" w:rsidRDefault="00143266" w:rsidP="005849BF">
            <w:pPr>
              <w:rPr>
                <w:b/>
              </w:rPr>
            </w:pPr>
            <w:r w:rsidRPr="0081105E">
              <w:rPr>
                <w:b/>
              </w:rPr>
              <w:t xml:space="preserve">Course Meetings:       </w:t>
            </w:r>
          </w:p>
        </w:tc>
        <w:tc>
          <w:tcPr>
            <w:tcW w:w="7404" w:type="dxa"/>
            <w:gridSpan w:val="2"/>
            <w:tcBorders>
              <w:top w:val="single" w:sz="4" w:space="0" w:color="D9D9D9"/>
              <w:left w:val="nil"/>
              <w:bottom w:val="single" w:sz="4" w:space="0" w:color="D9D9D9"/>
              <w:right w:val="nil"/>
            </w:tcBorders>
          </w:tcPr>
          <w:p w14:paraId="3C3DB5C1" w14:textId="595ED36B" w:rsidR="00143266" w:rsidRPr="0081105E" w:rsidRDefault="00CC523D" w:rsidP="005849BF">
            <w:r>
              <w:t>Distance Education/CANVAS</w:t>
            </w:r>
          </w:p>
        </w:tc>
      </w:tr>
      <w:tr w:rsidR="00143266" w:rsidRPr="0081105E" w14:paraId="0E33C402" w14:textId="77777777" w:rsidTr="005849BF">
        <w:tc>
          <w:tcPr>
            <w:tcW w:w="2064" w:type="dxa"/>
            <w:tcBorders>
              <w:top w:val="single" w:sz="4" w:space="0" w:color="D9D9D9"/>
              <w:left w:val="nil"/>
              <w:bottom w:val="single" w:sz="4" w:space="0" w:color="D9D9D9"/>
              <w:right w:val="nil"/>
            </w:tcBorders>
          </w:tcPr>
          <w:p w14:paraId="113A6121" w14:textId="77777777" w:rsidR="00143266" w:rsidRPr="0081105E" w:rsidRDefault="00143266" w:rsidP="005849BF">
            <w:pPr>
              <w:rPr>
                <w:b/>
              </w:rPr>
            </w:pPr>
            <w:r w:rsidRPr="0081105E">
              <w:rPr>
                <w:b/>
              </w:rPr>
              <w:t>Prerequisites:</w:t>
            </w:r>
          </w:p>
        </w:tc>
        <w:tc>
          <w:tcPr>
            <w:tcW w:w="7404" w:type="dxa"/>
            <w:gridSpan w:val="2"/>
            <w:tcBorders>
              <w:top w:val="single" w:sz="4" w:space="0" w:color="D9D9D9"/>
              <w:left w:val="nil"/>
              <w:bottom w:val="single" w:sz="4" w:space="0" w:color="D9D9D9"/>
              <w:right w:val="nil"/>
            </w:tcBorders>
          </w:tcPr>
          <w:p w14:paraId="07ACE0AB" w14:textId="2653EDD0" w:rsidR="00143266" w:rsidRPr="0081105E" w:rsidRDefault="000A72FA" w:rsidP="00164E3A">
            <w:r w:rsidRPr="0081105E">
              <w:t xml:space="preserve">enrolled in SERC </w:t>
            </w:r>
            <w:r w:rsidR="00164E3A">
              <w:t>undergraduate program</w:t>
            </w:r>
          </w:p>
        </w:tc>
      </w:tr>
      <w:tr w:rsidR="00143266" w:rsidRPr="0081105E" w14:paraId="06E2E200" w14:textId="77777777" w:rsidTr="005849BF">
        <w:tc>
          <w:tcPr>
            <w:tcW w:w="2064" w:type="dxa"/>
            <w:tcBorders>
              <w:top w:val="single" w:sz="4" w:space="0" w:color="D9D9D9"/>
              <w:left w:val="nil"/>
              <w:bottom w:val="single" w:sz="4" w:space="0" w:color="D9D9D9"/>
              <w:right w:val="nil"/>
            </w:tcBorders>
          </w:tcPr>
          <w:p w14:paraId="72F349EE" w14:textId="77777777" w:rsidR="00143266" w:rsidRPr="0081105E" w:rsidRDefault="00143266" w:rsidP="005849BF">
            <w:pPr>
              <w:rPr>
                <w:b/>
              </w:rPr>
            </w:pPr>
            <w:r w:rsidRPr="0081105E">
              <w:rPr>
                <w:b/>
              </w:rPr>
              <w:t>Corequisites:</w:t>
            </w:r>
          </w:p>
        </w:tc>
        <w:tc>
          <w:tcPr>
            <w:tcW w:w="7404" w:type="dxa"/>
            <w:gridSpan w:val="2"/>
            <w:tcBorders>
              <w:top w:val="single" w:sz="4" w:space="0" w:color="D9D9D9"/>
              <w:left w:val="nil"/>
              <w:bottom w:val="single" w:sz="4" w:space="0" w:color="D9D9D9"/>
              <w:right w:val="nil"/>
            </w:tcBorders>
          </w:tcPr>
          <w:p w14:paraId="7A681B0E" w14:textId="77777777" w:rsidR="00143266" w:rsidRPr="0081105E" w:rsidRDefault="00143266" w:rsidP="005849BF">
            <w:r w:rsidRPr="0081105E">
              <w:t>None</w:t>
            </w:r>
          </w:p>
        </w:tc>
      </w:tr>
      <w:tr w:rsidR="00143266" w:rsidRPr="0081105E" w14:paraId="7FCF5E51" w14:textId="77777777" w:rsidTr="005849BF">
        <w:tc>
          <w:tcPr>
            <w:tcW w:w="2064" w:type="dxa"/>
            <w:tcBorders>
              <w:top w:val="single" w:sz="4" w:space="0" w:color="D9D9D9"/>
              <w:left w:val="nil"/>
              <w:bottom w:val="single" w:sz="4" w:space="0" w:color="D9D9D9"/>
              <w:right w:val="nil"/>
            </w:tcBorders>
          </w:tcPr>
          <w:p w14:paraId="4904BB7E" w14:textId="77777777" w:rsidR="00143266" w:rsidRPr="0081105E" w:rsidRDefault="00143266" w:rsidP="005849BF">
            <w:pPr>
              <w:rPr>
                <w:b/>
              </w:rPr>
            </w:pPr>
            <w:r w:rsidRPr="0081105E">
              <w:rPr>
                <w:b/>
                <w:bCs/>
              </w:rPr>
              <w:t>Instructor:</w:t>
            </w:r>
          </w:p>
        </w:tc>
        <w:tc>
          <w:tcPr>
            <w:tcW w:w="4027" w:type="dxa"/>
            <w:tcBorders>
              <w:top w:val="single" w:sz="4" w:space="0" w:color="D9D9D9"/>
              <w:left w:val="nil"/>
              <w:bottom w:val="single" w:sz="4" w:space="0" w:color="D9D9D9"/>
              <w:right w:val="nil"/>
            </w:tcBorders>
          </w:tcPr>
          <w:p w14:paraId="5599B208" w14:textId="554F1E3B" w:rsidR="00143266" w:rsidRPr="0081105E" w:rsidRDefault="00143266" w:rsidP="00E73132">
            <w:r w:rsidRPr="0081105E">
              <w:rPr>
                <w:bCs/>
              </w:rPr>
              <w:t>Nic</w:t>
            </w:r>
            <w:r w:rsidR="00CC523D">
              <w:rPr>
                <w:bCs/>
              </w:rPr>
              <w:t>holas</w:t>
            </w:r>
            <w:r w:rsidRPr="0081105E">
              <w:rPr>
                <w:bCs/>
              </w:rPr>
              <w:t xml:space="preserve"> </w:t>
            </w:r>
            <w:proofErr w:type="spellStart"/>
            <w:r w:rsidRPr="0081105E">
              <w:rPr>
                <w:bCs/>
              </w:rPr>
              <w:t>Derzis</w:t>
            </w:r>
            <w:proofErr w:type="spellEnd"/>
            <w:r w:rsidRPr="0081105E">
              <w:rPr>
                <w:bCs/>
              </w:rPr>
              <w:t>,</w:t>
            </w:r>
            <w:r w:rsidR="00CC523D">
              <w:rPr>
                <w:bCs/>
              </w:rPr>
              <w:t xml:space="preserve"> PhD,</w:t>
            </w:r>
            <w:r w:rsidR="00E73132">
              <w:rPr>
                <w:bCs/>
              </w:rPr>
              <w:t xml:space="preserve"> </w:t>
            </w:r>
            <w:r w:rsidRPr="0081105E">
              <w:rPr>
                <w:bCs/>
              </w:rPr>
              <w:t>CRC</w:t>
            </w:r>
            <w:r w:rsidRPr="0081105E">
              <w:rPr>
                <w:b/>
                <w:bCs/>
              </w:rPr>
              <w:t xml:space="preserve"> </w:t>
            </w:r>
          </w:p>
        </w:tc>
        <w:tc>
          <w:tcPr>
            <w:tcW w:w="3377" w:type="dxa"/>
            <w:tcBorders>
              <w:top w:val="single" w:sz="4" w:space="0" w:color="D9D9D9"/>
              <w:left w:val="nil"/>
              <w:bottom w:val="single" w:sz="4" w:space="0" w:color="D9D9D9"/>
              <w:right w:val="nil"/>
            </w:tcBorders>
          </w:tcPr>
          <w:p w14:paraId="044FADE8" w14:textId="77777777" w:rsidR="00143266" w:rsidRPr="0081105E" w:rsidRDefault="00143266" w:rsidP="005849BF"/>
        </w:tc>
      </w:tr>
      <w:tr w:rsidR="00143266" w:rsidRPr="0081105E" w14:paraId="2951FAC3" w14:textId="77777777" w:rsidTr="005849BF">
        <w:tc>
          <w:tcPr>
            <w:tcW w:w="2064" w:type="dxa"/>
            <w:tcBorders>
              <w:top w:val="single" w:sz="4" w:space="0" w:color="D9D9D9"/>
              <w:left w:val="nil"/>
              <w:bottom w:val="single" w:sz="4" w:space="0" w:color="D9D9D9"/>
              <w:right w:val="nil"/>
            </w:tcBorders>
          </w:tcPr>
          <w:p w14:paraId="51623CBD" w14:textId="77777777" w:rsidR="00143266" w:rsidRPr="0081105E" w:rsidRDefault="00143266" w:rsidP="005849BF">
            <w:pPr>
              <w:contextualSpacing/>
              <w:rPr>
                <w:b/>
              </w:rPr>
            </w:pPr>
            <w:r w:rsidRPr="0081105E">
              <w:rPr>
                <w:b/>
              </w:rPr>
              <w:t>Office Location:</w:t>
            </w:r>
          </w:p>
        </w:tc>
        <w:tc>
          <w:tcPr>
            <w:tcW w:w="4027" w:type="dxa"/>
            <w:tcBorders>
              <w:top w:val="single" w:sz="4" w:space="0" w:color="D9D9D9"/>
              <w:left w:val="nil"/>
              <w:bottom w:val="single" w:sz="4" w:space="0" w:color="D9D9D9"/>
              <w:right w:val="nil"/>
            </w:tcBorders>
          </w:tcPr>
          <w:p w14:paraId="40C10D7B" w14:textId="77777777" w:rsidR="00143266" w:rsidRPr="0081105E" w:rsidRDefault="00143266" w:rsidP="005849BF">
            <w:pPr>
              <w:contextualSpacing/>
              <w:rPr>
                <w:bCs/>
              </w:rPr>
            </w:pPr>
            <w:r w:rsidRPr="0081105E">
              <w:rPr>
                <w:bCs/>
              </w:rPr>
              <w:t xml:space="preserve">1214 Haley Center </w:t>
            </w:r>
          </w:p>
        </w:tc>
        <w:tc>
          <w:tcPr>
            <w:tcW w:w="3377" w:type="dxa"/>
            <w:tcBorders>
              <w:top w:val="single" w:sz="4" w:space="0" w:color="D9D9D9"/>
              <w:left w:val="nil"/>
              <w:bottom w:val="single" w:sz="4" w:space="0" w:color="D9D9D9"/>
              <w:right w:val="nil"/>
            </w:tcBorders>
          </w:tcPr>
          <w:p w14:paraId="492EF3F6" w14:textId="77777777" w:rsidR="00143266" w:rsidRPr="0081105E" w:rsidRDefault="00143266" w:rsidP="005849BF"/>
        </w:tc>
      </w:tr>
      <w:tr w:rsidR="00143266" w:rsidRPr="0081105E" w14:paraId="0F993261" w14:textId="77777777" w:rsidTr="005849BF">
        <w:tc>
          <w:tcPr>
            <w:tcW w:w="2064" w:type="dxa"/>
            <w:tcBorders>
              <w:top w:val="single" w:sz="4" w:space="0" w:color="D9D9D9"/>
              <w:left w:val="nil"/>
              <w:bottom w:val="single" w:sz="4" w:space="0" w:color="D9D9D9"/>
              <w:right w:val="nil"/>
            </w:tcBorders>
          </w:tcPr>
          <w:p w14:paraId="490DCEE0" w14:textId="77777777" w:rsidR="00143266" w:rsidRPr="0081105E" w:rsidRDefault="00143266" w:rsidP="005849BF">
            <w:pPr>
              <w:contextualSpacing/>
              <w:rPr>
                <w:b/>
              </w:rPr>
            </w:pPr>
            <w:r w:rsidRPr="0081105E">
              <w:rPr>
                <w:b/>
              </w:rPr>
              <w:t>Phone/E-mail:</w:t>
            </w:r>
          </w:p>
        </w:tc>
        <w:tc>
          <w:tcPr>
            <w:tcW w:w="4027" w:type="dxa"/>
            <w:tcBorders>
              <w:top w:val="single" w:sz="4" w:space="0" w:color="D9D9D9"/>
              <w:left w:val="nil"/>
              <w:bottom w:val="single" w:sz="4" w:space="0" w:color="D9D9D9"/>
              <w:right w:val="nil"/>
            </w:tcBorders>
          </w:tcPr>
          <w:p w14:paraId="31C63E85" w14:textId="77777777" w:rsidR="00143266" w:rsidRPr="0081105E" w:rsidRDefault="00143266" w:rsidP="005849BF">
            <w:pPr>
              <w:contextualSpacing/>
              <w:rPr>
                <w:bCs/>
              </w:rPr>
            </w:pPr>
            <w:r w:rsidRPr="0081105E">
              <w:rPr>
                <w:bCs/>
              </w:rPr>
              <w:t>844-2501</w:t>
            </w:r>
          </w:p>
          <w:p w14:paraId="1D59314F" w14:textId="2AECF818" w:rsidR="00143266" w:rsidRPr="0081105E" w:rsidRDefault="00000000" w:rsidP="005849BF">
            <w:pPr>
              <w:contextualSpacing/>
              <w:rPr>
                <w:bCs/>
              </w:rPr>
            </w:pPr>
            <w:hyperlink r:id="rId7" w:history="1">
              <w:r w:rsidR="00E73132" w:rsidRPr="00EF085E">
                <w:rPr>
                  <w:rStyle w:val="Hyperlink"/>
                  <w:bCs/>
                </w:rPr>
                <w:t>derzinc@auburn.edu</w:t>
              </w:r>
            </w:hyperlink>
          </w:p>
        </w:tc>
        <w:tc>
          <w:tcPr>
            <w:tcW w:w="3377" w:type="dxa"/>
            <w:tcBorders>
              <w:top w:val="single" w:sz="4" w:space="0" w:color="D9D9D9"/>
              <w:left w:val="nil"/>
              <w:bottom w:val="single" w:sz="4" w:space="0" w:color="D9D9D9"/>
              <w:right w:val="nil"/>
            </w:tcBorders>
          </w:tcPr>
          <w:p w14:paraId="01C577FF" w14:textId="77777777" w:rsidR="00143266" w:rsidRPr="0081105E" w:rsidRDefault="00143266" w:rsidP="005849BF"/>
        </w:tc>
      </w:tr>
      <w:tr w:rsidR="00143266" w:rsidRPr="0081105E" w14:paraId="4EAC5622" w14:textId="77777777" w:rsidTr="005849BF">
        <w:trPr>
          <w:trHeight w:val="1187"/>
        </w:trPr>
        <w:tc>
          <w:tcPr>
            <w:tcW w:w="2064" w:type="dxa"/>
            <w:tcBorders>
              <w:top w:val="single" w:sz="4" w:space="0" w:color="D9D9D9"/>
              <w:left w:val="nil"/>
              <w:bottom w:val="single" w:sz="4" w:space="0" w:color="EEECE1"/>
              <w:right w:val="nil"/>
            </w:tcBorders>
          </w:tcPr>
          <w:p w14:paraId="032E6453" w14:textId="77777777" w:rsidR="00143266" w:rsidRPr="0081105E" w:rsidRDefault="00143266" w:rsidP="005849BF">
            <w:pPr>
              <w:contextualSpacing/>
              <w:rPr>
                <w:b/>
                <w:bCs/>
              </w:rPr>
            </w:pPr>
            <w:r w:rsidRPr="0081105E">
              <w:rPr>
                <w:b/>
                <w:bCs/>
              </w:rPr>
              <w:t xml:space="preserve">Office Hours:       </w:t>
            </w:r>
            <w:r w:rsidRPr="0081105E">
              <w:rPr>
                <w:b/>
                <w:bCs/>
                <w:color w:val="FF0000"/>
              </w:rPr>
              <w:t xml:space="preserve"> </w:t>
            </w:r>
          </w:p>
        </w:tc>
        <w:tc>
          <w:tcPr>
            <w:tcW w:w="4027" w:type="dxa"/>
            <w:tcBorders>
              <w:top w:val="single" w:sz="4" w:space="0" w:color="D9D9D9"/>
              <w:left w:val="nil"/>
              <w:bottom w:val="single" w:sz="4" w:space="0" w:color="EEECE1"/>
              <w:right w:val="nil"/>
            </w:tcBorders>
          </w:tcPr>
          <w:p w14:paraId="25CB674C" w14:textId="6EB52B8B" w:rsidR="00143266" w:rsidRDefault="00CC523D" w:rsidP="005849BF">
            <w:pPr>
              <w:contextualSpacing/>
              <w:rPr>
                <w:bCs/>
              </w:rPr>
            </w:pPr>
            <w:r>
              <w:rPr>
                <w:bCs/>
              </w:rPr>
              <w:t>By appointment</w:t>
            </w:r>
          </w:p>
          <w:p w14:paraId="55327531" w14:textId="77777777" w:rsidR="00002A2E" w:rsidRPr="0081105E" w:rsidRDefault="00002A2E" w:rsidP="005849BF">
            <w:pPr>
              <w:contextualSpacing/>
              <w:rPr>
                <w:bCs/>
              </w:rPr>
            </w:pPr>
          </w:p>
          <w:p w14:paraId="0746895C" w14:textId="77777777" w:rsidR="00143266" w:rsidRPr="0081105E" w:rsidRDefault="00143266" w:rsidP="005849BF">
            <w:pPr>
              <w:contextualSpacing/>
            </w:pPr>
            <w:r w:rsidRPr="0081105E">
              <w:t xml:space="preserve"> </w:t>
            </w:r>
          </w:p>
        </w:tc>
        <w:tc>
          <w:tcPr>
            <w:tcW w:w="3377" w:type="dxa"/>
            <w:tcBorders>
              <w:top w:val="single" w:sz="4" w:space="0" w:color="D9D9D9"/>
              <w:left w:val="nil"/>
              <w:bottom w:val="single" w:sz="4" w:space="0" w:color="EEECE1"/>
              <w:right w:val="nil"/>
            </w:tcBorders>
          </w:tcPr>
          <w:p w14:paraId="38104220" w14:textId="77777777" w:rsidR="00143266" w:rsidRPr="0081105E" w:rsidRDefault="00143266" w:rsidP="005849BF"/>
          <w:p w14:paraId="62C585D6" w14:textId="77777777" w:rsidR="00143266" w:rsidRPr="0081105E" w:rsidRDefault="00143266" w:rsidP="005849BF"/>
        </w:tc>
      </w:tr>
    </w:tbl>
    <w:p w14:paraId="447125B3" w14:textId="69D69DCA" w:rsidR="00143266" w:rsidRPr="0081105E" w:rsidRDefault="00143266" w:rsidP="00143266">
      <w:pPr>
        <w:numPr>
          <w:ilvl w:val="0"/>
          <w:numId w:val="1"/>
        </w:numPr>
      </w:pPr>
      <w:r w:rsidRPr="0081105E">
        <w:rPr>
          <w:b/>
        </w:rPr>
        <w:t xml:space="preserve">Date Syllabus Prepared: </w:t>
      </w:r>
      <w:proofErr w:type="gramStart"/>
      <w:r w:rsidR="000735E3" w:rsidRPr="0081105E">
        <w:t>November,</w:t>
      </w:r>
      <w:proofErr w:type="gramEnd"/>
      <w:r w:rsidR="000735E3" w:rsidRPr="0081105E">
        <w:t xml:space="preserve"> 2014</w:t>
      </w:r>
      <w:r w:rsidR="001B4090">
        <w:t>; revised January, 2015</w:t>
      </w:r>
      <w:r w:rsidR="00D7705B">
        <w:t>; revised January, 2016; January, 2017</w:t>
      </w:r>
      <w:r w:rsidR="00C0565B">
        <w:t>; January 2018</w:t>
      </w:r>
      <w:r w:rsidR="00C42793">
        <w:t>; January, 2019</w:t>
      </w:r>
      <w:r w:rsidR="00CC523D">
        <w:t>, January 2023</w:t>
      </w:r>
    </w:p>
    <w:p w14:paraId="43C02B94" w14:textId="77777777" w:rsidR="00143266" w:rsidRPr="0081105E" w:rsidRDefault="00143266" w:rsidP="00143266"/>
    <w:p w14:paraId="3E54A7A7" w14:textId="77777777" w:rsidR="00143266" w:rsidRPr="0081105E" w:rsidRDefault="00143266" w:rsidP="00143266">
      <w:pPr>
        <w:numPr>
          <w:ilvl w:val="0"/>
          <w:numId w:val="1"/>
        </w:numPr>
        <w:rPr>
          <w:b/>
        </w:rPr>
      </w:pPr>
      <w:r w:rsidRPr="0081105E">
        <w:rPr>
          <w:b/>
        </w:rPr>
        <w:t>Text or Major Resources:</w:t>
      </w:r>
    </w:p>
    <w:p w14:paraId="50B0982B" w14:textId="77777777" w:rsidR="00143266" w:rsidRPr="0081105E"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rPr>
      </w:pPr>
      <w:bookmarkStart w:id="0" w:name="OLE_LINK5"/>
      <w:bookmarkStart w:id="1" w:name="OLE_LINK6"/>
    </w:p>
    <w:p w14:paraId="21CA960B" w14:textId="77777777" w:rsidR="00143266"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rPr>
      </w:pPr>
      <w:r w:rsidRPr="0081105E">
        <w:rPr>
          <w:b/>
          <w:bCs/>
          <w:color w:val="000000"/>
        </w:rPr>
        <w:t>Textbooks</w:t>
      </w:r>
    </w:p>
    <w:p w14:paraId="2F28C59E" w14:textId="77777777" w:rsidR="00C0565B" w:rsidRDefault="00C0565B"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rPr>
      </w:pPr>
    </w:p>
    <w:p w14:paraId="2FE9402D" w14:textId="6842F35B" w:rsidR="00C0565B" w:rsidRPr="00C0565B" w:rsidRDefault="00C0565B"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i/>
          <w:color w:val="000000"/>
        </w:rPr>
      </w:pPr>
      <w:r w:rsidRPr="00C0565B">
        <w:rPr>
          <w:bCs/>
          <w:i/>
          <w:color w:val="000000"/>
        </w:rPr>
        <w:t>Required:</w:t>
      </w:r>
    </w:p>
    <w:p w14:paraId="224FBE44" w14:textId="77777777" w:rsidR="00C0565B" w:rsidRDefault="00C0565B"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rPr>
      </w:pPr>
    </w:p>
    <w:bookmarkEnd w:id="0"/>
    <w:bookmarkEnd w:id="1"/>
    <w:p w14:paraId="0C962ED5" w14:textId="22ADB418" w:rsidR="009A746F" w:rsidRPr="0081105E" w:rsidRDefault="00CC523D" w:rsidP="009A746F">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color w:val="000000"/>
        </w:rPr>
      </w:pPr>
      <w:proofErr w:type="spellStart"/>
      <w:r>
        <w:rPr>
          <w:bCs/>
          <w:color w:val="000000"/>
        </w:rPr>
        <w:t>Brusnahan</w:t>
      </w:r>
      <w:proofErr w:type="spellEnd"/>
      <w:r>
        <w:rPr>
          <w:bCs/>
          <w:color w:val="000000"/>
        </w:rPr>
        <w:t xml:space="preserve">, L.S., </w:t>
      </w:r>
      <w:proofErr w:type="spellStart"/>
      <w:r>
        <w:rPr>
          <w:bCs/>
          <w:color w:val="000000"/>
        </w:rPr>
        <w:t>Stodden</w:t>
      </w:r>
      <w:proofErr w:type="spellEnd"/>
      <w:r>
        <w:rPr>
          <w:bCs/>
          <w:color w:val="000000"/>
        </w:rPr>
        <w:t>, R.A., Zucker, S.H. (Eds)</w:t>
      </w:r>
      <w:r w:rsidR="009A746F">
        <w:rPr>
          <w:bCs/>
          <w:color w:val="000000"/>
        </w:rPr>
        <w:t xml:space="preserve"> (201</w:t>
      </w:r>
      <w:r>
        <w:rPr>
          <w:bCs/>
          <w:color w:val="000000"/>
        </w:rPr>
        <w:t>8</w:t>
      </w:r>
      <w:r w:rsidR="009A746F">
        <w:rPr>
          <w:bCs/>
          <w:color w:val="000000"/>
        </w:rPr>
        <w:t xml:space="preserve">). </w:t>
      </w:r>
      <w:r>
        <w:rPr>
          <w:bCs/>
          <w:i/>
          <w:color w:val="000000"/>
        </w:rPr>
        <w:t>Transition to Adulthood</w:t>
      </w:r>
      <w:r w:rsidR="009A746F" w:rsidRPr="00E00EDF">
        <w:rPr>
          <w:bCs/>
          <w:i/>
          <w:color w:val="000000"/>
        </w:rPr>
        <w:t>:</w:t>
      </w:r>
      <w:r w:rsidR="009A746F">
        <w:rPr>
          <w:bCs/>
          <w:color w:val="000000"/>
        </w:rPr>
        <w:t xml:space="preserve"> </w:t>
      </w:r>
      <w:r>
        <w:rPr>
          <w:bCs/>
          <w:i/>
          <w:color w:val="000000"/>
        </w:rPr>
        <w:t xml:space="preserve">Work, Community, and Educational </w:t>
      </w:r>
      <w:proofErr w:type="spellStart"/>
      <w:r>
        <w:rPr>
          <w:bCs/>
          <w:i/>
          <w:color w:val="000000"/>
        </w:rPr>
        <w:t>Sucess</w:t>
      </w:r>
      <w:proofErr w:type="spellEnd"/>
      <w:r w:rsidR="009A746F" w:rsidRPr="0081105E">
        <w:rPr>
          <w:bCs/>
          <w:i/>
          <w:color w:val="000000"/>
        </w:rPr>
        <w:t>.</w:t>
      </w:r>
      <w:r w:rsidR="009A746F" w:rsidRPr="0081105E">
        <w:rPr>
          <w:bCs/>
          <w:color w:val="000000"/>
        </w:rPr>
        <w:t xml:space="preserve"> </w:t>
      </w:r>
      <w:r>
        <w:rPr>
          <w:bCs/>
          <w:color w:val="000000"/>
        </w:rPr>
        <w:t>Arlington</w:t>
      </w:r>
      <w:r w:rsidR="009A746F">
        <w:rPr>
          <w:bCs/>
          <w:color w:val="000000"/>
        </w:rPr>
        <w:t xml:space="preserve">, </w:t>
      </w:r>
      <w:r>
        <w:rPr>
          <w:bCs/>
          <w:color w:val="000000"/>
        </w:rPr>
        <w:t>VA</w:t>
      </w:r>
      <w:r w:rsidR="009A746F">
        <w:rPr>
          <w:bCs/>
          <w:color w:val="000000"/>
        </w:rPr>
        <w:t xml:space="preserve">: </w:t>
      </w:r>
      <w:r>
        <w:rPr>
          <w:bCs/>
          <w:color w:val="000000"/>
        </w:rPr>
        <w:t>Council on Exceptional Children</w:t>
      </w:r>
    </w:p>
    <w:p w14:paraId="1D4734A4" w14:textId="6614A4FD" w:rsidR="00CC523D" w:rsidRDefault="00CC523D" w:rsidP="00D56A74"/>
    <w:p w14:paraId="3DEBB3B5" w14:textId="77777777" w:rsidR="00D56A74" w:rsidRDefault="00CC523D" w:rsidP="00CC523D">
      <w:pPr>
        <w:ind w:firstLine="360"/>
      </w:pPr>
      <w:r>
        <w:t xml:space="preserve">Arnett, J.J. (2018). </w:t>
      </w:r>
      <w:r w:rsidRPr="00D56A74">
        <w:rPr>
          <w:i/>
          <w:iCs/>
        </w:rPr>
        <w:t>Adolescence and Emerging Adulthood: A Cultural Approach.</w:t>
      </w:r>
      <w:r>
        <w:t xml:space="preserve"> </w:t>
      </w:r>
      <w:r w:rsidR="00D56A74">
        <w:t xml:space="preserve">Upper </w:t>
      </w:r>
    </w:p>
    <w:p w14:paraId="3851A1B2" w14:textId="7409FAE9" w:rsidR="00CC523D" w:rsidRPr="0081105E" w:rsidRDefault="00D56A74" w:rsidP="00D56A74">
      <w:pPr>
        <w:ind w:firstLine="720"/>
      </w:pPr>
      <w:r>
        <w:t>Saddle River, NJ: Pearson.</w:t>
      </w:r>
    </w:p>
    <w:p w14:paraId="18247769" w14:textId="77777777" w:rsidR="00143266" w:rsidRDefault="00143266" w:rsidP="00143266">
      <w:pPr>
        <w:ind w:firstLine="360"/>
      </w:pPr>
    </w:p>
    <w:p w14:paraId="49AC1AAF" w14:textId="77777777" w:rsidR="00D56A74" w:rsidRDefault="00D56A74" w:rsidP="00143266">
      <w:pPr>
        <w:ind w:firstLine="360"/>
        <w:rPr>
          <w:i/>
        </w:rPr>
      </w:pPr>
    </w:p>
    <w:p w14:paraId="6B7ED88A" w14:textId="410A780B" w:rsidR="00C0565B" w:rsidRPr="00C0565B" w:rsidRDefault="00C0565B" w:rsidP="00143266">
      <w:pPr>
        <w:ind w:firstLine="360"/>
        <w:rPr>
          <w:i/>
        </w:rPr>
      </w:pPr>
      <w:r w:rsidRPr="00C0565B">
        <w:rPr>
          <w:i/>
        </w:rPr>
        <w:t>Suggested:</w:t>
      </w:r>
    </w:p>
    <w:p w14:paraId="3FED8BEF" w14:textId="77777777" w:rsidR="00143266" w:rsidRPr="0081105E" w:rsidRDefault="00143266" w:rsidP="00143266">
      <w:pPr>
        <w:ind w:left="360"/>
      </w:pPr>
    </w:p>
    <w:p w14:paraId="171E3548" w14:textId="77777777" w:rsidR="00143266" w:rsidRPr="0081105E" w:rsidRDefault="00143266" w:rsidP="00143266">
      <w:pPr>
        <w:ind w:firstLine="360"/>
        <w:rPr>
          <w:b/>
        </w:rPr>
      </w:pPr>
      <w:r w:rsidRPr="0081105E">
        <w:rPr>
          <w:b/>
        </w:rPr>
        <w:t>Selected Readings</w:t>
      </w:r>
    </w:p>
    <w:p w14:paraId="7CEEBC61" w14:textId="77777777" w:rsidR="00143266" w:rsidRPr="0081105E" w:rsidRDefault="00143266" w:rsidP="00143266">
      <w:pPr>
        <w:ind w:firstLine="360"/>
        <w:rPr>
          <w:b/>
        </w:rPr>
      </w:pPr>
    </w:p>
    <w:tbl>
      <w:tblPr>
        <w:tblW w:w="9697" w:type="dxa"/>
        <w:tblLook w:val="04A0" w:firstRow="1" w:lastRow="0" w:firstColumn="1" w:lastColumn="0" w:noHBand="0" w:noVBand="1"/>
      </w:tblPr>
      <w:tblGrid>
        <w:gridCol w:w="930"/>
        <w:gridCol w:w="8767"/>
      </w:tblGrid>
      <w:tr w:rsidR="00143266" w:rsidRPr="0081105E" w14:paraId="3C5AC1C2" w14:textId="77777777" w:rsidTr="005849BF">
        <w:trPr>
          <w:trHeight w:val="536"/>
        </w:trPr>
        <w:tc>
          <w:tcPr>
            <w:tcW w:w="930" w:type="dxa"/>
          </w:tcPr>
          <w:p w14:paraId="6DBDE267"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(1)</w:t>
            </w:r>
          </w:p>
        </w:tc>
        <w:tc>
          <w:tcPr>
            <w:tcW w:w="8767" w:type="dxa"/>
            <w:tcBorders>
              <w:left w:val="nil"/>
            </w:tcBorders>
          </w:tcPr>
          <w:p w14:paraId="28A36B5A"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7" w:right="720" w:hanging="547"/>
            </w:pPr>
            <w:r w:rsidRPr="0081105E">
              <w:t xml:space="preserve">Halpern, A. S. (1992). Transition: Old wine in new bottles. </w:t>
            </w:r>
            <w:r w:rsidRPr="0081105E">
              <w:rPr>
                <w:i/>
              </w:rPr>
              <w:t>Exceptional Children,58</w:t>
            </w:r>
            <w:r w:rsidRPr="0081105E">
              <w:t>, 202-211.</w:t>
            </w:r>
          </w:p>
          <w:p w14:paraId="205A1EC2"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720"/>
              <w:rPr>
                <w:i/>
              </w:rPr>
            </w:pPr>
          </w:p>
        </w:tc>
      </w:tr>
      <w:tr w:rsidR="00143266" w:rsidRPr="0081105E" w14:paraId="75639FC7" w14:textId="77777777" w:rsidTr="005849BF">
        <w:trPr>
          <w:trHeight w:val="433"/>
        </w:trPr>
        <w:tc>
          <w:tcPr>
            <w:tcW w:w="930" w:type="dxa"/>
          </w:tcPr>
          <w:p w14:paraId="00C7FBAF"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(2)</w:t>
            </w:r>
          </w:p>
          <w:p w14:paraId="130F11A3"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tc>
        <w:tc>
          <w:tcPr>
            <w:tcW w:w="8767" w:type="dxa"/>
            <w:tcBorders>
              <w:left w:val="nil"/>
            </w:tcBorders>
          </w:tcPr>
          <w:p w14:paraId="42DEB8C8" w14:textId="33EFA461" w:rsidR="00143266" w:rsidRPr="0081105E" w:rsidRDefault="001D1880"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81105E">
              <w:rPr>
                <w:rFonts w:eastAsiaTheme="minorHAnsi"/>
                <w:color w:val="262626"/>
              </w:rPr>
              <w:t xml:space="preserve">Trach, J. S. (2012). Degree of Collaboration for Successful Transition Outcomes. </w:t>
            </w:r>
            <w:r w:rsidRPr="0081105E">
              <w:rPr>
                <w:rFonts w:eastAsiaTheme="minorHAnsi"/>
                <w:i/>
                <w:iCs/>
                <w:color w:val="262626"/>
              </w:rPr>
              <w:t>Journal Of Rehabilitation</w:t>
            </w:r>
            <w:r w:rsidRPr="0081105E">
              <w:rPr>
                <w:rFonts w:eastAsiaTheme="minorHAnsi"/>
                <w:color w:val="262626"/>
              </w:rPr>
              <w:t xml:space="preserve">, </w:t>
            </w:r>
            <w:r w:rsidRPr="0081105E">
              <w:rPr>
                <w:rFonts w:eastAsiaTheme="minorHAnsi"/>
                <w:i/>
                <w:iCs/>
                <w:color w:val="262626"/>
              </w:rPr>
              <w:t>78</w:t>
            </w:r>
            <w:r w:rsidRPr="0081105E">
              <w:rPr>
                <w:rFonts w:eastAsiaTheme="minorHAnsi"/>
                <w:color w:val="262626"/>
              </w:rPr>
              <w:t>(2), 39-48.</w:t>
            </w:r>
            <w:r w:rsidR="00143266" w:rsidRPr="0081105E">
              <w:t xml:space="preserve"> </w:t>
            </w:r>
          </w:p>
        </w:tc>
      </w:tr>
      <w:tr w:rsidR="00143266" w:rsidRPr="0081105E" w14:paraId="4219B582" w14:textId="77777777" w:rsidTr="005849BF">
        <w:trPr>
          <w:trHeight w:val="642"/>
        </w:trPr>
        <w:tc>
          <w:tcPr>
            <w:tcW w:w="930" w:type="dxa"/>
          </w:tcPr>
          <w:p w14:paraId="09F58E4E"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(3)</w:t>
            </w:r>
          </w:p>
        </w:tc>
        <w:tc>
          <w:tcPr>
            <w:tcW w:w="8767" w:type="dxa"/>
            <w:tcBorders>
              <w:left w:val="nil"/>
            </w:tcBorders>
          </w:tcPr>
          <w:p w14:paraId="2161DAF5" w14:textId="30FA4EBA" w:rsidR="00143266" w:rsidRPr="00AE67F6"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AE67F6">
              <w:t xml:space="preserve"> </w:t>
            </w:r>
            <w:proofErr w:type="spellStart"/>
            <w:r w:rsidR="00AE67F6" w:rsidRPr="00AE67F6">
              <w:rPr>
                <w:color w:val="333333"/>
              </w:rPr>
              <w:t>Plotner</w:t>
            </w:r>
            <w:proofErr w:type="spellEnd"/>
            <w:r w:rsidR="00AE67F6" w:rsidRPr="00AE67F6">
              <w:rPr>
                <w:color w:val="333333"/>
              </w:rPr>
              <w:t xml:space="preserve">, A. J., Trach, J. S., </w:t>
            </w:r>
            <w:proofErr w:type="spellStart"/>
            <w:r w:rsidR="00AE67F6" w:rsidRPr="00AE67F6">
              <w:rPr>
                <w:color w:val="333333"/>
              </w:rPr>
              <w:t>Oertle</w:t>
            </w:r>
            <w:proofErr w:type="spellEnd"/>
            <w:r w:rsidR="00AE67F6" w:rsidRPr="00AE67F6">
              <w:rPr>
                <w:color w:val="333333"/>
              </w:rPr>
              <w:t xml:space="preserve">, K. M., &amp; Fleming, A. R. (2014). Differences in service delivery between transition VR counselors and general VR </w:t>
            </w:r>
            <w:r w:rsidR="00AE67F6" w:rsidRPr="00AE67F6">
              <w:rPr>
                <w:color w:val="333333"/>
              </w:rPr>
              <w:lastRenderedPageBreak/>
              <w:t>counselors.</w:t>
            </w:r>
            <w:r w:rsidR="00AE67F6" w:rsidRPr="00AE67F6">
              <w:rPr>
                <w:rStyle w:val="apple-converted-space"/>
                <w:color w:val="333333"/>
              </w:rPr>
              <w:t> </w:t>
            </w:r>
            <w:r w:rsidR="00AE67F6" w:rsidRPr="00AE67F6">
              <w:rPr>
                <w:i/>
                <w:iCs/>
                <w:color w:val="333333"/>
                <w:bdr w:val="none" w:sz="0" w:space="0" w:color="auto" w:frame="1"/>
              </w:rPr>
              <w:t>Rehabilitation Counseling Bulletin</w:t>
            </w:r>
            <w:r w:rsidR="00AE67F6" w:rsidRPr="00AE67F6">
              <w:rPr>
                <w:color w:val="333333"/>
              </w:rPr>
              <w:t>,</w:t>
            </w:r>
            <w:r w:rsidR="00AE67F6" w:rsidRPr="00AE67F6">
              <w:rPr>
                <w:rStyle w:val="apple-converted-space"/>
                <w:color w:val="333333"/>
              </w:rPr>
              <w:t> </w:t>
            </w:r>
            <w:r w:rsidR="00AE67F6" w:rsidRPr="00AE67F6">
              <w:rPr>
                <w:i/>
                <w:iCs/>
                <w:color w:val="333333"/>
                <w:bdr w:val="none" w:sz="0" w:space="0" w:color="auto" w:frame="1"/>
              </w:rPr>
              <w:t>57</w:t>
            </w:r>
            <w:r w:rsidR="00AE67F6" w:rsidRPr="00AE67F6">
              <w:rPr>
                <w:color w:val="333333"/>
              </w:rPr>
              <w:t>(2), 109-115. doi:10.1177/0034355213499075</w:t>
            </w:r>
          </w:p>
        </w:tc>
      </w:tr>
      <w:tr w:rsidR="00143266" w:rsidRPr="0081105E" w14:paraId="5847DB84" w14:textId="77777777" w:rsidTr="005849BF">
        <w:trPr>
          <w:trHeight w:val="464"/>
        </w:trPr>
        <w:tc>
          <w:tcPr>
            <w:tcW w:w="930" w:type="dxa"/>
          </w:tcPr>
          <w:p w14:paraId="6F550128" w14:textId="77777777" w:rsidR="00143266" w:rsidRPr="00AE67F6"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AE67F6">
              <w:rPr>
                <w:color w:val="000000"/>
              </w:rPr>
              <w:lastRenderedPageBreak/>
              <w:t>(4)</w:t>
            </w:r>
          </w:p>
          <w:p w14:paraId="2B1A5FEE"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p>
        </w:tc>
        <w:tc>
          <w:tcPr>
            <w:tcW w:w="8767" w:type="dxa"/>
            <w:tcBorders>
              <w:left w:val="nil"/>
            </w:tcBorders>
          </w:tcPr>
          <w:p w14:paraId="5FEE693B" w14:textId="156F0E84" w:rsidR="00143266" w:rsidRPr="0081105E" w:rsidRDefault="0081105E"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81105E">
              <w:rPr>
                <w:rFonts w:eastAsiaTheme="minorHAnsi"/>
                <w:color w:val="262626"/>
              </w:rPr>
              <w:t xml:space="preserve">Hinton, V., &amp; Meyer, J. (2014). Emerging adulthood: Resilience and support. </w:t>
            </w:r>
            <w:r w:rsidRPr="0081105E">
              <w:rPr>
                <w:rFonts w:eastAsiaTheme="minorHAnsi"/>
                <w:i/>
                <w:iCs/>
                <w:color w:val="262626"/>
              </w:rPr>
              <w:t>Journal of the National Council on Rehabilitation Education,</w:t>
            </w:r>
            <w:r w:rsidRPr="0081105E">
              <w:rPr>
                <w:rFonts w:eastAsiaTheme="minorHAnsi"/>
                <w:color w:val="262626"/>
              </w:rPr>
              <w:t xml:space="preserve"> </w:t>
            </w:r>
            <w:r w:rsidRPr="0081105E">
              <w:rPr>
                <w:rFonts w:eastAsiaTheme="minorHAnsi"/>
                <w:i/>
                <w:iCs/>
                <w:color w:val="262626"/>
              </w:rPr>
              <w:t>28</w:t>
            </w:r>
            <w:r w:rsidRPr="0081105E">
              <w:rPr>
                <w:rFonts w:eastAsiaTheme="minorHAnsi"/>
                <w:color w:val="262626"/>
              </w:rPr>
              <w:t>(3), 143-157.</w:t>
            </w:r>
          </w:p>
        </w:tc>
      </w:tr>
      <w:tr w:rsidR="00143266" w:rsidRPr="0081105E" w14:paraId="0EC30757" w14:textId="77777777" w:rsidTr="005849BF">
        <w:trPr>
          <w:trHeight w:val="630"/>
        </w:trPr>
        <w:tc>
          <w:tcPr>
            <w:tcW w:w="930" w:type="dxa"/>
          </w:tcPr>
          <w:p w14:paraId="57BD440C"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(5)</w:t>
            </w:r>
          </w:p>
          <w:p w14:paraId="12E86C2F"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p>
        </w:tc>
        <w:tc>
          <w:tcPr>
            <w:tcW w:w="8767" w:type="dxa"/>
            <w:tcBorders>
              <w:left w:val="nil"/>
            </w:tcBorders>
          </w:tcPr>
          <w:p w14:paraId="798B0928"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81105E">
              <w:t xml:space="preserve">Halpern, A. S. (1993). Quality of life as a conceptual framework for evaluating transition outcomes. </w:t>
            </w:r>
            <w:r w:rsidRPr="0081105E">
              <w:rPr>
                <w:i/>
              </w:rPr>
              <w:t>Exceptional Children, 59</w:t>
            </w:r>
            <w:r w:rsidRPr="0081105E">
              <w:t>, 486-498.</w:t>
            </w:r>
          </w:p>
          <w:p w14:paraId="65EB4BAD"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color w:val="000000"/>
              </w:rPr>
            </w:pPr>
          </w:p>
        </w:tc>
      </w:tr>
    </w:tbl>
    <w:p w14:paraId="6AFD3FC3" w14:textId="77777777" w:rsidR="00143266" w:rsidRPr="0081105E" w:rsidRDefault="00143266" w:rsidP="00143266"/>
    <w:p w14:paraId="10840DA9" w14:textId="77777777" w:rsidR="00143266" w:rsidRPr="0081105E" w:rsidRDefault="00143266" w:rsidP="00143266">
      <w:pPr>
        <w:numPr>
          <w:ilvl w:val="0"/>
          <w:numId w:val="1"/>
        </w:numPr>
        <w:tabs>
          <w:tab w:val="clear" w:pos="360"/>
          <w:tab w:val="num" w:pos="375"/>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75"/>
        <w:jc w:val="both"/>
      </w:pPr>
      <w:r w:rsidRPr="0081105E">
        <w:rPr>
          <w:b/>
        </w:rPr>
        <w:t xml:space="preserve">Course Description: </w:t>
      </w:r>
      <w:r w:rsidRPr="0081105E">
        <w:t>This course is an introduction to the transition process of youth with disabilities from school to adulthood and employment with an emphasis on the developmental stage emerging adulthood and the services surrounding this specialized area for rehabilitation professionals.</w:t>
      </w:r>
    </w:p>
    <w:p w14:paraId="350CBC93" w14:textId="77777777" w:rsidR="00143266" w:rsidRPr="0081105E" w:rsidRDefault="00143266" w:rsidP="00143266">
      <w:pPr>
        <w:tabs>
          <w:tab w:val="left" w:pos="-1440"/>
        </w:tabs>
        <w:ind w:left="15"/>
        <w:rPr>
          <w:b/>
        </w:rPr>
      </w:pPr>
    </w:p>
    <w:p w14:paraId="44AB2560" w14:textId="77777777" w:rsidR="00143266" w:rsidRPr="0081105E" w:rsidRDefault="00143266" w:rsidP="00143266">
      <w:pPr>
        <w:numPr>
          <w:ilvl w:val="0"/>
          <w:numId w:val="1"/>
        </w:numPr>
        <w:tabs>
          <w:tab w:val="clear" w:pos="360"/>
          <w:tab w:val="num" w:pos="375"/>
        </w:tabs>
        <w:ind w:left="375"/>
        <w:rPr>
          <w:b/>
        </w:rPr>
      </w:pPr>
      <w:r w:rsidRPr="0081105E">
        <w:rPr>
          <w:b/>
        </w:rPr>
        <w:t xml:space="preserve">Course Objectives: </w:t>
      </w:r>
    </w:p>
    <w:p w14:paraId="74C5A2C6" w14:textId="77777777" w:rsidR="0081385A" w:rsidRPr="0081105E" w:rsidRDefault="0081385A" w:rsidP="0081385A">
      <w:pPr>
        <w:pStyle w:val="ListParagraph"/>
        <w:rPr>
          <w:b/>
        </w:rPr>
      </w:pPr>
    </w:p>
    <w:p w14:paraId="7F017FF6" w14:textId="77777777" w:rsidR="000735E3" w:rsidRPr="0081105E" w:rsidRDefault="000735E3" w:rsidP="000735E3">
      <w:pPr>
        <w:autoSpaceDE w:val="0"/>
        <w:autoSpaceDN w:val="0"/>
        <w:adjustRightInd w:val="0"/>
        <w:ind w:firstLine="15"/>
      </w:pPr>
      <w:r w:rsidRPr="0081105E">
        <w:t>Through assigned readings, course lectures, and course assignments, students will:</w:t>
      </w:r>
    </w:p>
    <w:p w14:paraId="38807E95" w14:textId="5B4A479B" w:rsidR="000735E3" w:rsidRPr="0081105E" w:rsidRDefault="000735E3" w:rsidP="000735E3">
      <w:pPr>
        <w:autoSpaceDE w:val="0"/>
        <w:autoSpaceDN w:val="0"/>
        <w:adjustRightInd w:val="0"/>
        <w:ind w:firstLine="15"/>
      </w:pPr>
      <w:r w:rsidRPr="0081105E">
        <w:t xml:space="preserve"> </w:t>
      </w:r>
    </w:p>
    <w:p w14:paraId="3484F4B8" w14:textId="77777777" w:rsidR="000735E3" w:rsidRPr="0081105E" w:rsidRDefault="000735E3" w:rsidP="000735E3">
      <w:pPr>
        <w:autoSpaceDE w:val="0"/>
        <w:autoSpaceDN w:val="0"/>
        <w:adjustRightInd w:val="0"/>
        <w:ind w:firstLine="15"/>
      </w:pPr>
      <w:r w:rsidRPr="0081105E">
        <w:t xml:space="preserve">General course objectives: </w:t>
      </w:r>
    </w:p>
    <w:p w14:paraId="6BAD0178" w14:textId="77777777" w:rsidR="000735E3" w:rsidRPr="0081105E" w:rsidRDefault="000735E3" w:rsidP="000735E3">
      <w:pPr>
        <w:autoSpaceDE w:val="0"/>
        <w:autoSpaceDN w:val="0"/>
        <w:adjustRightInd w:val="0"/>
        <w:ind w:firstLine="15"/>
      </w:pPr>
    </w:p>
    <w:p w14:paraId="671E557F" w14:textId="77777777" w:rsidR="000735E3" w:rsidRPr="0081105E" w:rsidRDefault="000735E3" w:rsidP="000735E3">
      <w:pPr>
        <w:autoSpaceDE w:val="0"/>
        <w:autoSpaceDN w:val="0"/>
        <w:adjustRightInd w:val="0"/>
        <w:ind w:firstLine="15"/>
      </w:pPr>
      <w:r w:rsidRPr="0081105E">
        <w:t>1.  Understand the history and evolution of the disability movement from 1960's to the present.</w:t>
      </w:r>
    </w:p>
    <w:p w14:paraId="11C2E18D" w14:textId="77777777" w:rsidR="000735E3" w:rsidRPr="0081105E" w:rsidRDefault="000735E3" w:rsidP="000735E3">
      <w:pPr>
        <w:autoSpaceDE w:val="0"/>
        <w:autoSpaceDN w:val="0"/>
        <w:adjustRightInd w:val="0"/>
        <w:ind w:firstLine="15"/>
      </w:pPr>
    </w:p>
    <w:p w14:paraId="7C538DB9" w14:textId="77777777" w:rsidR="000735E3" w:rsidRPr="0081105E" w:rsidRDefault="000735E3" w:rsidP="000735E3">
      <w:pPr>
        <w:autoSpaceDE w:val="0"/>
        <w:autoSpaceDN w:val="0"/>
        <w:adjustRightInd w:val="0"/>
        <w:ind w:firstLine="15"/>
      </w:pPr>
      <w:r w:rsidRPr="0081105E">
        <w:t>2. Recognize elements common to the various transition movements and understanding models of transition.</w:t>
      </w:r>
    </w:p>
    <w:p w14:paraId="2C70F88E" w14:textId="77777777" w:rsidR="000735E3" w:rsidRPr="0081105E" w:rsidRDefault="000735E3" w:rsidP="000735E3">
      <w:pPr>
        <w:autoSpaceDE w:val="0"/>
        <w:autoSpaceDN w:val="0"/>
        <w:adjustRightInd w:val="0"/>
        <w:ind w:firstLine="15"/>
      </w:pPr>
      <w:r w:rsidRPr="0081105E">
        <w:t xml:space="preserve"> </w:t>
      </w:r>
    </w:p>
    <w:p w14:paraId="04FC2D4A" w14:textId="77777777" w:rsidR="000735E3" w:rsidRPr="0081105E" w:rsidRDefault="000735E3" w:rsidP="000735E3">
      <w:pPr>
        <w:autoSpaceDE w:val="0"/>
        <w:autoSpaceDN w:val="0"/>
        <w:adjustRightInd w:val="0"/>
        <w:ind w:firstLine="15"/>
      </w:pPr>
      <w:r w:rsidRPr="0081105E">
        <w:t>3. Identify strategies for rehabilitation personnel to provide meaningful services related to emerging adults.</w:t>
      </w:r>
    </w:p>
    <w:p w14:paraId="59623138" w14:textId="77777777" w:rsidR="000735E3" w:rsidRPr="0081105E" w:rsidRDefault="000735E3" w:rsidP="000735E3">
      <w:pPr>
        <w:autoSpaceDE w:val="0"/>
        <w:autoSpaceDN w:val="0"/>
        <w:adjustRightInd w:val="0"/>
        <w:ind w:firstLine="15"/>
      </w:pPr>
      <w:r w:rsidRPr="0081105E">
        <w:t xml:space="preserve"> </w:t>
      </w:r>
    </w:p>
    <w:p w14:paraId="27071A2C" w14:textId="77777777" w:rsidR="000735E3" w:rsidRPr="0081105E" w:rsidRDefault="000735E3" w:rsidP="000735E3">
      <w:pPr>
        <w:autoSpaceDE w:val="0"/>
        <w:autoSpaceDN w:val="0"/>
        <w:adjustRightInd w:val="0"/>
        <w:ind w:firstLine="15"/>
      </w:pPr>
      <w:r w:rsidRPr="0081105E">
        <w:t>4. Identify rehabilitation and special education legislation related to transition.</w:t>
      </w:r>
    </w:p>
    <w:p w14:paraId="5683C1E1" w14:textId="77777777" w:rsidR="000735E3" w:rsidRPr="0081105E" w:rsidRDefault="000735E3" w:rsidP="000735E3">
      <w:pPr>
        <w:autoSpaceDE w:val="0"/>
        <w:autoSpaceDN w:val="0"/>
        <w:adjustRightInd w:val="0"/>
        <w:ind w:firstLine="15"/>
      </w:pPr>
    </w:p>
    <w:p w14:paraId="17B1C1E9" w14:textId="77777777" w:rsidR="000735E3" w:rsidRPr="0081105E" w:rsidRDefault="000735E3" w:rsidP="000735E3">
      <w:pPr>
        <w:autoSpaceDE w:val="0"/>
        <w:autoSpaceDN w:val="0"/>
        <w:adjustRightInd w:val="0"/>
        <w:ind w:firstLine="15"/>
      </w:pPr>
      <w:r w:rsidRPr="0081105E">
        <w:t>5.  Identify the characteristics, beliefs and values of emerging adults.</w:t>
      </w:r>
    </w:p>
    <w:p w14:paraId="1968D413" w14:textId="77777777" w:rsidR="000735E3" w:rsidRPr="0081105E" w:rsidRDefault="000735E3" w:rsidP="000735E3">
      <w:pPr>
        <w:autoSpaceDE w:val="0"/>
        <w:autoSpaceDN w:val="0"/>
        <w:adjustRightInd w:val="0"/>
        <w:ind w:firstLine="15"/>
      </w:pPr>
    </w:p>
    <w:p w14:paraId="659C9ADE" w14:textId="77777777" w:rsidR="000735E3" w:rsidRPr="0081105E" w:rsidRDefault="000735E3" w:rsidP="000735E3">
      <w:pPr>
        <w:autoSpaceDE w:val="0"/>
        <w:autoSpaceDN w:val="0"/>
        <w:adjustRightInd w:val="0"/>
        <w:ind w:firstLine="15"/>
      </w:pPr>
      <w:r w:rsidRPr="0081105E">
        <w:t>6. Identify skills and services which students need as they make the transition from school to the community, including community living, the world of work, and continuing education.</w:t>
      </w:r>
    </w:p>
    <w:p w14:paraId="43EE18CE" w14:textId="77777777" w:rsidR="000735E3" w:rsidRPr="0081105E" w:rsidRDefault="000735E3" w:rsidP="000735E3">
      <w:pPr>
        <w:autoSpaceDE w:val="0"/>
        <w:autoSpaceDN w:val="0"/>
        <w:adjustRightInd w:val="0"/>
        <w:ind w:firstLine="15"/>
      </w:pPr>
    </w:p>
    <w:p w14:paraId="203A6EBB" w14:textId="5C0E7F33" w:rsidR="000735E3" w:rsidRPr="0081105E" w:rsidRDefault="000735E3" w:rsidP="000735E3">
      <w:pPr>
        <w:autoSpaceDE w:val="0"/>
        <w:autoSpaceDN w:val="0"/>
        <w:adjustRightInd w:val="0"/>
        <w:ind w:firstLine="15"/>
      </w:pPr>
      <w:r w:rsidRPr="0081105E">
        <w:t xml:space="preserve">7. </w:t>
      </w:r>
      <w:r w:rsidR="00A06999">
        <w:t>Examine</w:t>
      </w:r>
      <w:r w:rsidRPr="0081105E">
        <w:t xml:space="preserve"> an Individualized Plan for Employment (IPE) for an emerging adult.</w:t>
      </w:r>
    </w:p>
    <w:p w14:paraId="7CB6B1E1" w14:textId="77777777" w:rsidR="000735E3" w:rsidRPr="0081105E" w:rsidRDefault="000735E3" w:rsidP="000735E3">
      <w:pPr>
        <w:autoSpaceDE w:val="0"/>
        <w:autoSpaceDN w:val="0"/>
        <w:adjustRightInd w:val="0"/>
        <w:ind w:firstLine="15"/>
      </w:pPr>
    </w:p>
    <w:p w14:paraId="07D2FC8D" w14:textId="77777777" w:rsidR="000735E3" w:rsidRPr="0081105E" w:rsidRDefault="000735E3" w:rsidP="000735E3">
      <w:pPr>
        <w:autoSpaceDE w:val="0"/>
        <w:autoSpaceDN w:val="0"/>
        <w:adjustRightInd w:val="0"/>
        <w:ind w:firstLine="15"/>
      </w:pPr>
      <w:r w:rsidRPr="0081105E">
        <w:t>8. Gain an understanding of the components and makeup of an Individualized Education Program (IEP).</w:t>
      </w:r>
    </w:p>
    <w:p w14:paraId="442F71C8" w14:textId="77777777" w:rsidR="000735E3" w:rsidRPr="0081105E" w:rsidRDefault="000735E3" w:rsidP="000735E3">
      <w:pPr>
        <w:autoSpaceDE w:val="0"/>
        <w:autoSpaceDN w:val="0"/>
        <w:adjustRightInd w:val="0"/>
        <w:ind w:firstLine="15"/>
      </w:pPr>
    </w:p>
    <w:p w14:paraId="6B2CE736" w14:textId="77777777" w:rsidR="000735E3" w:rsidRPr="0081105E" w:rsidRDefault="000735E3" w:rsidP="000735E3">
      <w:pPr>
        <w:autoSpaceDE w:val="0"/>
        <w:autoSpaceDN w:val="0"/>
        <w:adjustRightInd w:val="0"/>
        <w:ind w:firstLine="15"/>
      </w:pPr>
      <w:r w:rsidRPr="0081105E">
        <w:t>9. Identify adult service options for exiting students with disabilities and the policy which drives each service.</w:t>
      </w:r>
    </w:p>
    <w:p w14:paraId="34AEEF7D" w14:textId="77777777" w:rsidR="000735E3" w:rsidRPr="0081105E" w:rsidRDefault="000735E3" w:rsidP="000735E3">
      <w:pPr>
        <w:autoSpaceDE w:val="0"/>
        <w:autoSpaceDN w:val="0"/>
        <w:adjustRightInd w:val="0"/>
        <w:ind w:firstLine="15"/>
      </w:pPr>
    </w:p>
    <w:p w14:paraId="160AD59B" w14:textId="36266567" w:rsidR="000735E3" w:rsidRPr="0081105E" w:rsidRDefault="000735E3" w:rsidP="000735E3">
      <w:pPr>
        <w:autoSpaceDE w:val="0"/>
        <w:autoSpaceDN w:val="0"/>
        <w:adjustRightInd w:val="0"/>
        <w:ind w:firstLine="15"/>
      </w:pPr>
      <w:r w:rsidRPr="0081105E">
        <w:t>10. Understand the trends and unique experiences of emerging adults becoming adults.</w:t>
      </w:r>
    </w:p>
    <w:p w14:paraId="0C536BCC" w14:textId="77777777" w:rsidR="00155A76" w:rsidRDefault="00155A76" w:rsidP="00155A76">
      <w:pPr>
        <w:autoSpaceDE w:val="0"/>
        <w:autoSpaceDN w:val="0"/>
        <w:adjustRightInd w:val="0"/>
        <w:ind w:firstLine="15"/>
      </w:pPr>
      <w:r w:rsidRPr="0081105E">
        <w:t xml:space="preserve"> </w:t>
      </w:r>
    </w:p>
    <w:p w14:paraId="3332A650" w14:textId="77777777" w:rsidR="00A06999" w:rsidRDefault="00A06999" w:rsidP="00155A76">
      <w:pPr>
        <w:autoSpaceDE w:val="0"/>
        <w:autoSpaceDN w:val="0"/>
        <w:adjustRightInd w:val="0"/>
        <w:ind w:firstLine="15"/>
      </w:pPr>
    </w:p>
    <w:p w14:paraId="39231C49" w14:textId="77777777" w:rsidR="00A06999" w:rsidRDefault="00A06999" w:rsidP="00155A76">
      <w:pPr>
        <w:autoSpaceDE w:val="0"/>
        <w:autoSpaceDN w:val="0"/>
        <w:adjustRightInd w:val="0"/>
        <w:ind w:firstLine="15"/>
      </w:pPr>
    </w:p>
    <w:p w14:paraId="1300F277" w14:textId="77777777" w:rsidR="00A06999" w:rsidRDefault="00A06999" w:rsidP="00155A76">
      <w:pPr>
        <w:autoSpaceDE w:val="0"/>
        <w:autoSpaceDN w:val="0"/>
        <w:adjustRightInd w:val="0"/>
        <w:ind w:firstLine="15"/>
      </w:pPr>
    </w:p>
    <w:p w14:paraId="26627FD2" w14:textId="77777777" w:rsidR="00A06999" w:rsidRDefault="00A06999" w:rsidP="00155A76">
      <w:pPr>
        <w:autoSpaceDE w:val="0"/>
        <w:autoSpaceDN w:val="0"/>
        <w:adjustRightInd w:val="0"/>
        <w:ind w:firstLine="15"/>
      </w:pPr>
    </w:p>
    <w:p w14:paraId="4BA9EB10" w14:textId="77777777" w:rsidR="00D7705B" w:rsidRDefault="00D7705B" w:rsidP="00155A76">
      <w:pPr>
        <w:autoSpaceDE w:val="0"/>
        <w:autoSpaceDN w:val="0"/>
        <w:adjustRightInd w:val="0"/>
        <w:ind w:firstLine="15"/>
      </w:pPr>
    </w:p>
    <w:p w14:paraId="50AB91EA" w14:textId="77777777" w:rsidR="00D7705B" w:rsidRDefault="00D7705B" w:rsidP="00155A76">
      <w:pPr>
        <w:autoSpaceDE w:val="0"/>
        <w:autoSpaceDN w:val="0"/>
        <w:adjustRightInd w:val="0"/>
        <w:ind w:firstLine="15"/>
      </w:pPr>
    </w:p>
    <w:p w14:paraId="61099453" w14:textId="77777777" w:rsidR="00D7705B" w:rsidRDefault="00D7705B" w:rsidP="00155A76">
      <w:pPr>
        <w:autoSpaceDE w:val="0"/>
        <w:autoSpaceDN w:val="0"/>
        <w:adjustRightInd w:val="0"/>
        <w:ind w:firstLine="15"/>
      </w:pPr>
    </w:p>
    <w:p w14:paraId="478C1795" w14:textId="77777777" w:rsidR="00D7705B" w:rsidRDefault="00D7705B" w:rsidP="00155A76">
      <w:pPr>
        <w:autoSpaceDE w:val="0"/>
        <w:autoSpaceDN w:val="0"/>
        <w:adjustRightInd w:val="0"/>
        <w:ind w:firstLine="15"/>
      </w:pPr>
    </w:p>
    <w:p w14:paraId="64718A64" w14:textId="77777777" w:rsidR="00D7705B" w:rsidRDefault="00D7705B" w:rsidP="00155A76">
      <w:pPr>
        <w:autoSpaceDE w:val="0"/>
        <w:autoSpaceDN w:val="0"/>
        <w:adjustRightInd w:val="0"/>
        <w:ind w:firstLine="15"/>
      </w:pPr>
    </w:p>
    <w:p w14:paraId="2BCE64CC" w14:textId="77777777" w:rsidR="00A06999" w:rsidRPr="0081105E" w:rsidRDefault="00A06999" w:rsidP="00155A76">
      <w:pPr>
        <w:autoSpaceDE w:val="0"/>
        <w:autoSpaceDN w:val="0"/>
        <w:adjustRightInd w:val="0"/>
        <w:ind w:firstLine="15"/>
      </w:pPr>
    </w:p>
    <w:p w14:paraId="263D4960" w14:textId="2A55C75B" w:rsidR="00143266" w:rsidRPr="0081105E" w:rsidRDefault="00143266" w:rsidP="00155A76">
      <w:pPr>
        <w:autoSpaceDE w:val="0"/>
        <w:autoSpaceDN w:val="0"/>
        <w:adjustRightInd w:val="0"/>
        <w:ind w:firstLine="15"/>
        <w:rPr>
          <w:b/>
        </w:rPr>
      </w:pPr>
      <w:r w:rsidRPr="0081105E">
        <w:rPr>
          <w:b/>
        </w:rPr>
        <w:tab/>
      </w:r>
    </w:p>
    <w:p w14:paraId="365D03DF" w14:textId="77777777" w:rsidR="00155A76" w:rsidRPr="0081105E" w:rsidRDefault="00143266" w:rsidP="00155A76">
      <w:pPr>
        <w:pStyle w:val="Level1"/>
        <w:numPr>
          <w:ilvl w:val="0"/>
          <w:numId w:val="1"/>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r w:rsidRPr="0081105E">
        <w:rPr>
          <w:b/>
          <w:bCs/>
          <w:color w:val="000000"/>
        </w:rPr>
        <w:t>Course Requirements/Evaluation:</w:t>
      </w:r>
    </w:p>
    <w:p w14:paraId="65209E9F"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1869ACFC" w14:textId="750AD66D" w:rsidR="00155A76" w:rsidRDefault="00E66775" w:rsidP="00E66775">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E66775">
        <w:rPr>
          <w:b/>
          <w:bCs/>
          <w:color w:val="000000"/>
        </w:rPr>
        <w:t>a.</w:t>
      </w:r>
      <w:r>
        <w:rPr>
          <w:b/>
          <w:bCs/>
          <w:color w:val="000000"/>
        </w:rPr>
        <w:t xml:space="preserve"> </w:t>
      </w:r>
      <w:r w:rsidR="00155A76" w:rsidRPr="0081105E">
        <w:rPr>
          <w:b/>
          <w:bCs/>
          <w:color w:val="000000"/>
        </w:rPr>
        <w:t xml:space="preserve">Examinations (TOTAL 2 @ </w:t>
      </w:r>
      <w:r w:rsidR="00D56A74">
        <w:rPr>
          <w:b/>
          <w:bCs/>
          <w:color w:val="000000"/>
        </w:rPr>
        <w:t>30</w:t>
      </w:r>
      <w:r w:rsidR="00155A76" w:rsidRPr="0081105E">
        <w:rPr>
          <w:b/>
          <w:bCs/>
          <w:color w:val="000000"/>
        </w:rPr>
        <w:t xml:space="preserve"> points each).  </w:t>
      </w:r>
      <w:r w:rsidR="00155A76" w:rsidRPr="0081105E">
        <w:rPr>
          <w:bCs/>
          <w:color w:val="000000"/>
        </w:rPr>
        <w:t xml:space="preserve">There will be 2 announced examinations at midterm and final in this course. </w:t>
      </w:r>
    </w:p>
    <w:p w14:paraId="291DFAD1"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7E2BF166"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r w:rsidRPr="0081105E">
        <w:rPr>
          <w:b/>
          <w:bCs/>
          <w:color w:val="000000"/>
        </w:rPr>
        <w:t>b. Assignments</w:t>
      </w:r>
    </w:p>
    <w:p w14:paraId="7876D1AA"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01564DDD" w14:textId="0C0720A7" w:rsidR="00155A76" w:rsidRDefault="0024618B"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Pr>
          <w:bCs/>
          <w:color w:val="000000"/>
        </w:rPr>
        <w:t xml:space="preserve"> (1</w:t>
      </w:r>
      <w:r w:rsidR="00155A76" w:rsidRPr="0081105E">
        <w:rPr>
          <w:bCs/>
          <w:color w:val="000000"/>
        </w:rPr>
        <w:t xml:space="preserve">) </w:t>
      </w:r>
      <w:r w:rsidR="00A06999">
        <w:rPr>
          <w:bCs/>
          <w:color w:val="000000"/>
        </w:rPr>
        <w:t>Discussion board</w:t>
      </w:r>
      <w:r w:rsidR="00155A76" w:rsidRPr="0081105E">
        <w:rPr>
          <w:bCs/>
          <w:color w:val="000000"/>
        </w:rPr>
        <w:t xml:space="preserve"> activities (</w:t>
      </w:r>
      <w:r w:rsidR="00091445">
        <w:rPr>
          <w:b/>
          <w:bCs/>
          <w:color w:val="000000"/>
        </w:rPr>
        <w:t xml:space="preserve">TOTAL </w:t>
      </w:r>
      <w:r w:rsidR="00D56A74">
        <w:rPr>
          <w:b/>
          <w:bCs/>
          <w:color w:val="000000"/>
        </w:rPr>
        <w:t>1</w:t>
      </w:r>
      <w:r w:rsidR="00F63443">
        <w:rPr>
          <w:b/>
          <w:bCs/>
          <w:color w:val="000000"/>
        </w:rPr>
        <w:t>6</w:t>
      </w:r>
      <w:r w:rsidR="009A746F">
        <w:rPr>
          <w:b/>
          <w:bCs/>
          <w:color w:val="000000"/>
        </w:rPr>
        <w:t xml:space="preserve"> points, </w:t>
      </w:r>
      <w:r w:rsidR="00F63443">
        <w:rPr>
          <w:b/>
          <w:bCs/>
          <w:color w:val="000000"/>
        </w:rPr>
        <w:t>4</w:t>
      </w:r>
      <w:r w:rsidR="00091445">
        <w:rPr>
          <w:b/>
          <w:bCs/>
          <w:color w:val="000000"/>
        </w:rPr>
        <w:t xml:space="preserve"> @ </w:t>
      </w:r>
      <w:r w:rsidR="00F63443">
        <w:rPr>
          <w:b/>
          <w:bCs/>
          <w:color w:val="000000"/>
        </w:rPr>
        <w:t>4</w:t>
      </w:r>
      <w:r w:rsidR="00A06999" w:rsidRPr="00D7705B">
        <w:rPr>
          <w:b/>
          <w:bCs/>
          <w:color w:val="000000"/>
        </w:rPr>
        <w:t xml:space="preserve"> p</w:t>
      </w:r>
      <w:r w:rsidR="00D7705B" w:rsidRPr="00D7705B">
        <w:rPr>
          <w:b/>
          <w:bCs/>
          <w:color w:val="000000"/>
        </w:rPr>
        <w:t>oint</w:t>
      </w:r>
      <w:r w:rsidR="00D56A74">
        <w:rPr>
          <w:b/>
          <w:bCs/>
          <w:color w:val="000000"/>
        </w:rPr>
        <w:t>s</w:t>
      </w:r>
      <w:r w:rsidR="00A06999" w:rsidRPr="00D7705B">
        <w:rPr>
          <w:b/>
          <w:bCs/>
          <w:color w:val="000000"/>
        </w:rPr>
        <w:t xml:space="preserve"> each</w:t>
      </w:r>
      <w:r w:rsidR="00A06999">
        <w:rPr>
          <w:bCs/>
          <w:color w:val="000000"/>
        </w:rPr>
        <w:t>)</w:t>
      </w:r>
    </w:p>
    <w:p w14:paraId="72D7014E" w14:textId="77777777" w:rsidR="00D7705B" w:rsidRDefault="00D7705B"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7E1470A6" w14:textId="6ACCB4A5" w:rsidR="00155A76" w:rsidRDefault="0024618B"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Pr>
          <w:bCs/>
          <w:color w:val="000000"/>
        </w:rPr>
        <w:t>All students enrolled in the course will interact on CANVAS and are</w:t>
      </w:r>
      <w:r w:rsidR="00D7705B">
        <w:rPr>
          <w:bCs/>
          <w:color w:val="000000"/>
        </w:rPr>
        <w:t xml:space="preserve"> expected to participate in an online discussion board.  Details pertaining to each discussion board will be posted as part of the information for that particular week.</w:t>
      </w:r>
      <w:r>
        <w:rPr>
          <w:bCs/>
          <w:color w:val="000000"/>
        </w:rPr>
        <w:t xml:space="preserve">  Discussions will come from chapter readings.  </w:t>
      </w:r>
    </w:p>
    <w:p w14:paraId="5A247597" w14:textId="50DD183A" w:rsidR="009A746F" w:rsidRPr="0081105E" w:rsidRDefault="009A746F" w:rsidP="00D56A74">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0"/>
        <w:jc w:val="both"/>
        <w:rPr>
          <w:bCs/>
          <w:color w:val="000000"/>
        </w:rPr>
      </w:pPr>
      <w:r>
        <w:rPr>
          <w:bCs/>
          <w:color w:val="000000"/>
        </w:rPr>
        <w:t xml:space="preserve"> </w:t>
      </w:r>
    </w:p>
    <w:p w14:paraId="296DAA70" w14:textId="61489EF0"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6F30516B" w14:textId="5A31142D" w:rsidR="00155A76" w:rsidRDefault="009A746F"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Pr>
          <w:bCs/>
          <w:color w:val="000000"/>
        </w:rPr>
        <w:tab/>
      </w:r>
      <w:r w:rsidR="00155A76" w:rsidRPr="0081105E">
        <w:rPr>
          <w:bCs/>
          <w:color w:val="000000"/>
        </w:rPr>
        <w:t>(</w:t>
      </w:r>
      <w:r>
        <w:rPr>
          <w:bCs/>
          <w:color w:val="000000"/>
        </w:rPr>
        <w:t>3</w:t>
      </w:r>
      <w:r w:rsidR="00155A76" w:rsidRPr="0081105E">
        <w:rPr>
          <w:bCs/>
          <w:color w:val="000000"/>
        </w:rPr>
        <w:t>) Individualized Education Program for Transition (</w:t>
      </w:r>
      <w:r w:rsidR="00155A76" w:rsidRPr="00D7705B">
        <w:rPr>
          <w:b/>
          <w:bCs/>
          <w:color w:val="000000"/>
        </w:rPr>
        <w:t xml:space="preserve">TOTAL </w:t>
      </w:r>
      <w:r w:rsidR="00F63443">
        <w:rPr>
          <w:b/>
          <w:bCs/>
          <w:color w:val="000000"/>
        </w:rPr>
        <w:t xml:space="preserve">10 </w:t>
      </w:r>
      <w:r w:rsidR="00155A76" w:rsidRPr="00D7705B">
        <w:rPr>
          <w:b/>
          <w:bCs/>
          <w:color w:val="000000"/>
        </w:rPr>
        <w:t>points</w:t>
      </w:r>
      <w:r w:rsidR="00155A76" w:rsidRPr="0081105E">
        <w:rPr>
          <w:bCs/>
          <w:color w:val="000000"/>
        </w:rPr>
        <w:t>)</w:t>
      </w:r>
    </w:p>
    <w:p w14:paraId="60830980" w14:textId="77777777" w:rsidR="00FD627E" w:rsidRPr="0081105E" w:rsidRDefault="00FD627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2BB061B2" w14:textId="10CCE4DA" w:rsidR="00155A76" w:rsidRDefault="00155A76" w:rsidP="009A746F">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540"/>
        <w:jc w:val="both"/>
        <w:rPr>
          <w:bCs/>
          <w:color w:val="000000"/>
        </w:rPr>
      </w:pPr>
      <w:r w:rsidRPr="0081105E">
        <w:rPr>
          <w:bCs/>
          <w:color w:val="000000"/>
        </w:rPr>
        <w:t xml:space="preserve">Become familiar with your role as a rehabilitation professional in the IEP process.  You will become familiar with the IEP document particularly the transition portion, the process, and the IEP meeting for the rehabilitation </w:t>
      </w:r>
      <w:r w:rsidR="00D7705B">
        <w:rPr>
          <w:bCs/>
          <w:color w:val="000000"/>
        </w:rPr>
        <w:t>practitioner</w:t>
      </w:r>
      <w:r w:rsidRPr="0081105E">
        <w:rPr>
          <w:bCs/>
          <w:color w:val="000000"/>
        </w:rPr>
        <w:t xml:space="preserve"> and related professionals.  Emphasis will be placed on how the document reflects the growing needs of emerging adults.</w:t>
      </w:r>
      <w:r w:rsidR="0024618B">
        <w:rPr>
          <w:bCs/>
          <w:color w:val="000000"/>
        </w:rPr>
        <w:t xml:space="preserve">  </w:t>
      </w:r>
      <w:r w:rsidR="00D56A74">
        <w:rPr>
          <w:bCs/>
          <w:color w:val="000000"/>
        </w:rPr>
        <w:t>Details will be provided.</w:t>
      </w:r>
    </w:p>
    <w:p w14:paraId="572DD50B"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1452F96A" w14:textId="73F184C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81105E">
        <w:rPr>
          <w:bCs/>
          <w:color w:val="000000"/>
        </w:rPr>
        <w:t>(</w:t>
      </w:r>
      <w:r w:rsidR="0024618B">
        <w:rPr>
          <w:bCs/>
          <w:color w:val="000000"/>
        </w:rPr>
        <w:t>3</w:t>
      </w:r>
      <w:r w:rsidRPr="0081105E">
        <w:rPr>
          <w:bCs/>
          <w:color w:val="000000"/>
        </w:rPr>
        <w:t xml:space="preserve">) Emerging Adulthood </w:t>
      </w:r>
      <w:r w:rsidR="00A06999">
        <w:rPr>
          <w:bCs/>
          <w:color w:val="000000"/>
        </w:rPr>
        <w:t>Autobiography Paper</w:t>
      </w:r>
      <w:r w:rsidR="0028110D">
        <w:rPr>
          <w:bCs/>
          <w:color w:val="000000"/>
        </w:rPr>
        <w:t xml:space="preserve"> </w:t>
      </w:r>
      <w:r w:rsidR="0028110D" w:rsidRPr="00D7705B">
        <w:rPr>
          <w:b/>
          <w:bCs/>
          <w:color w:val="000000"/>
        </w:rPr>
        <w:t>(</w:t>
      </w:r>
      <w:r w:rsidR="00F63443">
        <w:rPr>
          <w:b/>
          <w:bCs/>
          <w:color w:val="000000"/>
        </w:rPr>
        <w:t>14</w:t>
      </w:r>
      <w:r w:rsidRPr="00D7705B">
        <w:rPr>
          <w:b/>
          <w:bCs/>
          <w:color w:val="000000"/>
        </w:rPr>
        <w:t xml:space="preserve"> points)</w:t>
      </w:r>
    </w:p>
    <w:p w14:paraId="4B3AD502" w14:textId="3DD2F688" w:rsidR="00155A76" w:rsidRDefault="00A06999"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28110D">
        <w:rPr>
          <w:bCs/>
          <w:color w:val="000000"/>
        </w:rPr>
        <w:t xml:space="preserve">This paper will be an opportunity for the student to reflect on the information learned on emerging adulthood and </w:t>
      </w:r>
      <w:r w:rsidR="0028110D" w:rsidRPr="0028110D">
        <w:rPr>
          <w:bCs/>
          <w:color w:val="000000"/>
        </w:rPr>
        <w:t xml:space="preserve">their personal experience living through the stages of emerging adulthood.  This paper will not require external resources aside from the </w:t>
      </w:r>
      <w:r w:rsidR="0028110D" w:rsidRPr="0028110D">
        <w:rPr>
          <w:bCs/>
          <w:i/>
          <w:color w:val="000000"/>
        </w:rPr>
        <w:t>Arnett</w:t>
      </w:r>
      <w:r w:rsidR="0028110D" w:rsidRPr="0028110D">
        <w:rPr>
          <w:bCs/>
          <w:color w:val="000000"/>
        </w:rPr>
        <w:t xml:space="preserve"> text.  Details/rubric will be forthcoming on this paper.</w:t>
      </w:r>
    </w:p>
    <w:p w14:paraId="636B4C78" w14:textId="77777777" w:rsidR="0024618B" w:rsidRDefault="0024618B"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05CCD867" w14:textId="77777777" w:rsidR="00091445" w:rsidRDefault="00091445" w:rsidP="00D56A74">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0"/>
        <w:jc w:val="both"/>
        <w:rPr>
          <w:b/>
        </w:rPr>
      </w:pPr>
    </w:p>
    <w:p w14:paraId="2DD1DAA4" w14:textId="77777777" w:rsidR="00091445" w:rsidRDefault="00091445"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13B391CA" w14:textId="6BD036C3" w:rsidR="00FD627E" w:rsidRDefault="00FD627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r>
        <w:rPr>
          <w:b/>
        </w:rPr>
        <w:t>f. Grade evaluation</w:t>
      </w:r>
    </w:p>
    <w:p w14:paraId="6AEC9EE3" w14:textId="77777777" w:rsidR="00FD627E" w:rsidRDefault="00FD627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679457E3" w14:textId="349AAAE9" w:rsidR="00FD627E" w:rsidRPr="00FD627E" w:rsidRDefault="00FD627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i/>
        </w:rPr>
      </w:pPr>
      <w:r w:rsidRPr="00FD627E">
        <w:rPr>
          <w:b/>
          <w:i/>
        </w:rPr>
        <w:t>This course is based on a total of 100 possible points.</w:t>
      </w:r>
    </w:p>
    <w:p w14:paraId="40FC92DB" w14:textId="77777777" w:rsidR="00FD627E" w:rsidRDefault="00FD627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7DEC83CF" w14:textId="4EC97618" w:rsidR="00FD627E" w:rsidRDefault="00FD627E" w:rsidP="00FD627E">
      <w:pPr>
        <w:pBdr>
          <w:top w:val="single" w:sz="6" w:space="0" w:color="FFFFFF"/>
          <w:left w:val="single" w:sz="6" w:space="0" w:color="FFFFFF"/>
          <w:bottom w:val="single" w:sz="6" w:space="0" w:color="FFFFFF"/>
          <w:right w:val="single" w:sz="6" w:space="0" w:color="FFFFFF"/>
        </w:pBdr>
        <w:ind w:right="-90"/>
        <w:rPr>
          <w:sz w:val="22"/>
          <w:szCs w:val="22"/>
        </w:rPr>
      </w:pPr>
      <w:r>
        <w:rPr>
          <w:sz w:val="22"/>
          <w:szCs w:val="22"/>
        </w:rPr>
        <w:tab/>
      </w:r>
      <w:r w:rsidRPr="00AC5A42">
        <w:rPr>
          <w:sz w:val="22"/>
          <w:szCs w:val="22"/>
        </w:rPr>
        <w:t>92 - 100 =</w:t>
      </w:r>
      <w:r>
        <w:rPr>
          <w:sz w:val="22"/>
          <w:szCs w:val="22"/>
        </w:rPr>
        <w:t xml:space="preserve"> </w:t>
      </w:r>
      <w:r w:rsidRPr="00AC5A42">
        <w:rPr>
          <w:sz w:val="22"/>
          <w:szCs w:val="22"/>
        </w:rPr>
        <w:t>A</w:t>
      </w:r>
    </w:p>
    <w:p w14:paraId="75899DD2" w14:textId="21C45A9A" w:rsidR="00FD627E" w:rsidRDefault="00FD627E" w:rsidP="00FD627E">
      <w:pPr>
        <w:pBdr>
          <w:top w:val="single" w:sz="6" w:space="0" w:color="FFFFFF"/>
          <w:left w:val="single" w:sz="6" w:space="0" w:color="FFFFFF"/>
          <w:bottom w:val="single" w:sz="6" w:space="0" w:color="FFFFFF"/>
          <w:right w:val="single" w:sz="6" w:space="0" w:color="FFFFFF"/>
        </w:pBdr>
        <w:ind w:right="-90"/>
        <w:rPr>
          <w:sz w:val="22"/>
          <w:szCs w:val="22"/>
        </w:rPr>
      </w:pPr>
      <w:r>
        <w:rPr>
          <w:sz w:val="22"/>
          <w:szCs w:val="22"/>
        </w:rPr>
        <w:tab/>
      </w:r>
      <w:r w:rsidRPr="00AC5A42">
        <w:rPr>
          <w:sz w:val="22"/>
          <w:szCs w:val="22"/>
        </w:rPr>
        <w:t>84 - 91</w:t>
      </w:r>
      <w:r>
        <w:rPr>
          <w:sz w:val="22"/>
          <w:szCs w:val="22"/>
        </w:rPr>
        <w:t xml:space="preserve"> </w:t>
      </w:r>
      <w:r w:rsidRPr="00AC5A42">
        <w:rPr>
          <w:sz w:val="22"/>
          <w:szCs w:val="22"/>
        </w:rPr>
        <w:t>=</w:t>
      </w:r>
      <w:r>
        <w:rPr>
          <w:sz w:val="22"/>
          <w:szCs w:val="22"/>
        </w:rPr>
        <w:t xml:space="preserve"> </w:t>
      </w:r>
      <w:r w:rsidRPr="00AC5A42">
        <w:rPr>
          <w:sz w:val="22"/>
          <w:szCs w:val="22"/>
        </w:rPr>
        <w:t>B</w:t>
      </w:r>
      <w:r>
        <w:rPr>
          <w:sz w:val="22"/>
          <w:szCs w:val="22"/>
        </w:rPr>
        <w:t xml:space="preserve"> </w:t>
      </w:r>
    </w:p>
    <w:p w14:paraId="3B788AC8" w14:textId="04D47E4C" w:rsidR="00FD627E" w:rsidRDefault="00FD627E" w:rsidP="00FD627E">
      <w:pPr>
        <w:pBdr>
          <w:top w:val="single" w:sz="6" w:space="0" w:color="FFFFFF"/>
          <w:left w:val="single" w:sz="6" w:space="0" w:color="FFFFFF"/>
          <w:bottom w:val="single" w:sz="6" w:space="0" w:color="FFFFFF"/>
          <w:right w:val="single" w:sz="6" w:space="0" w:color="FFFFFF"/>
        </w:pBdr>
        <w:ind w:right="-90"/>
        <w:rPr>
          <w:sz w:val="22"/>
          <w:szCs w:val="22"/>
        </w:rPr>
      </w:pPr>
      <w:r>
        <w:rPr>
          <w:sz w:val="22"/>
          <w:szCs w:val="22"/>
        </w:rPr>
        <w:tab/>
      </w:r>
      <w:r w:rsidRPr="00AC5A42">
        <w:rPr>
          <w:sz w:val="22"/>
          <w:szCs w:val="22"/>
        </w:rPr>
        <w:t>76 - 83 =</w:t>
      </w:r>
      <w:r>
        <w:rPr>
          <w:sz w:val="22"/>
          <w:szCs w:val="22"/>
        </w:rPr>
        <w:t xml:space="preserve"> </w:t>
      </w:r>
      <w:r w:rsidRPr="00AC5A42">
        <w:rPr>
          <w:sz w:val="22"/>
          <w:szCs w:val="22"/>
        </w:rPr>
        <w:t>C</w:t>
      </w:r>
    </w:p>
    <w:p w14:paraId="1A71007D" w14:textId="66FDCD7F" w:rsidR="00FD627E" w:rsidRDefault="00FD627E" w:rsidP="00FD627E">
      <w:pPr>
        <w:pBdr>
          <w:top w:val="single" w:sz="6" w:space="0" w:color="FFFFFF"/>
          <w:left w:val="single" w:sz="6" w:space="0" w:color="FFFFFF"/>
          <w:bottom w:val="single" w:sz="6" w:space="0" w:color="FFFFFF"/>
          <w:right w:val="single" w:sz="6" w:space="0" w:color="FFFFFF"/>
        </w:pBdr>
        <w:ind w:right="-90"/>
        <w:rPr>
          <w:sz w:val="22"/>
          <w:szCs w:val="22"/>
        </w:rPr>
      </w:pPr>
      <w:r>
        <w:rPr>
          <w:sz w:val="22"/>
          <w:szCs w:val="22"/>
        </w:rPr>
        <w:tab/>
      </w:r>
      <w:r w:rsidRPr="00AC5A42">
        <w:rPr>
          <w:sz w:val="22"/>
          <w:szCs w:val="22"/>
        </w:rPr>
        <w:t>68 - 75 = D</w:t>
      </w:r>
    </w:p>
    <w:p w14:paraId="7C2C691D" w14:textId="31C18191" w:rsidR="00FD627E" w:rsidRPr="00C07C4C" w:rsidRDefault="00FD627E" w:rsidP="00FD627E">
      <w:pPr>
        <w:pBdr>
          <w:top w:val="single" w:sz="6" w:space="0" w:color="FFFFFF"/>
          <w:left w:val="single" w:sz="6" w:space="0" w:color="FFFFFF"/>
          <w:bottom w:val="single" w:sz="6" w:space="0" w:color="FFFFFF"/>
          <w:right w:val="single" w:sz="6" w:space="0" w:color="FFFFFF"/>
        </w:pBdr>
        <w:ind w:right="-90"/>
        <w:rPr>
          <w:sz w:val="22"/>
          <w:szCs w:val="22"/>
        </w:rPr>
      </w:pPr>
      <w:r>
        <w:rPr>
          <w:sz w:val="22"/>
          <w:szCs w:val="22"/>
        </w:rPr>
        <w:tab/>
      </w:r>
      <w:r w:rsidRPr="00AC5A42">
        <w:rPr>
          <w:sz w:val="22"/>
          <w:szCs w:val="22"/>
        </w:rPr>
        <w:t>Below 68 =F</w:t>
      </w:r>
    </w:p>
    <w:p w14:paraId="7BA5BAD9" w14:textId="77777777" w:rsidR="00FD627E" w:rsidRDefault="00FD627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28E4D986" w14:textId="77777777" w:rsidR="00501536" w:rsidRDefault="0050153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pPr>
    </w:p>
    <w:p w14:paraId="64A62C58" w14:textId="77777777" w:rsidR="00701632" w:rsidRDefault="00701632" w:rsidP="00501536">
      <w:pPr>
        <w:rPr>
          <w:i/>
        </w:rPr>
      </w:pPr>
    </w:p>
    <w:p w14:paraId="5E6F33E1" w14:textId="77777777" w:rsidR="00701632" w:rsidRDefault="00701632" w:rsidP="00501536">
      <w:pPr>
        <w:rPr>
          <w:i/>
        </w:rPr>
      </w:pPr>
    </w:p>
    <w:p w14:paraId="342A0228" w14:textId="77777777" w:rsidR="00701632" w:rsidRDefault="00701632" w:rsidP="00501536">
      <w:pPr>
        <w:rPr>
          <w:i/>
        </w:rPr>
      </w:pPr>
    </w:p>
    <w:p w14:paraId="31F229C6" w14:textId="77777777" w:rsidR="00701632" w:rsidRDefault="00701632" w:rsidP="00501536">
      <w:pPr>
        <w:rPr>
          <w:i/>
        </w:rPr>
      </w:pPr>
    </w:p>
    <w:p w14:paraId="5D71B3E1" w14:textId="77777777" w:rsidR="00701632" w:rsidRDefault="00701632" w:rsidP="00501536">
      <w:pPr>
        <w:rPr>
          <w:i/>
        </w:rPr>
      </w:pPr>
    </w:p>
    <w:p w14:paraId="23180247" w14:textId="32395B56" w:rsidR="00501536" w:rsidRPr="00501536" w:rsidRDefault="00501536" w:rsidP="00501536">
      <w:pPr>
        <w:rPr>
          <w:i/>
        </w:rPr>
      </w:pPr>
      <w:r w:rsidRPr="00501536">
        <w:rPr>
          <w:i/>
        </w:rPr>
        <w:lastRenderedPageBreak/>
        <w:t>Proposed course outline:</w:t>
      </w:r>
    </w:p>
    <w:p w14:paraId="0364EF2B" w14:textId="523809EE" w:rsidR="00701632" w:rsidRDefault="00701632" w:rsidP="00501536"/>
    <w:p w14:paraId="4AE1C9F9" w14:textId="77777777" w:rsidR="00701632" w:rsidRPr="0081105E" w:rsidRDefault="00701632" w:rsidP="00501536"/>
    <w:p w14:paraId="41ACAFAE" w14:textId="77777777" w:rsidR="00701632" w:rsidRDefault="00091445" w:rsidP="00501536">
      <w:pPr>
        <w:rPr>
          <w:b/>
        </w:rPr>
      </w:pPr>
      <w:r>
        <w:rPr>
          <w:b/>
        </w:rPr>
        <w:t>January 1</w:t>
      </w:r>
      <w:r w:rsidR="00D56A74">
        <w:rPr>
          <w:b/>
        </w:rPr>
        <w:t>6</w:t>
      </w:r>
    </w:p>
    <w:p w14:paraId="2BFA96A2" w14:textId="6E0E9D12" w:rsidR="00501536" w:rsidRPr="0081105E" w:rsidRDefault="00501536" w:rsidP="00501536">
      <w:r w:rsidRPr="0081105E">
        <w:t>Week 1 (first day of semester)</w:t>
      </w:r>
    </w:p>
    <w:p w14:paraId="47718178" w14:textId="0CA85BD6" w:rsidR="00501536" w:rsidRDefault="00501536" w:rsidP="00501536">
      <w:r w:rsidRPr="0081105E">
        <w:t>Course Introduction</w:t>
      </w:r>
    </w:p>
    <w:p w14:paraId="31D7C7DB" w14:textId="1E0EDEC5" w:rsidR="00701632" w:rsidRDefault="00701632" w:rsidP="00501536">
      <w:r>
        <w:t>Discussion Board</w:t>
      </w:r>
    </w:p>
    <w:p w14:paraId="6880B068" w14:textId="77777777" w:rsidR="00501536" w:rsidRDefault="00501536" w:rsidP="00501536"/>
    <w:p w14:paraId="2BFC817D" w14:textId="6464BEB3" w:rsidR="00501536" w:rsidRPr="00C759FE" w:rsidRDefault="000B3A3C" w:rsidP="00501536">
      <w:pPr>
        <w:rPr>
          <w:b/>
        </w:rPr>
      </w:pPr>
      <w:r>
        <w:rPr>
          <w:b/>
        </w:rPr>
        <w:t>January 2</w:t>
      </w:r>
      <w:r w:rsidR="00D56A74">
        <w:rPr>
          <w:b/>
        </w:rPr>
        <w:t>3</w:t>
      </w:r>
    </w:p>
    <w:p w14:paraId="11006DFB" w14:textId="77777777" w:rsidR="00501536" w:rsidRDefault="00501536" w:rsidP="00501536">
      <w:r>
        <w:t>Week 2</w:t>
      </w:r>
    </w:p>
    <w:p w14:paraId="5887FA4B" w14:textId="49858D01" w:rsidR="00501536" w:rsidRPr="0081105E" w:rsidRDefault="00501536" w:rsidP="00501536">
      <w:r w:rsidRPr="0081105E">
        <w:t>Arnett</w:t>
      </w:r>
      <w:r w:rsidR="00701632">
        <w:t xml:space="preserve"> </w:t>
      </w:r>
      <w:r w:rsidRPr="0081105E">
        <w:t>Chapter 1</w:t>
      </w:r>
    </w:p>
    <w:p w14:paraId="139CB175" w14:textId="77777777" w:rsidR="00501536" w:rsidRPr="0081105E" w:rsidRDefault="00501536" w:rsidP="00501536"/>
    <w:p w14:paraId="7D508621" w14:textId="2EA2B049" w:rsidR="00501536" w:rsidRPr="00FD2E26" w:rsidRDefault="00501536" w:rsidP="00501536">
      <w:r>
        <w:rPr>
          <w:b/>
        </w:rPr>
        <w:t>January</w:t>
      </w:r>
      <w:r w:rsidR="000B3A3C">
        <w:rPr>
          <w:b/>
        </w:rPr>
        <w:t xml:space="preserve"> </w:t>
      </w:r>
      <w:r w:rsidR="00701632">
        <w:rPr>
          <w:b/>
        </w:rPr>
        <w:t>30</w:t>
      </w:r>
    </w:p>
    <w:p w14:paraId="6B02B11A" w14:textId="20DCA6C8" w:rsidR="00501536" w:rsidRDefault="00501536" w:rsidP="00501536">
      <w:r w:rsidRPr="0081105E">
        <w:t>Week 3</w:t>
      </w:r>
    </w:p>
    <w:p w14:paraId="1DDBA6D2" w14:textId="62F3BAC7" w:rsidR="00501536" w:rsidRPr="00701632" w:rsidRDefault="00701632" w:rsidP="00501536">
      <w:pPr>
        <w:rPr>
          <w:bCs/>
        </w:rPr>
      </w:pPr>
      <w:r>
        <w:rPr>
          <w:bCs/>
        </w:rPr>
        <w:t>Arnett Chapter 2, 3</w:t>
      </w:r>
    </w:p>
    <w:p w14:paraId="63F61003" w14:textId="77777777" w:rsidR="00091445" w:rsidRDefault="00091445" w:rsidP="00501536">
      <w:pPr>
        <w:rPr>
          <w:b/>
        </w:rPr>
      </w:pPr>
    </w:p>
    <w:p w14:paraId="0E9B9411" w14:textId="4418E623" w:rsidR="00501536" w:rsidRPr="00C759FE" w:rsidRDefault="000B3A3C" w:rsidP="00501536">
      <w:pPr>
        <w:rPr>
          <w:b/>
        </w:rPr>
      </w:pPr>
      <w:r>
        <w:rPr>
          <w:b/>
        </w:rPr>
        <w:t xml:space="preserve">February </w:t>
      </w:r>
      <w:r w:rsidR="00701632">
        <w:rPr>
          <w:b/>
        </w:rPr>
        <w:t>6</w:t>
      </w:r>
    </w:p>
    <w:p w14:paraId="018C187C" w14:textId="77777777" w:rsidR="00501536" w:rsidRPr="0081105E" w:rsidRDefault="00501536" w:rsidP="00501536">
      <w:r w:rsidRPr="0081105E">
        <w:t>Week 4</w:t>
      </w:r>
    </w:p>
    <w:p w14:paraId="76940B62" w14:textId="2A2ABA5B" w:rsidR="00501536" w:rsidRDefault="00701632" w:rsidP="00501536">
      <w:r>
        <w:t>Chapter 3,4</w:t>
      </w:r>
    </w:p>
    <w:p w14:paraId="2885B39A" w14:textId="77777777" w:rsidR="00501536" w:rsidRPr="0081105E" w:rsidRDefault="00501536" w:rsidP="00501536"/>
    <w:p w14:paraId="2C47E9D9" w14:textId="586BB1FE" w:rsidR="00501536" w:rsidRPr="00C759FE" w:rsidRDefault="000B3A3C" w:rsidP="00501536">
      <w:pPr>
        <w:rPr>
          <w:b/>
        </w:rPr>
      </w:pPr>
      <w:r>
        <w:rPr>
          <w:b/>
        </w:rPr>
        <w:t>February 1</w:t>
      </w:r>
      <w:r w:rsidR="00701632">
        <w:rPr>
          <w:b/>
        </w:rPr>
        <w:t>3</w:t>
      </w:r>
    </w:p>
    <w:p w14:paraId="5DE2E792" w14:textId="77777777" w:rsidR="00501536" w:rsidRDefault="00501536" w:rsidP="00501536">
      <w:r w:rsidRPr="0081105E">
        <w:t>Week 5</w:t>
      </w:r>
    </w:p>
    <w:p w14:paraId="47343588" w14:textId="2FD3EECB" w:rsidR="00FD627E" w:rsidRPr="0081105E" w:rsidRDefault="00FD627E" w:rsidP="00FD627E">
      <w:r w:rsidRPr="0081105E">
        <w:t>Arnett</w:t>
      </w:r>
      <w:r w:rsidR="00701632">
        <w:t xml:space="preserve"> 5,6</w:t>
      </w:r>
    </w:p>
    <w:p w14:paraId="530906BF" w14:textId="77777777" w:rsidR="00501536" w:rsidRPr="0081105E" w:rsidRDefault="00501536" w:rsidP="00501536"/>
    <w:p w14:paraId="1C54A954" w14:textId="313B7F5A" w:rsidR="00501536" w:rsidRPr="009939FF" w:rsidRDefault="000B3A3C" w:rsidP="00501536">
      <w:pPr>
        <w:rPr>
          <w:b/>
        </w:rPr>
      </w:pPr>
      <w:r>
        <w:rPr>
          <w:b/>
        </w:rPr>
        <w:t xml:space="preserve">February </w:t>
      </w:r>
      <w:r w:rsidR="00701632">
        <w:rPr>
          <w:b/>
        </w:rPr>
        <w:t>20</w:t>
      </w:r>
    </w:p>
    <w:p w14:paraId="76F0AA1E" w14:textId="77777777" w:rsidR="00501536" w:rsidRDefault="00501536" w:rsidP="00501536">
      <w:r w:rsidRPr="0081105E">
        <w:t>Week 6</w:t>
      </w:r>
    </w:p>
    <w:p w14:paraId="09BB405B" w14:textId="3647CEDC" w:rsidR="00501536" w:rsidRPr="0081105E" w:rsidRDefault="00501536" w:rsidP="00501536">
      <w:r w:rsidRPr="0081105E">
        <w:t>Arnett</w:t>
      </w:r>
      <w:r w:rsidR="00701632">
        <w:t xml:space="preserve"> 7,8</w:t>
      </w:r>
    </w:p>
    <w:p w14:paraId="6FA0957C" w14:textId="77777777" w:rsidR="00501536" w:rsidRDefault="00501536" w:rsidP="00501536"/>
    <w:p w14:paraId="7E939940" w14:textId="31AB518C" w:rsidR="00501536" w:rsidRPr="009939FF" w:rsidRDefault="000B3A3C" w:rsidP="00501536">
      <w:pPr>
        <w:rPr>
          <w:b/>
        </w:rPr>
      </w:pPr>
      <w:r>
        <w:rPr>
          <w:b/>
        </w:rPr>
        <w:t>February 2</w:t>
      </w:r>
      <w:r w:rsidR="00701632">
        <w:rPr>
          <w:b/>
        </w:rPr>
        <w:t>7</w:t>
      </w:r>
    </w:p>
    <w:p w14:paraId="74D258FD" w14:textId="44ACC81D" w:rsidR="00FD627E" w:rsidRDefault="00501536" w:rsidP="00501536">
      <w:r w:rsidRPr="0081105E">
        <w:t>Week 7</w:t>
      </w:r>
    </w:p>
    <w:p w14:paraId="436A9CA9" w14:textId="1C2AAEE3" w:rsidR="00091445" w:rsidRDefault="00701632" w:rsidP="00501536">
      <w:r>
        <w:t>Arnett 8,9</w:t>
      </w:r>
      <w:r w:rsidR="00F63443">
        <w:t>,10</w:t>
      </w:r>
    </w:p>
    <w:p w14:paraId="237DF0BD" w14:textId="77777777" w:rsidR="000B3A3C" w:rsidRDefault="000B3A3C" w:rsidP="00501536">
      <w:pPr>
        <w:rPr>
          <w:b/>
        </w:rPr>
      </w:pPr>
    </w:p>
    <w:p w14:paraId="642D6578" w14:textId="62BB1E68" w:rsidR="00501536" w:rsidRPr="009939FF" w:rsidRDefault="00501536" w:rsidP="00501536">
      <w:pPr>
        <w:rPr>
          <w:b/>
        </w:rPr>
      </w:pPr>
      <w:r>
        <w:rPr>
          <w:b/>
        </w:rPr>
        <w:t xml:space="preserve">March </w:t>
      </w:r>
      <w:r w:rsidR="00701632">
        <w:rPr>
          <w:b/>
        </w:rPr>
        <w:t>6</w:t>
      </w:r>
    </w:p>
    <w:p w14:paraId="3C9AA262" w14:textId="77777777" w:rsidR="00501536" w:rsidRPr="0081105E" w:rsidRDefault="00501536" w:rsidP="00501536">
      <w:r w:rsidRPr="0081105E">
        <w:t>Week 8</w:t>
      </w:r>
    </w:p>
    <w:p w14:paraId="135451C3" w14:textId="606F3B39" w:rsidR="00501536" w:rsidRPr="009939FF" w:rsidRDefault="00701632" w:rsidP="00501536">
      <w:pPr>
        <w:rPr>
          <w:b/>
        </w:rPr>
      </w:pPr>
      <w:r>
        <w:rPr>
          <w:b/>
        </w:rPr>
        <w:t xml:space="preserve">SPRING BREAK </w:t>
      </w:r>
      <w:r w:rsidRPr="00701632">
        <w:rPr>
          <w:b/>
        </w:rPr>
        <w:sym w:font="Wingdings" w:char="F04A"/>
      </w:r>
    </w:p>
    <w:p w14:paraId="24D1563F" w14:textId="77777777" w:rsidR="00501536" w:rsidRPr="0081105E" w:rsidRDefault="00501536" w:rsidP="00501536"/>
    <w:p w14:paraId="0DE66F67" w14:textId="64CB3377" w:rsidR="00501536" w:rsidRPr="009939FF" w:rsidRDefault="000B3A3C" w:rsidP="00501536">
      <w:pPr>
        <w:rPr>
          <w:b/>
        </w:rPr>
      </w:pPr>
      <w:r>
        <w:rPr>
          <w:b/>
        </w:rPr>
        <w:t>March 1</w:t>
      </w:r>
      <w:r w:rsidR="00701632">
        <w:rPr>
          <w:b/>
        </w:rPr>
        <w:t>3</w:t>
      </w:r>
    </w:p>
    <w:p w14:paraId="5C4C84F4" w14:textId="2C10FC63" w:rsidR="00501536" w:rsidRDefault="00F63443" w:rsidP="00501536">
      <w:r>
        <w:t>Arnett 11,12,13</w:t>
      </w:r>
    </w:p>
    <w:p w14:paraId="2CB716AB" w14:textId="77777777" w:rsidR="00F63443" w:rsidRDefault="00F63443" w:rsidP="00501536">
      <w:pPr>
        <w:rPr>
          <w:b/>
        </w:rPr>
      </w:pPr>
    </w:p>
    <w:p w14:paraId="7E9569DE" w14:textId="7BE21E73" w:rsidR="00501536" w:rsidRPr="009939FF" w:rsidRDefault="00C25C9C" w:rsidP="00501536">
      <w:pPr>
        <w:rPr>
          <w:b/>
        </w:rPr>
      </w:pPr>
      <w:r>
        <w:rPr>
          <w:b/>
        </w:rPr>
        <w:t xml:space="preserve">March </w:t>
      </w:r>
      <w:r w:rsidR="00701632">
        <w:rPr>
          <w:b/>
        </w:rPr>
        <w:t>20</w:t>
      </w:r>
    </w:p>
    <w:p w14:paraId="450B52B3" w14:textId="21D537BC" w:rsidR="00501536" w:rsidRDefault="00501536" w:rsidP="00501536">
      <w:r w:rsidRPr="0081105E">
        <w:t>Week 9</w:t>
      </w:r>
    </w:p>
    <w:p w14:paraId="0BC7F513" w14:textId="01FC2545" w:rsidR="00F63443" w:rsidRPr="0081105E" w:rsidRDefault="00F63443" w:rsidP="00501536">
      <w:r>
        <w:t>Transition Text Chapter 1,2</w:t>
      </w:r>
    </w:p>
    <w:p w14:paraId="3385D116" w14:textId="108E1124" w:rsidR="00FD627E" w:rsidRPr="0081105E" w:rsidRDefault="00FD627E" w:rsidP="00501536"/>
    <w:p w14:paraId="7236A1FB" w14:textId="694C26B7" w:rsidR="00501536" w:rsidRPr="00FD2E26" w:rsidRDefault="00C25C9C" w:rsidP="00501536">
      <w:pPr>
        <w:rPr>
          <w:b/>
        </w:rPr>
      </w:pPr>
      <w:r>
        <w:rPr>
          <w:b/>
        </w:rPr>
        <w:t>March 2</w:t>
      </w:r>
      <w:r w:rsidR="00701632">
        <w:rPr>
          <w:b/>
        </w:rPr>
        <w:t>7</w:t>
      </w:r>
    </w:p>
    <w:p w14:paraId="34F11B10" w14:textId="415E6CCC" w:rsidR="00501536" w:rsidRDefault="00F63443" w:rsidP="00501536">
      <w:r>
        <w:t>Transition Text Chapter 3,4</w:t>
      </w:r>
    </w:p>
    <w:p w14:paraId="66F4149E" w14:textId="77777777" w:rsidR="00501536" w:rsidRPr="0081105E" w:rsidRDefault="00501536" w:rsidP="00501536"/>
    <w:p w14:paraId="3CC7E95C" w14:textId="77777777" w:rsidR="00501536" w:rsidRPr="0081105E" w:rsidRDefault="00501536" w:rsidP="00501536"/>
    <w:p w14:paraId="0DD470D1" w14:textId="32F07436" w:rsidR="00501536" w:rsidRPr="00592764" w:rsidRDefault="00C25C9C" w:rsidP="00501536">
      <w:pPr>
        <w:rPr>
          <w:b/>
        </w:rPr>
      </w:pPr>
      <w:r>
        <w:rPr>
          <w:b/>
        </w:rPr>
        <w:t xml:space="preserve">April </w:t>
      </w:r>
      <w:r w:rsidR="00701632">
        <w:rPr>
          <w:b/>
        </w:rPr>
        <w:t>3</w:t>
      </w:r>
      <w:r w:rsidR="00501536">
        <w:rPr>
          <w:b/>
        </w:rPr>
        <w:t xml:space="preserve">: </w:t>
      </w:r>
      <w:r w:rsidR="00501536" w:rsidRPr="00592764">
        <w:rPr>
          <w:b/>
        </w:rPr>
        <w:t>Emerging Adulthood Planning Paper due</w:t>
      </w:r>
    </w:p>
    <w:p w14:paraId="29F8CD4E" w14:textId="77777777" w:rsidR="00501536" w:rsidRDefault="00501536" w:rsidP="00501536">
      <w:r>
        <w:lastRenderedPageBreak/>
        <w:t>Week 13</w:t>
      </w:r>
    </w:p>
    <w:p w14:paraId="69BE2F4B" w14:textId="77777777" w:rsidR="00501536" w:rsidRPr="0081105E" w:rsidRDefault="00501536" w:rsidP="00501536"/>
    <w:p w14:paraId="4029377F" w14:textId="17909C9F" w:rsidR="00501536" w:rsidRPr="00592764" w:rsidRDefault="00C25C9C" w:rsidP="00501536">
      <w:pPr>
        <w:rPr>
          <w:b/>
        </w:rPr>
      </w:pPr>
      <w:r>
        <w:rPr>
          <w:b/>
        </w:rPr>
        <w:t xml:space="preserve">April </w:t>
      </w:r>
      <w:r w:rsidR="00701632">
        <w:rPr>
          <w:b/>
        </w:rPr>
        <w:t>10</w:t>
      </w:r>
      <w:r w:rsidR="00FD627E">
        <w:rPr>
          <w:b/>
        </w:rPr>
        <w:t xml:space="preserve"> </w:t>
      </w:r>
    </w:p>
    <w:p w14:paraId="0842E885" w14:textId="77777777" w:rsidR="00501536" w:rsidRDefault="00501536" w:rsidP="00501536">
      <w:r w:rsidRPr="0081105E">
        <w:t>Week 14</w:t>
      </w:r>
    </w:p>
    <w:p w14:paraId="09DEE094" w14:textId="640C06D9" w:rsidR="00501536" w:rsidRDefault="00F63443" w:rsidP="00501536">
      <w:r>
        <w:t>Transition Text Chapter 5,6</w:t>
      </w:r>
    </w:p>
    <w:p w14:paraId="06734114" w14:textId="77777777" w:rsidR="00F63443" w:rsidRPr="0081105E" w:rsidRDefault="00F63443" w:rsidP="00501536"/>
    <w:p w14:paraId="465A5253" w14:textId="6384F1B0" w:rsidR="00501536" w:rsidRPr="009C4180" w:rsidRDefault="00C25C9C" w:rsidP="00501536">
      <w:pPr>
        <w:rPr>
          <w:b/>
        </w:rPr>
      </w:pPr>
      <w:r>
        <w:rPr>
          <w:b/>
        </w:rPr>
        <w:t>April 1</w:t>
      </w:r>
      <w:r w:rsidR="00701632">
        <w:rPr>
          <w:b/>
        </w:rPr>
        <w:t>7</w:t>
      </w:r>
    </w:p>
    <w:p w14:paraId="12151BB6" w14:textId="3CE9C3FF" w:rsidR="00501536" w:rsidRDefault="00501536" w:rsidP="00501536">
      <w:r w:rsidRPr="0081105E">
        <w:t>Week 15</w:t>
      </w:r>
    </w:p>
    <w:p w14:paraId="6F10D62A" w14:textId="4DA9EA44" w:rsidR="00F63443" w:rsidRDefault="00F63443" w:rsidP="00501536">
      <w:r>
        <w:t>Transition Text Chapter 7,8</w:t>
      </w:r>
    </w:p>
    <w:p w14:paraId="0A8D0C9F" w14:textId="7541DBBA" w:rsidR="00F63443" w:rsidRDefault="00F63443" w:rsidP="00501536">
      <w:r>
        <w:t>Final exam discussion/prep</w:t>
      </w:r>
    </w:p>
    <w:p w14:paraId="56FA600A" w14:textId="77777777" w:rsidR="00501536" w:rsidRPr="0081105E" w:rsidRDefault="00501536" w:rsidP="00501536"/>
    <w:p w14:paraId="5E435472" w14:textId="30E5272F" w:rsidR="00501536" w:rsidRPr="0081105E" w:rsidRDefault="00C25C9C" w:rsidP="00501536">
      <w:r>
        <w:rPr>
          <w:b/>
        </w:rPr>
        <w:t>April 2</w:t>
      </w:r>
      <w:r w:rsidR="00701632">
        <w:rPr>
          <w:b/>
        </w:rPr>
        <w:t>4th</w:t>
      </w:r>
      <w:r w:rsidR="00501536">
        <w:t xml:space="preserve"> </w:t>
      </w:r>
      <w:r w:rsidR="00FD627E">
        <w:t xml:space="preserve">- </w:t>
      </w:r>
      <w:r w:rsidR="00501536" w:rsidRPr="00FD627E">
        <w:rPr>
          <w:b/>
          <w:i/>
        </w:rPr>
        <w:t>final examination</w:t>
      </w:r>
    </w:p>
    <w:p w14:paraId="2F35194A" w14:textId="77777777" w:rsidR="00501536" w:rsidRPr="0024618B" w:rsidRDefault="0050153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pPr>
    </w:p>
    <w:p w14:paraId="78E0033A" w14:textId="77777777" w:rsidR="0024618B" w:rsidRPr="0081105E" w:rsidRDefault="0024618B"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4EBF30EC" w14:textId="77777777" w:rsidR="00143266" w:rsidRPr="0081105E" w:rsidRDefault="00143266" w:rsidP="00143266">
      <w:pPr>
        <w:numPr>
          <w:ilvl w:val="0"/>
          <w:numId w:val="1"/>
        </w:numPr>
      </w:pPr>
      <w:r w:rsidRPr="0081105E">
        <w:rPr>
          <w:b/>
        </w:rPr>
        <w:t>Class Policy Statements:</w:t>
      </w:r>
    </w:p>
    <w:p w14:paraId="17C4BD15" w14:textId="77777777" w:rsidR="00143266" w:rsidRPr="0081105E" w:rsidRDefault="00143266" w:rsidP="00143266">
      <w:pPr>
        <w:ind w:left="360"/>
        <w:rPr>
          <w:b/>
          <w:bCs/>
          <w:color w:val="000000"/>
        </w:rPr>
      </w:pPr>
    </w:p>
    <w:p w14:paraId="71967EF4" w14:textId="77777777" w:rsidR="00143266" w:rsidRPr="0081105E" w:rsidRDefault="00143266" w:rsidP="00143266">
      <w:pPr>
        <w:pStyle w:val="ColorfulList-Accent11"/>
        <w:ind w:left="0"/>
      </w:pPr>
      <w:r w:rsidRPr="0081105E">
        <w:t xml:space="preserve">NOTE: The Student Policy </w:t>
      </w:r>
      <w:proofErr w:type="spellStart"/>
      <w:r w:rsidRPr="0081105E">
        <w:t>eHandbook</w:t>
      </w:r>
      <w:proofErr w:type="spellEnd"/>
      <w:r w:rsidRPr="0081105E">
        <w:t xml:space="preserve"> is no longer in existence. Its replacement is the </w:t>
      </w:r>
      <w:hyperlink r:id="rId8" w:history="1">
        <w:r w:rsidRPr="0081105E">
          <w:rPr>
            <w:rStyle w:val="Hyperlink"/>
          </w:rPr>
          <w:t>Student Policy eHandbook</w:t>
        </w:r>
      </w:hyperlink>
      <w:r w:rsidRPr="0081105E">
        <w:t xml:space="preserve">; the URL is </w:t>
      </w:r>
      <w:hyperlink r:id="rId9" w:history="1">
        <w:r w:rsidRPr="0081105E">
          <w:rPr>
            <w:rStyle w:val="Hyperlink"/>
          </w:rPr>
          <w:t>www.auburn.edu/studentpolicies</w:t>
        </w:r>
      </w:hyperlink>
      <w:r w:rsidRPr="0081105E">
        <w:t>.</w:t>
      </w:r>
    </w:p>
    <w:p w14:paraId="35915CEA" w14:textId="77777777" w:rsidR="00143266" w:rsidRPr="0081105E" w:rsidRDefault="00143266" w:rsidP="00143266">
      <w:pPr>
        <w:ind w:left="360"/>
        <w:rPr>
          <w:b/>
          <w:bCs/>
          <w:color w:val="000000"/>
        </w:rPr>
      </w:pPr>
    </w:p>
    <w:p w14:paraId="24A643AB" w14:textId="77777777" w:rsidR="00143266" w:rsidRPr="0081105E" w:rsidRDefault="00143266" w:rsidP="00143266">
      <w:pPr>
        <w:numPr>
          <w:ilvl w:val="0"/>
          <w:numId w:val="2"/>
        </w:numPr>
      </w:pPr>
      <w:r w:rsidRPr="0081105E">
        <w:rPr>
          <w:u w:val="single"/>
        </w:rPr>
        <w:t>Attendance</w:t>
      </w:r>
      <w:r w:rsidRPr="0081105E">
        <w:t xml:space="preserve">: Students are expected to attend all classes, and will be held responsible for any content covered in the event of an absence. </w:t>
      </w:r>
    </w:p>
    <w:p w14:paraId="197EB59D" w14:textId="77777777" w:rsidR="00143266" w:rsidRPr="0081105E" w:rsidRDefault="00143266" w:rsidP="00143266">
      <w:pPr>
        <w:pStyle w:val="ColorfulList-Accent11"/>
        <w:jc w:val="both"/>
      </w:pPr>
    </w:p>
    <w:p w14:paraId="2D0A0E3F" w14:textId="77777777" w:rsidR="00143266" w:rsidRPr="0081105E" w:rsidRDefault="00143266" w:rsidP="00143266">
      <w:pPr>
        <w:numPr>
          <w:ilvl w:val="0"/>
          <w:numId w:val="2"/>
        </w:numPr>
      </w:pPr>
      <w:r w:rsidRPr="0081105E">
        <w:rPr>
          <w:u w:val="single"/>
        </w:rPr>
        <w:t>Excused absences</w:t>
      </w:r>
      <w:r w:rsidRPr="0081105E">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81105E">
        <w:rPr>
          <w:i/>
        </w:rPr>
        <w:t xml:space="preserve">Student Policy </w:t>
      </w:r>
      <w:proofErr w:type="spellStart"/>
      <w:r w:rsidRPr="0081105E">
        <w:rPr>
          <w:i/>
        </w:rPr>
        <w:t>eHandbook</w:t>
      </w:r>
      <w:proofErr w:type="spellEnd"/>
      <w:r w:rsidRPr="0081105E">
        <w:t xml:space="preserve"> for more information on excused absences. </w:t>
      </w:r>
    </w:p>
    <w:p w14:paraId="75D141ED" w14:textId="77777777" w:rsidR="00143266" w:rsidRPr="0081105E" w:rsidRDefault="00143266" w:rsidP="00143266">
      <w:pPr>
        <w:ind w:left="720"/>
      </w:pPr>
    </w:p>
    <w:p w14:paraId="77DB2664" w14:textId="77777777" w:rsidR="00143266" w:rsidRPr="0081105E" w:rsidRDefault="00143266" w:rsidP="00143266">
      <w:pPr>
        <w:numPr>
          <w:ilvl w:val="0"/>
          <w:numId w:val="2"/>
        </w:numPr>
      </w:pPr>
      <w:r w:rsidRPr="0081105E">
        <w:rPr>
          <w:u w:val="single"/>
        </w:rPr>
        <w:t>Make-Up Policy</w:t>
      </w:r>
      <w:r w:rsidRPr="0081105E">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14:paraId="2D5CCFED" w14:textId="77777777" w:rsidR="00143266" w:rsidRPr="0081105E" w:rsidRDefault="00143266" w:rsidP="00143266">
      <w:pPr>
        <w:pStyle w:val="ColorfulList-Accent11"/>
      </w:pPr>
    </w:p>
    <w:p w14:paraId="5CA18BD7" w14:textId="77777777" w:rsidR="00143266" w:rsidRPr="0081105E" w:rsidRDefault="00143266" w:rsidP="00143266">
      <w:pPr>
        <w:numPr>
          <w:ilvl w:val="0"/>
          <w:numId w:val="2"/>
        </w:numPr>
      </w:pPr>
      <w:r w:rsidRPr="0081105E">
        <w:rPr>
          <w:u w:val="single"/>
        </w:rPr>
        <w:t>Written Assignments</w:t>
      </w:r>
      <w:r w:rsidRPr="0081105E">
        <w:t xml:space="preserve"> are expected to be prepared using word processing software, grammatically accurate, and free of spelling and typographical errors. Papers should be written in accordance with the latest edition of the American Psychological Association </w:t>
      </w:r>
      <w:r w:rsidRPr="0081105E">
        <w:lastRenderedPageBreak/>
        <w:t xml:space="preserve">(APA) Publication Manual. Assignments are to be of a quality that would be expected of a professional. </w:t>
      </w:r>
    </w:p>
    <w:p w14:paraId="3C7EA1A7" w14:textId="77777777" w:rsidR="00143266" w:rsidRPr="0081105E" w:rsidRDefault="00143266" w:rsidP="00143266">
      <w:pPr>
        <w:pStyle w:val="ColorfulList-Accent11"/>
      </w:pPr>
    </w:p>
    <w:p w14:paraId="610C68BF" w14:textId="77777777" w:rsidR="00143266" w:rsidRPr="0081105E" w:rsidRDefault="00143266" w:rsidP="00143266">
      <w:pPr>
        <w:ind w:left="720"/>
      </w:pPr>
      <w:r w:rsidRPr="0081105E">
        <w:t xml:space="preserve">Assignments must be turned in the day the assignment is due and during the regularly scheduled class time. Also, assignments must be turned in by the student completing the assignment. </w:t>
      </w:r>
      <w:r w:rsidRPr="0081105E">
        <w:rPr>
          <w:b/>
          <w:bCs/>
        </w:rPr>
        <w:t xml:space="preserve">No late assignments </w:t>
      </w:r>
      <w:r w:rsidRPr="0081105E">
        <w:t xml:space="preserve">will be accepted unless accompanied by an excuse approved by the university. Please submit your assignment via Canvas. If Canvas is having difficulty, please email me. </w:t>
      </w:r>
    </w:p>
    <w:p w14:paraId="341B4280" w14:textId="77777777" w:rsidR="00143266" w:rsidRPr="0081105E" w:rsidRDefault="00143266" w:rsidP="00143266">
      <w:pPr>
        <w:ind w:left="720"/>
      </w:pPr>
    </w:p>
    <w:p w14:paraId="14D2FD8C" w14:textId="77777777" w:rsidR="00143266" w:rsidRPr="0081105E" w:rsidRDefault="00143266" w:rsidP="00143266">
      <w:pPr>
        <w:ind w:left="720"/>
      </w:pPr>
      <w:r w:rsidRPr="0081105E">
        <w:t xml:space="preserve">If a student misses turning in an assignment and has a university approved excuse, he or she will have </w:t>
      </w:r>
      <w:r w:rsidRPr="0081105E">
        <w:rPr>
          <w:b/>
        </w:rPr>
        <w:t>one week</w:t>
      </w:r>
      <w:r w:rsidRPr="0081105E">
        <w:t xml:space="preserve"> from the time he or she returns to class to turn in the assignment.</w:t>
      </w:r>
    </w:p>
    <w:p w14:paraId="7D559D8D" w14:textId="77777777" w:rsidR="00143266" w:rsidRPr="0081105E" w:rsidRDefault="00143266" w:rsidP="00143266">
      <w:pPr>
        <w:ind w:left="720"/>
      </w:pPr>
    </w:p>
    <w:p w14:paraId="588A252E" w14:textId="77777777" w:rsidR="00143266" w:rsidRPr="0081105E" w:rsidRDefault="00143266" w:rsidP="00143266">
      <w:pPr>
        <w:numPr>
          <w:ilvl w:val="0"/>
          <w:numId w:val="2"/>
        </w:numPr>
      </w:pPr>
      <w:r w:rsidRPr="0081105E">
        <w:rPr>
          <w:u w:val="single"/>
        </w:rPr>
        <w:t>Academic Honesty Policy</w:t>
      </w:r>
      <w:r w:rsidRPr="0081105E">
        <w:t xml:space="preserve">: All portions of the Auburn University student academic honesty code (Title XII </w:t>
      </w:r>
      <w:hyperlink r:id="rId10" w:history="1">
        <w:r w:rsidRPr="0081105E">
          <w:rPr>
            <w:rStyle w:val="Hyperlink"/>
          </w:rPr>
          <w:t>https://sites.auburn.edu/admin/universitypolicies/Policies/AcademicHonestyCode.pdf</w:t>
        </w:r>
      </w:hyperlink>
      <w:r w:rsidRPr="0081105E">
        <w:t xml:space="preserve"> </w:t>
      </w:r>
      <w:r w:rsidRPr="0081105E">
        <w:rPr>
          <w:i/>
        </w:rPr>
        <w:t xml:space="preserve"> </w:t>
      </w:r>
      <w:r w:rsidRPr="0081105E">
        <w:t xml:space="preserve">) found in the </w:t>
      </w:r>
      <w:r w:rsidRPr="0081105E">
        <w:rPr>
          <w:i/>
        </w:rPr>
        <w:t xml:space="preserve">Student Policy </w:t>
      </w:r>
      <w:proofErr w:type="spellStart"/>
      <w:r w:rsidRPr="0081105E">
        <w:rPr>
          <w:i/>
        </w:rPr>
        <w:t>eHandbook</w:t>
      </w:r>
      <w:proofErr w:type="spellEnd"/>
      <w:r w:rsidRPr="0081105E">
        <w:rPr>
          <w:i/>
        </w:rPr>
        <w:t xml:space="preserve"> </w:t>
      </w:r>
      <w:r w:rsidRPr="0081105E">
        <w:t>will apply to university courses All academic honesty violations or alleged violations of the SGA Code of Laws will be reported to the Office of the Provost, which will then refer the case to the Academic Honesty Committee.</w:t>
      </w:r>
    </w:p>
    <w:p w14:paraId="46C13266" w14:textId="77777777" w:rsidR="00143266" w:rsidRPr="0081105E" w:rsidRDefault="00143266" w:rsidP="00143266">
      <w:pPr>
        <w:ind w:left="720"/>
      </w:pPr>
    </w:p>
    <w:p w14:paraId="7CB740FA" w14:textId="77777777" w:rsidR="00143266" w:rsidRPr="0081105E" w:rsidRDefault="00143266" w:rsidP="00143266">
      <w:pPr>
        <w:numPr>
          <w:ilvl w:val="0"/>
          <w:numId w:val="2"/>
        </w:numPr>
      </w:pPr>
      <w:r w:rsidRPr="0081105E">
        <w:rPr>
          <w:u w:val="single"/>
        </w:rPr>
        <w:t>Disability Accommodations</w:t>
      </w:r>
      <w:r w:rsidRPr="0081105E">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D44B36E" w14:textId="77777777" w:rsidR="00143266" w:rsidRPr="0081105E" w:rsidRDefault="00143266" w:rsidP="00143266"/>
    <w:p w14:paraId="6FA43922" w14:textId="77777777" w:rsidR="00143266" w:rsidRPr="0081105E" w:rsidRDefault="00143266" w:rsidP="00143266">
      <w:pPr>
        <w:numPr>
          <w:ilvl w:val="0"/>
          <w:numId w:val="2"/>
        </w:numPr>
      </w:pPr>
      <w:r w:rsidRPr="0081105E">
        <w:rPr>
          <w:u w:val="single"/>
        </w:rPr>
        <w:t>Course contingency</w:t>
      </w:r>
      <w:r w:rsidRPr="0081105E">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0A30B3B5" w14:textId="77777777" w:rsidR="00143266" w:rsidRPr="0081105E" w:rsidRDefault="00143266" w:rsidP="00143266">
      <w:pPr>
        <w:rPr>
          <w:i/>
        </w:rPr>
      </w:pPr>
    </w:p>
    <w:p w14:paraId="096ADF07" w14:textId="77777777" w:rsidR="00143266" w:rsidRPr="0081105E" w:rsidRDefault="00143266" w:rsidP="00143266">
      <w:pPr>
        <w:numPr>
          <w:ilvl w:val="0"/>
          <w:numId w:val="2"/>
        </w:numPr>
      </w:pPr>
      <w:r w:rsidRPr="0081105E">
        <w:rPr>
          <w:u w:val="single"/>
        </w:rPr>
        <w:t>Professionalism</w:t>
      </w:r>
      <w:r w:rsidRPr="0081105E">
        <w:t xml:space="preserve">:  As faculty, staff, and students interact in professional settings, they are expected to demonstrate professional behaviors as defined in the College’s conceptual framework </w:t>
      </w:r>
      <w:hyperlink r:id="rId11" w:history="1">
        <w:r w:rsidRPr="0081105E">
          <w:rPr>
            <w:rStyle w:val="Hyperlink"/>
          </w:rPr>
          <w:t>http://education.auburn.edu/aboutus/conceptfmwrk.html</w:t>
        </w:r>
      </w:hyperlink>
      <w:r w:rsidRPr="0081105E">
        <w:t>.  These professional commitments or dispositions are listed below:</w:t>
      </w:r>
    </w:p>
    <w:p w14:paraId="63FAD2D4" w14:textId="77777777" w:rsidR="00143266" w:rsidRPr="0081105E" w:rsidRDefault="00143266" w:rsidP="00143266">
      <w:pPr>
        <w:numPr>
          <w:ilvl w:val="1"/>
          <w:numId w:val="4"/>
        </w:numPr>
        <w:tabs>
          <w:tab w:val="left" w:pos="-1440"/>
        </w:tabs>
        <w:ind w:left="990" w:hanging="270"/>
      </w:pPr>
      <w:r w:rsidRPr="0081105E">
        <w:t>Engage in responsible and ethical professional practices</w:t>
      </w:r>
    </w:p>
    <w:p w14:paraId="2876ED34" w14:textId="77777777" w:rsidR="00143266" w:rsidRPr="0081105E" w:rsidRDefault="00143266" w:rsidP="00143266">
      <w:pPr>
        <w:numPr>
          <w:ilvl w:val="1"/>
          <w:numId w:val="4"/>
        </w:numPr>
        <w:tabs>
          <w:tab w:val="left" w:pos="-1440"/>
        </w:tabs>
        <w:ind w:left="990" w:hanging="270"/>
      </w:pPr>
      <w:r w:rsidRPr="0081105E">
        <w:t>Contribute to collaborative learning communities</w:t>
      </w:r>
    </w:p>
    <w:p w14:paraId="7576A3BA" w14:textId="77777777" w:rsidR="00143266" w:rsidRPr="0081105E" w:rsidRDefault="00143266" w:rsidP="00143266">
      <w:pPr>
        <w:numPr>
          <w:ilvl w:val="1"/>
          <w:numId w:val="4"/>
        </w:numPr>
        <w:tabs>
          <w:tab w:val="left" w:pos="-1440"/>
        </w:tabs>
        <w:ind w:left="990" w:hanging="270"/>
      </w:pPr>
      <w:r w:rsidRPr="0081105E">
        <w:t>Demonstrate a commitment to diversity</w:t>
      </w:r>
    </w:p>
    <w:p w14:paraId="63740D7B" w14:textId="77777777" w:rsidR="00143266" w:rsidRPr="0081105E" w:rsidRDefault="00143266" w:rsidP="00143266">
      <w:pPr>
        <w:numPr>
          <w:ilvl w:val="1"/>
          <w:numId w:val="4"/>
        </w:numPr>
        <w:tabs>
          <w:tab w:val="left" w:pos="-1440"/>
        </w:tabs>
        <w:ind w:left="990" w:hanging="270"/>
      </w:pPr>
      <w:r w:rsidRPr="0081105E">
        <w:t>Model and nurture intellectual vitality</w:t>
      </w:r>
    </w:p>
    <w:p w14:paraId="76360BB6" w14:textId="77777777" w:rsidR="00143266" w:rsidRPr="0081105E" w:rsidRDefault="00143266" w:rsidP="00143266">
      <w:pPr>
        <w:tabs>
          <w:tab w:val="left" w:pos="-1440"/>
        </w:tabs>
        <w:rPr>
          <w:b/>
          <w:bCs/>
        </w:rPr>
      </w:pPr>
    </w:p>
    <w:p w14:paraId="126C31C4" w14:textId="77777777" w:rsidR="00143266" w:rsidRPr="0081105E" w:rsidRDefault="00143266" w:rsidP="00143266">
      <w:pPr>
        <w:tabs>
          <w:tab w:val="left" w:pos="-1440"/>
        </w:tabs>
        <w:ind w:left="720"/>
      </w:pPr>
      <w:r w:rsidRPr="0081105E">
        <w:rPr>
          <w:b/>
          <w:bCs/>
        </w:rPr>
        <w:t>Note: Auburn University Policy on Classroom Behavior</w:t>
      </w:r>
      <w:r w:rsidRPr="0081105E">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t>
      </w:r>
      <w:r w:rsidRPr="0081105E">
        <w:lastRenderedPageBreak/>
        <w:t xml:space="preserve">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81105E">
        <w:rPr>
          <w:b/>
          <w:bCs/>
          <w:i/>
          <w:iCs/>
        </w:rPr>
        <w:t xml:space="preserve">Student Policy </w:t>
      </w:r>
      <w:proofErr w:type="spellStart"/>
      <w:r w:rsidRPr="0081105E">
        <w:rPr>
          <w:b/>
          <w:bCs/>
          <w:i/>
          <w:iCs/>
        </w:rPr>
        <w:t>eHandbook</w:t>
      </w:r>
      <w:proofErr w:type="spellEnd"/>
      <w:r w:rsidRPr="0081105E">
        <w:t xml:space="preserve"> </w:t>
      </w:r>
      <w:hyperlink r:id="rId12" w:history="1">
        <w:r w:rsidRPr="0081105E">
          <w:rPr>
            <w:rStyle w:val="Hyperlink"/>
          </w:rPr>
          <w:t>h</w:t>
        </w:r>
        <w:r w:rsidRPr="0081105E">
          <w:rPr>
            <w:rStyle w:val="Hyperlink"/>
            <w:bCs/>
            <w:iCs/>
          </w:rPr>
          <w:t>ttps://sites.auburn.edu/admin/universitypolicies/Policies/PolicyonClassroomBehavior.pdf</w:t>
        </w:r>
      </w:hyperlink>
      <w:r w:rsidRPr="0081105E">
        <w:t>).</w:t>
      </w:r>
    </w:p>
    <w:p w14:paraId="5BBDEE5D" w14:textId="77777777" w:rsidR="00143266" w:rsidRPr="0081105E" w:rsidRDefault="00143266" w:rsidP="00143266">
      <w:pPr>
        <w:ind w:left="720"/>
        <w:rPr>
          <w:u w:val="single"/>
        </w:rPr>
      </w:pPr>
    </w:p>
    <w:p w14:paraId="661AC7B9" w14:textId="6DDAA7B5" w:rsidR="003A1C98" w:rsidRPr="0081105E" w:rsidRDefault="003A1C98" w:rsidP="0028110D">
      <w:pPr>
        <w:ind w:left="360"/>
      </w:pPr>
    </w:p>
    <w:sectPr w:rsidR="003A1C98" w:rsidRPr="0081105E" w:rsidSect="005849BF">
      <w:headerReference w:type="even" r:id="rId13"/>
      <w:headerReference w:type="default" r:id="rId14"/>
      <w:footerReference w:type="default" r:id="rId15"/>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D84FC" w14:textId="77777777" w:rsidR="00FD704C" w:rsidRDefault="00FD704C">
      <w:r>
        <w:separator/>
      </w:r>
    </w:p>
  </w:endnote>
  <w:endnote w:type="continuationSeparator" w:id="0">
    <w:p w14:paraId="18D6A68B" w14:textId="77777777" w:rsidR="00FD704C" w:rsidRDefault="00FD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896A" w14:textId="53ACD401" w:rsidR="002418D8" w:rsidRDefault="002418D8" w:rsidP="005849BF">
    <w:pPr>
      <w:tabs>
        <w:tab w:val="left" w:pos="7560"/>
      </w:tabs>
      <w:ind w:right="180"/>
      <w:rPr>
        <w:sz w:val="18"/>
        <w:szCs w:val="18"/>
      </w:rPr>
    </w:pPr>
    <w:r>
      <w:rPr>
        <w:sz w:val="18"/>
        <w:szCs w:val="18"/>
      </w:rPr>
      <w:t>RSED 4970/73: Transition Services through Emerging Adulthood Syllabus</w:t>
    </w:r>
  </w:p>
  <w:p w14:paraId="13004FBF" w14:textId="6F0F633F" w:rsidR="002418D8" w:rsidRPr="00C44D95" w:rsidRDefault="00091445" w:rsidP="005849BF">
    <w:pPr>
      <w:tabs>
        <w:tab w:val="left" w:pos="7560"/>
      </w:tabs>
      <w:ind w:right="180"/>
      <w:rPr>
        <w:sz w:val="18"/>
        <w:szCs w:val="18"/>
      </w:rPr>
    </w:pPr>
    <w:r>
      <w:rPr>
        <w:sz w:val="18"/>
        <w:szCs w:val="18"/>
      </w:rPr>
      <w:t>Derzis: Spring Semester 2019</w:t>
    </w:r>
    <w:r w:rsidR="002418D8">
      <w:rPr>
        <w:sz w:val="18"/>
        <w:szCs w:val="18"/>
      </w:rPr>
      <w:tab/>
    </w:r>
    <w:r w:rsidR="002418D8" w:rsidRPr="00C44D95">
      <w:rPr>
        <w:sz w:val="18"/>
        <w:szCs w:val="18"/>
      </w:rPr>
      <w:t xml:space="preserve">Page </w:t>
    </w:r>
    <w:r w:rsidR="002418D8" w:rsidRPr="00C44D95">
      <w:rPr>
        <w:sz w:val="18"/>
        <w:szCs w:val="18"/>
      </w:rPr>
      <w:fldChar w:fldCharType="begin"/>
    </w:r>
    <w:r w:rsidR="002418D8" w:rsidRPr="00C44D95">
      <w:rPr>
        <w:sz w:val="18"/>
        <w:szCs w:val="18"/>
      </w:rPr>
      <w:instrText xml:space="preserve"> PAGE </w:instrText>
    </w:r>
    <w:r w:rsidR="002418D8" w:rsidRPr="00C44D95">
      <w:rPr>
        <w:sz w:val="18"/>
        <w:szCs w:val="18"/>
      </w:rPr>
      <w:fldChar w:fldCharType="separate"/>
    </w:r>
    <w:r w:rsidR="00EF5F3B">
      <w:rPr>
        <w:noProof/>
        <w:sz w:val="18"/>
        <w:szCs w:val="18"/>
      </w:rPr>
      <w:t>1</w:t>
    </w:r>
    <w:r w:rsidR="002418D8" w:rsidRPr="00C44D95">
      <w:rPr>
        <w:sz w:val="18"/>
        <w:szCs w:val="18"/>
      </w:rPr>
      <w:fldChar w:fldCharType="end"/>
    </w:r>
    <w:r w:rsidR="002418D8" w:rsidRPr="00C44D95">
      <w:rPr>
        <w:sz w:val="18"/>
        <w:szCs w:val="18"/>
      </w:rPr>
      <w:t xml:space="preserve"> of </w:t>
    </w:r>
    <w:r w:rsidR="002418D8" w:rsidRPr="00C44D95">
      <w:rPr>
        <w:sz w:val="18"/>
        <w:szCs w:val="18"/>
      </w:rPr>
      <w:fldChar w:fldCharType="begin"/>
    </w:r>
    <w:r w:rsidR="002418D8" w:rsidRPr="00C44D95">
      <w:rPr>
        <w:sz w:val="18"/>
        <w:szCs w:val="18"/>
      </w:rPr>
      <w:instrText xml:space="preserve"> NUMPAGES </w:instrText>
    </w:r>
    <w:r w:rsidR="002418D8" w:rsidRPr="00C44D95">
      <w:rPr>
        <w:sz w:val="18"/>
        <w:szCs w:val="18"/>
      </w:rPr>
      <w:fldChar w:fldCharType="separate"/>
    </w:r>
    <w:r w:rsidR="00EF5F3B">
      <w:rPr>
        <w:noProof/>
        <w:sz w:val="18"/>
        <w:szCs w:val="18"/>
      </w:rPr>
      <w:t>7</w:t>
    </w:r>
    <w:r w:rsidR="002418D8" w:rsidRPr="00C44D95">
      <w:rPr>
        <w:sz w:val="18"/>
        <w:szCs w:val="18"/>
      </w:rPr>
      <w:fldChar w:fldCharType="end"/>
    </w:r>
  </w:p>
  <w:p w14:paraId="0E001AA0" w14:textId="77777777" w:rsidR="002418D8" w:rsidRDefault="00241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673A8" w14:textId="77777777" w:rsidR="00FD704C" w:rsidRDefault="00FD704C">
      <w:r>
        <w:separator/>
      </w:r>
    </w:p>
  </w:footnote>
  <w:footnote w:type="continuationSeparator" w:id="0">
    <w:p w14:paraId="31E8F72A" w14:textId="77777777" w:rsidR="00FD704C" w:rsidRDefault="00FD7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1AF7" w14:textId="77777777" w:rsidR="002418D8" w:rsidRDefault="002418D8" w:rsidP="005849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C371F6" w14:textId="77777777" w:rsidR="002418D8" w:rsidRDefault="002418D8" w:rsidP="005849B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06C11" w14:textId="77777777" w:rsidR="002418D8" w:rsidRPr="00813AAF" w:rsidRDefault="002418D8" w:rsidP="005849BF">
    <w:pPr>
      <w:pStyle w:val="Header"/>
      <w:rPr>
        <w:sz w:val="22"/>
        <w:szCs w:val="22"/>
      </w:rPr>
    </w:pPr>
    <w:r w:rsidRPr="00813AAF">
      <w:rPr>
        <w:sz w:val="22"/>
        <w:szCs w:val="22"/>
      </w:rPr>
      <w:tab/>
    </w:r>
    <w:r w:rsidRPr="00813A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128400FD"/>
    <w:multiLevelType w:val="multilevel"/>
    <w:tmpl w:val="6F9AD3FC"/>
    <w:lvl w:ilvl="0">
      <w:start w:val="1"/>
      <w:numFmt w:val="decimal"/>
      <w:lvlText w:val="%1."/>
      <w:lvlJc w:val="left"/>
      <w:pPr>
        <w:tabs>
          <w:tab w:val="num" w:pos="360"/>
        </w:tabs>
        <w:ind w:left="360" w:hanging="360"/>
      </w:pPr>
      <w:rPr>
        <w:rFonts w:hint="default"/>
        <w:b/>
        <w:i w:val="0"/>
        <w:sz w:val="24"/>
        <w:szCs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630"/>
        </w:tabs>
        <w:ind w:left="63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043370B"/>
    <w:multiLevelType w:val="hybridMultilevel"/>
    <w:tmpl w:val="B9A0E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B007F5"/>
    <w:multiLevelType w:val="hybridMultilevel"/>
    <w:tmpl w:val="25FEFFCA"/>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516849C7"/>
    <w:multiLevelType w:val="multilevel"/>
    <w:tmpl w:val="8E3C0754"/>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o"/>
      <w:lvlJc w:val="left"/>
      <w:pPr>
        <w:tabs>
          <w:tab w:val="num" w:pos="2115"/>
        </w:tabs>
        <w:ind w:left="2115" w:hanging="360"/>
      </w:pPr>
      <w:rPr>
        <w:rFonts w:ascii="Courier New" w:hAnsi="Courier New" w:hint="default"/>
        <w:sz w:val="2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7" w15:restartNumberingAfterBreak="0">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4C2B71"/>
    <w:multiLevelType w:val="hybridMultilevel"/>
    <w:tmpl w:val="E2E03BAE"/>
    <w:lvl w:ilvl="0" w:tplc="0BF040E0">
      <w:start w:val="1"/>
      <w:numFmt w:val="decimal"/>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16cid:durableId="1312322999">
    <w:abstractNumId w:val="1"/>
  </w:num>
  <w:num w:numId="2" w16cid:durableId="1887987561">
    <w:abstractNumId w:val="4"/>
  </w:num>
  <w:num w:numId="3" w16cid:durableId="1990287627">
    <w:abstractNumId w:val="0"/>
  </w:num>
  <w:num w:numId="4" w16cid:durableId="2069069752">
    <w:abstractNumId w:val="7"/>
  </w:num>
  <w:num w:numId="5" w16cid:durableId="114370257">
    <w:abstractNumId w:val="3"/>
  </w:num>
  <w:num w:numId="6" w16cid:durableId="130251163">
    <w:abstractNumId w:val="6"/>
  </w:num>
  <w:num w:numId="7" w16cid:durableId="1078672995">
    <w:abstractNumId w:val="2"/>
  </w:num>
  <w:num w:numId="8" w16cid:durableId="414210131">
    <w:abstractNumId w:val="5"/>
  </w:num>
  <w:num w:numId="9" w16cid:durableId="19724398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66"/>
    <w:rsid w:val="00002A2E"/>
    <w:rsid w:val="000735E3"/>
    <w:rsid w:val="00091445"/>
    <w:rsid w:val="000A72FA"/>
    <w:rsid w:val="000B3A3C"/>
    <w:rsid w:val="00127214"/>
    <w:rsid w:val="00143266"/>
    <w:rsid w:val="00155A76"/>
    <w:rsid w:val="00164E3A"/>
    <w:rsid w:val="001B4090"/>
    <w:rsid w:val="001C2251"/>
    <w:rsid w:val="001D1880"/>
    <w:rsid w:val="00225B6D"/>
    <w:rsid w:val="002418D8"/>
    <w:rsid w:val="0024618B"/>
    <w:rsid w:val="0028110D"/>
    <w:rsid w:val="0029110B"/>
    <w:rsid w:val="002E2449"/>
    <w:rsid w:val="003457CB"/>
    <w:rsid w:val="003724BA"/>
    <w:rsid w:val="003A1C98"/>
    <w:rsid w:val="00410180"/>
    <w:rsid w:val="00443A78"/>
    <w:rsid w:val="00477063"/>
    <w:rsid w:val="00501536"/>
    <w:rsid w:val="00557E68"/>
    <w:rsid w:val="00567D81"/>
    <w:rsid w:val="005849BF"/>
    <w:rsid w:val="00587818"/>
    <w:rsid w:val="00592764"/>
    <w:rsid w:val="005B47DF"/>
    <w:rsid w:val="00634F71"/>
    <w:rsid w:val="00674BAB"/>
    <w:rsid w:val="00701632"/>
    <w:rsid w:val="00794E30"/>
    <w:rsid w:val="0081105E"/>
    <w:rsid w:val="0081385A"/>
    <w:rsid w:val="008B0AB1"/>
    <w:rsid w:val="008E518F"/>
    <w:rsid w:val="009939FF"/>
    <w:rsid w:val="009A746F"/>
    <w:rsid w:val="009C4180"/>
    <w:rsid w:val="009E16F4"/>
    <w:rsid w:val="009F1E97"/>
    <w:rsid w:val="00A06999"/>
    <w:rsid w:val="00A119D4"/>
    <w:rsid w:val="00AE67F6"/>
    <w:rsid w:val="00B0276A"/>
    <w:rsid w:val="00B45868"/>
    <w:rsid w:val="00C033E0"/>
    <w:rsid w:val="00C0565B"/>
    <w:rsid w:val="00C25C9C"/>
    <w:rsid w:val="00C42793"/>
    <w:rsid w:val="00C759FE"/>
    <w:rsid w:val="00CC523D"/>
    <w:rsid w:val="00D56A74"/>
    <w:rsid w:val="00D579BA"/>
    <w:rsid w:val="00D7705B"/>
    <w:rsid w:val="00DF21CA"/>
    <w:rsid w:val="00E66775"/>
    <w:rsid w:val="00E73132"/>
    <w:rsid w:val="00EB02B7"/>
    <w:rsid w:val="00EF5BF9"/>
    <w:rsid w:val="00EF5F3B"/>
    <w:rsid w:val="00F63443"/>
    <w:rsid w:val="00FD2E26"/>
    <w:rsid w:val="00FD627E"/>
    <w:rsid w:val="00FD7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623A96"/>
  <w15:docId w15:val="{F478E837-CC86-485D-9050-0BE415A1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2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266"/>
    <w:pPr>
      <w:tabs>
        <w:tab w:val="center" w:pos="4320"/>
        <w:tab w:val="right" w:pos="8640"/>
      </w:tabs>
    </w:pPr>
  </w:style>
  <w:style w:type="character" w:customStyle="1" w:styleId="HeaderChar">
    <w:name w:val="Header Char"/>
    <w:basedOn w:val="DefaultParagraphFont"/>
    <w:link w:val="Header"/>
    <w:uiPriority w:val="99"/>
    <w:rsid w:val="00143266"/>
    <w:rPr>
      <w:rFonts w:ascii="Times New Roman" w:eastAsia="Times New Roman" w:hAnsi="Times New Roman" w:cs="Times New Roman"/>
      <w:sz w:val="24"/>
      <w:szCs w:val="24"/>
    </w:rPr>
  </w:style>
  <w:style w:type="paragraph" w:styleId="Footer">
    <w:name w:val="footer"/>
    <w:basedOn w:val="Normal"/>
    <w:link w:val="FooterChar"/>
    <w:uiPriority w:val="99"/>
    <w:rsid w:val="00143266"/>
    <w:pPr>
      <w:tabs>
        <w:tab w:val="center" w:pos="4320"/>
        <w:tab w:val="right" w:pos="8640"/>
      </w:tabs>
    </w:pPr>
  </w:style>
  <w:style w:type="character" w:customStyle="1" w:styleId="FooterChar">
    <w:name w:val="Footer Char"/>
    <w:basedOn w:val="DefaultParagraphFont"/>
    <w:link w:val="Footer"/>
    <w:uiPriority w:val="99"/>
    <w:rsid w:val="00143266"/>
    <w:rPr>
      <w:rFonts w:ascii="Times New Roman" w:eastAsia="Times New Roman" w:hAnsi="Times New Roman" w:cs="Times New Roman"/>
      <w:sz w:val="24"/>
      <w:szCs w:val="24"/>
    </w:rPr>
  </w:style>
  <w:style w:type="character" w:styleId="Hyperlink">
    <w:name w:val="Hyperlink"/>
    <w:rsid w:val="00143266"/>
    <w:rPr>
      <w:color w:val="0000FF"/>
      <w:u w:val="single"/>
    </w:rPr>
  </w:style>
  <w:style w:type="character" w:styleId="PageNumber">
    <w:name w:val="page number"/>
    <w:basedOn w:val="DefaultParagraphFont"/>
    <w:rsid w:val="00143266"/>
  </w:style>
  <w:style w:type="paragraph" w:customStyle="1" w:styleId="Level1">
    <w:name w:val="Level 1"/>
    <w:rsid w:val="0014326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rsid w:val="00143266"/>
    <w:pPr>
      <w:spacing w:after="120"/>
    </w:pPr>
  </w:style>
  <w:style w:type="character" w:customStyle="1" w:styleId="BodyTextChar">
    <w:name w:val="Body Text Char"/>
    <w:basedOn w:val="DefaultParagraphFont"/>
    <w:link w:val="BodyText"/>
    <w:rsid w:val="00143266"/>
    <w:rPr>
      <w:rFonts w:ascii="Times New Roman" w:eastAsia="Times New Roman" w:hAnsi="Times New Roman" w:cs="Times New Roman"/>
      <w:sz w:val="24"/>
      <w:szCs w:val="24"/>
    </w:rPr>
  </w:style>
  <w:style w:type="paragraph" w:customStyle="1" w:styleId="Level2">
    <w:name w:val="Level 2"/>
    <w:rsid w:val="00143266"/>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143266"/>
    <w:pPr>
      <w:ind w:left="720"/>
    </w:pPr>
  </w:style>
  <w:style w:type="paragraph" w:customStyle="1" w:styleId="Default">
    <w:name w:val="Default"/>
    <w:rsid w:val="001432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14326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3266"/>
    <w:pPr>
      <w:ind w:left="720"/>
      <w:contextualSpacing/>
    </w:pPr>
  </w:style>
  <w:style w:type="character" w:customStyle="1" w:styleId="apple-converted-space">
    <w:name w:val="apple-converted-space"/>
    <w:basedOn w:val="DefaultParagraphFont"/>
    <w:rsid w:val="00143266"/>
  </w:style>
  <w:style w:type="character" w:styleId="Emphasis">
    <w:name w:val="Emphasis"/>
    <w:basedOn w:val="DefaultParagraphFont"/>
    <w:uiPriority w:val="20"/>
    <w:qFormat/>
    <w:rsid w:val="00143266"/>
    <w:rPr>
      <w:i/>
      <w:iCs/>
    </w:rPr>
  </w:style>
  <w:style w:type="paragraph" w:styleId="BalloonText">
    <w:name w:val="Balloon Text"/>
    <w:basedOn w:val="Normal"/>
    <w:link w:val="BalloonTextChar"/>
    <w:uiPriority w:val="99"/>
    <w:semiHidden/>
    <w:unhideWhenUsed/>
    <w:rsid w:val="00AE67F6"/>
    <w:rPr>
      <w:rFonts w:ascii="Tahoma" w:hAnsi="Tahoma" w:cs="Tahoma"/>
      <w:sz w:val="16"/>
      <w:szCs w:val="16"/>
    </w:rPr>
  </w:style>
  <w:style w:type="character" w:customStyle="1" w:styleId="BalloonTextChar">
    <w:name w:val="Balloon Text Char"/>
    <w:basedOn w:val="DefaultParagraphFont"/>
    <w:link w:val="BalloonText"/>
    <w:uiPriority w:val="99"/>
    <w:semiHidden/>
    <w:rsid w:val="00AE67F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rzinc@auburn.edu" TargetMode="External"/><Relationship Id="rId12" Type="http://schemas.openxmlformats.org/officeDocument/2006/relationships/hyperlink" Target="https://sites.auburn.edu/admin/universitypolicies/Policies/PolicyonClassroomBehavior.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ducation.auburn.edu/aboutus/conceptfmwrk.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1763</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Nicholas Derzis</cp:lastModifiedBy>
  <cp:revision>2</cp:revision>
  <cp:lastPrinted>2019-01-15T20:45:00Z</cp:lastPrinted>
  <dcterms:created xsi:type="dcterms:W3CDTF">2023-01-31T16:28:00Z</dcterms:created>
  <dcterms:modified xsi:type="dcterms:W3CDTF">2023-01-31T16:28:00Z</dcterms:modified>
</cp:coreProperties>
</file>