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4E269A65" w:rsidR="00E73132" w:rsidRPr="0081105E" w:rsidRDefault="00C42793" w:rsidP="00143266">
      <w:pPr>
        <w:ind w:left="-720" w:right="-720"/>
        <w:jc w:val="center"/>
        <w:rPr>
          <w:b/>
        </w:rPr>
      </w:pPr>
      <w:r>
        <w:rPr>
          <w:b/>
        </w:rPr>
        <w:t>SPRING 20</w:t>
      </w:r>
      <w:r w:rsidR="00CD2684">
        <w:rPr>
          <w:b/>
        </w:rPr>
        <w:t>2</w:t>
      </w:r>
      <w:r w:rsidR="00DB6B0A">
        <w:rPr>
          <w:b/>
        </w:rPr>
        <w:t>6</w:t>
      </w:r>
    </w:p>
    <w:p w14:paraId="6745480F" w14:textId="77777777" w:rsidR="00143266" w:rsidRPr="0081105E" w:rsidRDefault="00143266" w:rsidP="00143266">
      <w:pPr>
        <w:ind w:left="-720" w:right="-720"/>
        <w:jc w:val="center"/>
        <w:rPr>
          <w:b/>
        </w:rPr>
      </w:pPr>
    </w:p>
    <w:p w14:paraId="67EA6268" w14:textId="77777777" w:rsidR="00143266" w:rsidRPr="0081105E" w:rsidRDefault="00143266" w:rsidP="00143266">
      <w:pPr>
        <w:ind w:left="-720" w:right="-720"/>
        <w:jc w:val="center"/>
        <w:rPr>
          <w:b/>
        </w:rPr>
      </w:pPr>
    </w:p>
    <w:p w14:paraId="25CE0C65" w14:textId="3044D7DE"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B64793">
        <w:rPr>
          <w:color w:val="212121"/>
          <w:shd w:val="clear" w:color="auto" w:fill="FFFFFF"/>
        </w:rPr>
        <w:t>5300</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4027"/>
        <w:gridCol w:w="3377"/>
      </w:tblGrid>
      <w:tr w:rsidR="00143266" w:rsidRPr="0081105E" w14:paraId="66CC3B5B" w14:textId="77777777" w:rsidTr="005849BF">
        <w:tc>
          <w:tcPr>
            <w:tcW w:w="2064"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404" w:type="dxa"/>
            <w:gridSpan w:val="2"/>
            <w:tcBorders>
              <w:top w:val="single" w:sz="4" w:space="0" w:color="D9D9D9"/>
              <w:left w:val="nil"/>
              <w:bottom w:val="single" w:sz="4" w:space="0" w:color="D9D9D9"/>
              <w:right w:val="nil"/>
            </w:tcBorders>
          </w:tcPr>
          <w:p w14:paraId="5A82CBAB" w14:textId="3536734D" w:rsidR="00143266" w:rsidRPr="0081105E" w:rsidRDefault="00143266" w:rsidP="005849BF">
            <w:r w:rsidRPr="0081105E">
              <w:t xml:space="preserve">Transition </w:t>
            </w:r>
            <w:r w:rsidR="00B64793">
              <w:t>and</w:t>
            </w:r>
            <w:r w:rsidRPr="0081105E">
              <w:t xml:space="preserve"> Emerging Adulthood in Rehabilitation</w:t>
            </w:r>
            <w:r w:rsidR="00B64793">
              <w:t xml:space="preserve"> Services</w:t>
            </w:r>
          </w:p>
        </w:tc>
      </w:tr>
      <w:tr w:rsidR="00143266" w:rsidRPr="0081105E" w14:paraId="48F68EE5" w14:textId="77777777" w:rsidTr="005849BF">
        <w:tc>
          <w:tcPr>
            <w:tcW w:w="2064"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404" w:type="dxa"/>
            <w:gridSpan w:val="2"/>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5849BF">
        <w:tc>
          <w:tcPr>
            <w:tcW w:w="2064" w:type="dxa"/>
            <w:tcBorders>
              <w:top w:val="single" w:sz="4" w:space="0" w:color="D9D9D9"/>
              <w:left w:val="nil"/>
              <w:bottom w:val="single" w:sz="4" w:space="0" w:color="D9D9D9"/>
              <w:right w:val="nil"/>
            </w:tcBorders>
          </w:tcPr>
          <w:p w14:paraId="35D4B558" w14:textId="77777777" w:rsidR="00143266" w:rsidRPr="0081105E" w:rsidRDefault="00143266" w:rsidP="005849BF">
            <w:pPr>
              <w:rPr>
                <w:b/>
              </w:rPr>
            </w:pPr>
            <w:r w:rsidRPr="0081105E">
              <w:rPr>
                <w:b/>
              </w:rPr>
              <w:t xml:space="preserve">Course Meetings:       </w:t>
            </w:r>
          </w:p>
        </w:tc>
        <w:tc>
          <w:tcPr>
            <w:tcW w:w="7404" w:type="dxa"/>
            <w:gridSpan w:val="2"/>
            <w:tcBorders>
              <w:top w:val="single" w:sz="4" w:space="0" w:color="D9D9D9"/>
              <w:left w:val="nil"/>
              <w:bottom w:val="single" w:sz="4" w:space="0" w:color="D9D9D9"/>
              <w:right w:val="nil"/>
            </w:tcBorders>
          </w:tcPr>
          <w:p w14:paraId="3C3DB5C1" w14:textId="595ED36B" w:rsidR="00143266" w:rsidRPr="0081105E" w:rsidRDefault="00CC523D" w:rsidP="005849BF">
            <w:r>
              <w:t>Distance Education/CANVAS</w:t>
            </w:r>
          </w:p>
        </w:tc>
      </w:tr>
      <w:tr w:rsidR="00143266" w:rsidRPr="0081105E" w14:paraId="0E33C402" w14:textId="77777777" w:rsidTr="005849BF">
        <w:tc>
          <w:tcPr>
            <w:tcW w:w="2064"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404" w:type="dxa"/>
            <w:gridSpan w:val="2"/>
            <w:tcBorders>
              <w:top w:val="single" w:sz="4" w:space="0" w:color="D9D9D9"/>
              <w:left w:val="nil"/>
              <w:bottom w:val="single" w:sz="4" w:space="0" w:color="D9D9D9"/>
              <w:right w:val="nil"/>
            </w:tcBorders>
          </w:tcPr>
          <w:p w14:paraId="07ACE0AB" w14:textId="4E27387F" w:rsidR="00143266" w:rsidRPr="0081105E" w:rsidRDefault="00B64793" w:rsidP="00164E3A">
            <w:r>
              <w:t>None</w:t>
            </w:r>
          </w:p>
        </w:tc>
      </w:tr>
      <w:tr w:rsidR="00143266" w:rsidRPr="0081105E" w14:paraId="06E2E200" w14:textId="77777777" w:rsidTr="005849BF">
        <w:tc>
          <w:tcPr>
            <w:tcW w:w="2064" w:type="dxa"/>
            <w:tcBorders>
              <w:top w:val="single" w:sz="4" w:space="0" w:color="D9D9D9"/>
              <w:left w:val="nil"/>
              <w:bottom w:val="single" w:sz="4" w:space="0" w:color="D9D9D9"/>
              <w:right w:val="nil"/>
            </w:tcBorders>
          </w:tcPr>
          <w:p w14:paraId="72F349EE" w14:textId="77777777" w:rsidR="00143266" w:rsidRPr="0081105E" w:rsidRDefault="00143266" w:rsidP="005849BF">
            <w:pPr>
              <w:rPr>
                <w:b/>
              </w:rPr>
            </w:pPr>
            <w:r w:rsidRPr="0081105E">
              <w:rPr>
                <w:b/>
              </w:rPr>
              <w:t>Corequisites:</w:t>
            </w:r>
          </w:p>
        </w:tc>
        <w:tc>
          <w:tcPr>
            <w:tcW w:w="7404" w:type="dxa"/>
            <w:gridSpan w:val="2"/>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143266" w:rsidRPr="0081105E" w14:paraId="7FCF5E51" w14:textId="77777777" w:rsidTr="005849BF">
        <w:tc>
          <w:tcPr>
            <w:tcW w:w="2064" w:type="dxa"/>
            <w:tcBorders>
              <w:top w:val="single" w:sz="4" w:space="0" w:color="D9D9D9"/>
              <w:left w:val="nil"/>
              <w:bottom w:val="single" w:sz="4" w:space="0" w:color="D9D9D9"/>
              <w:right w:val="nil"/>
            </w:tcBorders>
          </w:tcPr>
          <w:p w14:paraId="4904BB7E" w14:textId="77777777" w:rsidR="00143266" w:rsidRPr="0081105E" w:rsidRDefault="00143266" w:rsidP="005849BF">
            <w:pPr>
              <w:rPr>
                <w:b/>
              </w:rPr>
            </w:pPr>
            <w:r w:rsidRPr="0081105E">
              <w:rPr>
                <w:b/>
                <w:bCs/>
              </w:rPr>
              <w:t>Instructor:</w:t>
            </w:r>
          </w:p>
        </w:tc>
        <w:tc>
          <w:tcPr>
            <w:tcW w:w="4027" w:type="dxa"/>
            <w:tcBorders>
              <w:top w:val="single" w:sz="4" w:space="0" w:color="D9D9D9"/>
              <w:left w:val="nil"/>
              <w:bottom w:val="single" w:sz="4" w:space="0" w:color="D9D9D9"/>
              <w:right w:val="nil"/>
            </w:tcBorders>
          </w:tcPr>
          <w:p w14:paraId="5599B208" w14:textId="273130B6" w:rsidR="00143266" w:rsidRPr="0081105E" w:rsidRDefault="00143266" w:rsidP="00E73132">
            <w:r w:rsidRPr="0081105E">
              <w:rPr>
                <w:bCs/>
              </w:rPr>
              <w:t>Nic</w:t>
            </w:r>
            <w:r w:rsidR="00CC523D">
              <w:rPr>
                <w:bCs/>
              </w:rPr>
              <w:t>holas</w:t>
            </w:r>
            <w:r w:rsidRPr="0081105E">
              <w:rPr>
                <w:bCs/>
              </w:rPr>
              <w:t xml:space="preserve"> Derzis,</w:t>
            </w:r>
            <w:r w:rsidR="00CC523D">
              <w:rPr>
                <w:bCs/>
              </w:rPr>
              <w:t xml:space="preserve"> PhD,</w:t>
            </w:r>
            <w:r w:rsidR="00E73132">
              <w:rPr>
                <w:bCs/>
              </w:rPr>
              <w:t xml:space="preserve"> </w:t>
            </w:r>
            <w:r w:rsidRPr="0081105E">
              <w:rPr>
                <w:bCs/>
              </w:rPr>
              <w:t>CRC</w:t>
            </w:r>
            <w:r w:rsidR="00630525">
              <w:rPr>
                <w:bCs/>
              </w:rPr>
              <w:t>, CVE</w:t>
            </w:r>
          </w:p>
        </w:tc>
        <w:tc>
          <w:tcPr>
            <w:tcW w:w="3377" w:type="dxa"/>
            <w:tcBorders>
              <w:top w:val="single" w:sz="4" w:space="0" w:color="D9D9D9"/>
              <w:left w:val="nil"/>
              <w:bottom w:val="single" w:sz="4" w:space="0" w:color="D9D9D9"/>
              <w:right w:val="nil"/>
            </w:tcBorders>
          </w:tcPr>
          <w:p w14:paraId="044FADE8" w14:textId="77777777" w:rsidR="00143266" w:rsidRPr="0081105E" w:rsidRDefault="00143266" w:rsidP="005849BF"/>
        </w:tc>
      </w:tr>
      <w:tr w:rsidR="00143266" w:rsidRPr="0081105E" w14:paraId="2951FAC3" w14:textId="77777777" w:rsidTr="005849BF">
        <w:tc>
          <w:tcPr>
            <w:tcW w:w="2064" w:type="dxa"/>
            <w:tcBorders>
              <w:top w:val="single" w:sz="4" w:space="0" w:color="D9D9D9"/>
              <w:left w:val="nil"/>
              <w:bottom w:val="single" w:sz="4" w:space="0" w:color="D9D9D9"/>
              <w:right w:val="nil"/>
            </w:tcBorders>
          </w:tcPr>
          <w:p w14:paraId="51623CBD" w14:textId="77777777" w:rsidR="00143266" w:rsidRPr="0081105E" w:rsidRDefault="00143266" w:rsidP="005849BF">
            <w:pPr>
              <w:contextualSpacing/>
              <w:rPr>
                <w:b/>
              </w:rPr>
            </w:pPr>
            <w:r w:rsidRPr="0081105E">
              <w:rPr>
                <w:b/>
              </w:rPr>
              <w:t>Office Location:</w:t>
            </w:r>
          </w:p>
        </w:tc>
        <w:tc>
          <w:tcPr>
            <w:tcW w:w="4027" w:type="dxa"/>
            <w:tcBorders>
              <w:top w:val="single" w:sz="4" w:space="0" w:color="D9D9D9"/>
              <w:left w:val="nil"/>
              <w:bottom w:val="single" w:sz="4" w:space="0" w:color="D9D9D9"/>
              <w:right w:val="nil"/>
            </w:tcBorders>
          </w:tcPr>
          <w:p w14:paraId="40C10D7B" w14:textId="5CC4BC70" w:rsidR="00143266" w:rsidRPr="0081105E" w:rsidRDefault="00DB6B0A" w:rsidP="005849BF">
            <w:pPr>
              <w:contextualSpacing/>
              <w:rPr>
                <w:bCs/>
              </w:rPr>
            </w:pPr>
            <w:r>
              <w:rPr>
                <w:bCs/>
              </w:rPr>
              <w:t>3166 Education</w:t>
            </w:r>
            <w:r w:rsidR="00143266" w:rsidRPr="0081105E">
              <w:rPr>
                <w:bCs/>
              </w:rPr>
              <w:t xml:space="preserve"> </w:t>
            </w:r>
          </w:p>
        </w:tc>
        <w:tc>
          <w:tcPr>
            <w:tcW w:w="3377" w:type="dxa"/>
            <w:tcBorders>
              <w:top w:val="single" w:sz="4" w:space="0" w:color="D9D9D9"/>
              <w:left w:val="nil"/>
              <w:bottom w:val="single" w:sz="4" w:space="0" w:color="D9D9D9"/>
              <w:right w:val="nil"/>
            </w:tcBorders>
          </w:tcPr>
          <w:p w14:paraId="492EF3F6" w14:textId="77777777" w:rsidR="00143266" w:rsidRPr="0081105E" w:rsidRDefault="00143266" w:rsidP="005849BF"/>
        </w:tc>
      </w:tr>
      <w:tr w:rsidR="00143266" w:rsidRPr="0081105E" w14:paraId="0F993261" w14:textId="77777777" w:rsidTr="005849BF">
        <w:tc>
          <w:tcPr>
            <w:tcW w:w="2064" w:type="dxa"/>
            <w:tcBorders>
              <w:top w:val="single" w:sz="4" w:space="0" w:color="D9D9D9"/>
              <w:left w:val="nil"/>
              <w:bottom w:val="single" w:sz="4" w:space="0" w:color="D9D9D9"/>
              <w:right w:val="nil"/>
            </w:tcBorders>
          </w:tcPr>
          <w:p w14:paraId="490DCEE0" w14:textId="77777777" w:rsidR="00143266" w:rsidRPr="0081105E" w:rsidRDefault="00143266" w:rsidP="005849BF">
            <w:pPr>
              <w:contextualSpacing/>
              <w:rPr>
                <w:b/>
              </w:rPr>
            </w:pPr>
            <w:r w:rsidRPr="0081105E">
              <w:rPr>
                <w:b/>
              </w:rPr>
              <w:t>Phone/E-mail:</w:t>
            </w:r>
          </w:p>
        </w:tc>
        <w:tc>
          <w:tcPr>
            <w:tcW w:w="4027" w:type="dxa"/>
            <w:tcBorders>
              <w:top w:val="single" w:sz="4" w:space="0" w:color="D9D9D9"/>
              <w:left w:val="nil"/>
              <w:bottom w:val="single" w:sz="4" w:space="0" w:color="D9D9D9"/>
              <w:right w:val="nil"/>
            </w:tcBorders>
          </w:tcPr>
          <w:p w14:paraId="31C63E85" w14:textId="77777777" w:rsidR="00143266" w:rsidRPr="0081105E" w:rsidRDefault="00143266" w:rsidP="005849BF">
            <w:pPr>
              <w:contextualSpacing/>
              <w:rPr>
                <w:bCs/>
              </w:rPr>
            </w:pPr>
            <w:r w:rsidRPr="0081105E">
              <w:rPr>
                <w:bCs/>
              </w:rPr>
              <w:t>844-2501</w:t>
            </w:r>
          </w:p>
          <w:p w14:paraId="1D59314F" w14:textId="2AECF818" w:rsidR="00143266" w:rsidRPr="0081105E" w:rsidRDefault="00E73132" w:rsidP="005849BF">
            <w:pPr>
              <w:contextualSpacing/>
              <w:rPr>
                <w:bCs/>
              </w:rPr>
            </w:pPr>
            <w:hyperlink r:id="rId7" w:history="1">
              <w:r w:rsidRPr="00EF085E">
                <w:rPr>
                  <w:rStyle w:val="Hyperlink"/>
                  <w:bCs/>
                </w:rPr>
                <w:t>derzinc@auburn.edu</w:t>
              </w:r>
            </w:hyperlink>
          </w:p>
        </w:tc>
        <w:tc>
          <w:tcPr>
            <w:tcW w:w="3377" w:type="dxa"/>
            <w:tcBorders>
              <w:top w:val="single" w:sz="4" w:space="0" w:color="D9D9D9"/>
              <w:left w:val="nil"/>
              <w:bottom w:val="single" w:sz="4" w:space="0" w:color="D9D9D9"/>
              <w:right w:val="nil"/>
            </w:tcBorders>
          </w:tcPr>
          <w:p w14:paraId="01C577FF" w14:textId="77777777" w:rsidR="00143266" w:rsidRPr="0081105E" w:rsidRDefault="00143266" w:rsidP="005849BF"/>
        </w:tc>
      </w:tr>
      <w:tr w:rsidR="00143266" w:rsidRPr="0081105E" w14:paraId="4EAC5622" w14:textId="77777777" w:rsidTr="005849BF">
        <w:trPr>
          <w:trHeight w:val="1187"/>
        </w:trPr>
        <w:tc>
          <w:tcPr>
            <w:tcW w:w="2064" w:type="dxa"/>
            <w:tcBorders>
              <w:top w:val="single" w:sz="4" w:space="0" w:color="D9D9D9"/>
              <w:left w:val="nil"/>
              <w:bottom w:val="single" w:sz="4" w:space="0" w:color="EEECE1"/>
              <w:right w:val="nil"/>
            </w:tcBorders>
          </w:tcPr>
          <w:p w14:paraId="032E6453" w14:textId="77777777" w:rsidR="00143266" w:rsidRPr="0081105E" w:rsidRDefault="00143266" w:rsidP="005849BF">
            <w:pPr>
              <w:contextualSpacing/>
              <w:rPr>
                <w:b/>
                <w:bCs/>
              </w:rPr>
            </w:pPr>
            <w:r w:rsidRPr="0081105E">
              <w:rPr>
                <w:b/>
                <w:bCs/>
              </w:rPr>
              <w:t xml:space="preserve">Office Hours:       </w:t>
            </w:r>
            <w:r w:rsidRPr="0081105E">
              <w:rPr>
                <w:b/>
                <w:bCs/>
                <w:color w:val="FF0000"/>
              </w:rPr>
              <w:t xml:space="preserve"> </w:t>
            </w:r>
          </w:p>
        </w:tc>
        <w:tc>
          <w:tcPr>
            <w:tcW w:w="4027" w:type="dxa"/>
            <w:tcBorders>
              <w:top w:val="single" w:sz="4" w:space="0" w:color="D9D9D9"/>
              <w:left w:val="nil"/>
              <w:bottom w:val="single" w:sz="4" w:space="0" w:color="EEECE1"/>
              <w:right w:val="nil"/>
            </w:tcBorders>
          </w:tcPr>
          <w:p w14:paraId="25CB674C" w14:textId="6EB52B8B" w:rsidR="00143266" w:rsidRDefault="00CC523D" w:rsidP="005849BF">
            <w:pPr>
              <w:contextualSpacing/>
              <w:rPr>
                <w:bCs/>
              </w:rPr>
            </w:pPr>
            <w:r>
              <w:rPr>
                <w:bCs/>
              </w:rPr>
              <w:t>By appointment</w:t>
            </w:r>
          </w:p>
          <w:p w14:paraId="55327531" w14:textId="77777777" w:rsidR="00002A2E" w:rsidRPr="0081105E" w:rsidRDefault="00002A2E" w:rsidP="005849BF">
            <w:pPr>
              <w:contextualSpacing/>
              <w:rPr>
                <w:bCs/>
              </w:rPr>
            </w:pPr>
          </w:p>
          <w:p w14:paraId="0746895C" w14:textId="77777777" w:rsidR="00143266" w:rsidRPr="0081105E" w:rsidRDefault="00143266" w:rsidP="005849BF">
            <w:pPr>
              <w:contextualSpacing/>
            </w:pPr>
            <w:r w:rsidRPr="0081105E">
              <w:t xml:space="preserve"> </w:t>
            </w:r>
          </w:p>
        </w:tc>
        <w:tc>
          <w:tcPr>
            <w:tcW w:w="3377" w:type="dxa"/>
            <w:tcBorders>
              <w:top w:val="single" w:sz="4" w:space="0" w:color="D9D9D9"/>
              <w:left w:val="nil"/>
              <w:bottom w:val="single" w:sz="4" w:space="0" w:color="EEECE1"/>
              <w:right w:val="nil"/>
            </w:tcBorders>
          </w:tcPr>
          <w:p w14:paraId="38104220" w14:textId="77777777" w:rsidR="00143266" w:rsidRPr="0081105E" w:rsidRDefault="00143266" w:rsidP="005849BF"/>
          <w:p w14:paraId="62C585D6" w14:textId="77777777" w:rsidR="00143266" w:rsidRPr="0081105E" w:rsidRDefault="00143266" w:rsidP="005849BF"/>
        </w:tc>
      </w:tr>
    </w:tbl>
    <w:p w14:paraId="447125B3" w14:textId="3800ABA8" w:rsidR="00143266" w:rsidRPr="0081105E" w:rsidRDefault="00143266" w:rsidP="00143266">
      <w:pPr>
        <w:numPr>
          <w:ilvl w:val="0"/>
          <w:numId w:val="1"/>
        </w:numPr>
      </w:pPr>
      <w:r w:rsidRPr="0081105E">
        <w:rPr>
          <w:b/>
        </w:rPr>
        <w:t xml:space="preserve">Date Syllabus Prepared: </w:t>
      </w:r>
      <w:proofErr w:type="gramStart"/>
      <w:r w:rsidR="000735E3" w:rsidRPr="0081105E">
        <w:t>November,</w:t>
      </w:r>
      <w:proofErr w:type="gramEnd"/>
      <w:r w:rsidR="000735E3" w:rsidRPr="0081105E">
        <w:t xml:space="preserve"> 2014</w:t>
      </w:r>
      <w:r w:rsidR="001B4090">
        <w:t xml:space="preserve">; revised </w:t>
      </w:r>
      <w:proofErr w:type="gramStart"/>
      <w:r w:rsidR="001B4090">
        <w:t>January,</w:t>
      </w:r>
      <w:proofErr w:type="gramEnd"/>
      <w:r w:rsidR="001B4090">
        <w:t xml:space="preserve"> 2015</w:t>
      </w:r>
      <w:r w:rsidR="00D7705B">
        <w:t xml:space="preserve">; revised </w:t>
      </w:r>
      <w:proofErr w:type="gramStart"/>
      <w:r w:rsidR="00D7705B">
        <w:t>January,</w:t>
      </w:r>
      <w:proofErr w:type="gramEnd"/>
      <w:r w:rsidR="00D7705B">
        <w:t xml:space="preserve"> 2016; </w:t>
      </w:r>
      <w:proofErr w:type="gramStart"/>
      <w:r w:rsidR="00D7705B">
        <w:t>January,</w:t>
      </w:r>
      <w:proofErr w:type="gramEnd"/>
      <w:r w:rsidR="00D7705B">
        <w:t xml:space="preserve"> 2017</w:t>
      </w:r>
      <w:r w:rsidR="00C0565B">
        <w:t>; January 2018</w:t>
      </w:r>
      <w:r w:rsidR="00C42793">
        <w:t xml:space="preserve">; </w:t>
      </w:r>
      <w:proofErr w:type="gramStart"/>
      <w:r w:rsidR="00C42793">
        <w:t>January,</w:t>
      </w:r>
      <w:proofErr w:type="gramEnd"/>
      <w:r w:rsidR="00C42793">
        <w:t xml:space="preserve"> 2019</w:t>
      </w:r>
      <w:r w:rsidR="00CC523D">
        <w:t>, January 20</w:t>
      </w:r>
      <w:r w:rsidR="00CD2684">
        <w:t>24</w:t>
      </w:r>
      <w:r w:rsidR="002E224F">
        <w:t>; January 2025</w:t>
      </w:r>
      <w:r w:rsidR="00DB6B0A">
        <w:t>; January 2026</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77777777" w:rsidR="00143266"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sidRPr="0081105E">
        <w:rPr>
          <w:b/>
          <w:bCs/>
          <w:color w:val="000000"/>
        </w:rPr>
        <w:t>Textbooks</w:t>
      </w:r>
    </w:p>
    <w:p w14:paraId="2F28C59E" w14:textId="77777777" w:rsidR="00C0565B" w:rsidRDefault="00C0565B"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p w14:paraId="224FBE44" w14:textId="6C50F899" w:rsidR="00C0565B" w:rsidRDefault="00DB6B0A"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r>
        <w:rPr>
          <w:bCs/>
          <w:color w:val="000000"/>
        </w:rPr>
        <w:t>*I will try to provide as much as I can from these texts*</w:t>
      </w:r>
    </w:p>
    <w:bookmarkEnd w:id="0"/>
    <w:bookmarkEnd w:id="1"/>
    <w:p w14:paraId="18B342AC" w14:textId="68511A4B" w:rsidR="00CD2684" w:rsidRPr="00CD2684" w:rsidRDefault="00CD2684" w:rsidP="00B64793">
      <w:pPr>
        <w:pStyle w:val="NormalWeb"/>
        <w:ind w:left="360" w:hanging="207"/>
        <w:rPr>
          <w:i/>
          <w:iCs/>
        </w:rPr>
      </w:pPr>
      <w:r>
        <w:t xml:space="preserve">Stansbury Brusnahan, L. L., Stodden, R. A., &amp; </w:t>
      </w:r>
      <w:proofErr w:type="spellStart"/>
      <w:r>
        <w:t>Zuckers</w:t>
      </w:r>
      <w:proofErr w:type="spellEnd"/>
      <w:r>
        <w:t xml:space="preserve">, S. H. (Eds.). (2018). </w:t>
      </w:r>
      <w:r>
        <w:rPr>
          <w:i/>
          <w:iCs/>
        </w:rPr>
        <w:t xml:space="preserve">Transition to </w:t>
      </w:r>
      <w:r w:rsidR="00B64793">
        <w:rPr>
          <w:i/>
          <w:iCs/>
        </w:rPr>
        <w:t xml:space="preserve">       </w:t>
      </w:r>
      <w:r>
        <w:rPr>
          <w:i/>
          <w:iCs/>
        </w:rPr>
        <w:t>adulthood: Work, Community, and Educational Success</w:t>
      </w:r>
      <w:r>
        <w:t xml:space="preserve">. Council for Exceptional Children. </w:t>
      </w:r>
    </w:p>
    <w:p w14:paraId="4B193470" w14:textId="77777777" w:rsidR="00B64793" w:rsidRDefault="00B64793" w:rsidP="00C11EAE">
      <w:pPr>
        <w:rPr>
          <w:i/>
        </w:rPr>
      </w:pPr>
    </w:p>
    <w:p w14:paraId="06DB77F2" w14:textId="77777777" w:rsidR="00B64793" w:rsidRDefault="00B64793" w:rsidP="00C11EAE">
      <w:pPr>
        <w:ind w:firstLine="153"/>
        <w:rPr>
          <w:i/>
        </w:rPr>
      </w:pPr>
      <w:r>
        <w:rPr>
          <w:iCs/>
        </w:rPr>
        <w:t xml:space="preserve">Arnett, J.J., Tanner, J.L., (Eds). (2006). </w:t>
      </w:r>
      <w:r>
        <w:rPr>
          <w:i/>
        </w:rPr>
        <w:t xml:space="preserve">Emerging Adults in America: Coming of Age in the </w:t>
      </w:r>
    </w:p>
    <w:p w14:paraId="4259CFA6" w14:textId="54958350" w:rsidR="00B64793" w:rsidRPr="00B64793" w:rsidRDefault="00B64793" w:rsidP="00B64793">
      <w:pPr>
        <w:ind w:firstLine="720"/>
        <w:rPr>
          <w:iCs/>
        </w:rPr>
      </w:pPr>
      <w:r>
        <w:rPr>
          <w:i/>
        </w:rPr>
        <w:t>21</w:t>
      </w:r>
      <w:r w:rsidRPr="00B64793">
        <w:rPr>
          <w:i/>
          <w:vertAlign w:val="superscript"/>
        </w:rPr>
        <w:t>st</w:t>
      </w:r>
      <w:r>
        <w:rPr>
          <w:i/>
        </w:rPr>
        <w:t xml:space="preserve"> Century.  </w:t>
      </w:r>
      <w:r>
        <w:rPr>
          <w:iCs/>
        </w:rPr>
        <w:t>American Psychological Association.</w:t>
      </w:r>
    </w:p>
    <w:p w14:paraId="3BD09BAD" w14:textId="77777777" w:rsidR="00B64793" w:rsidRPr="00C0565B" w:rsidRDefault="00B64793" w:rsidP="00143266">
      <w:pPr>
        <w:ind w:firstLine="360"/>
        <w:rPr>
          <w:i/>
        </w:rPr>
      </w:pPr>
    </w:p>
    <w:p w14:paraId="3FED8BEF" w14:textId="77777777" w:rsidR="00143266" w:rsidRPr="0081105E" w:rsidRDefault="00143266" w:rsidP="00143266">
      <w:pPr>
        <w:ind w:left="360"/>
      </w:pPr>
    </w:p>
    <w:p w14:paraId="171E3548" w14:textId="02B7CE9E" w:rsidR="00143266" w:rsidRPr="0081105E" w:rsidRDefault="00143266" w:rsidP="00143266">
      <w:pPr>
        <w:ind w:firstLine="360"/>
        <w:rPr>
          <w:b/>
        </w:rPr>
      </w:pPr>
      <w:r w:rsidRPr="0081105E">
        <w:rPr>
          <w:b/>
        </w:rPr>
        <w:t>Selected Readings</w:t>
      </w:r>
      <w:r w:rsidR="00E55BF6">
        <w:rPr>
          <w:b/>
        </w:rPr>
        <w:t xml:space="preserve"> will be provided and posted to CANVAS</w:t>
      </w:r>
    </w:p>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38807E95" w14:textId="5B4A479B" w:rsidR="000735E3" w:rsidRPr="0081105E" w:rsidRDefault="000735E3" w:rsidP="000735E3">
      <w:pPr>
        <w:autoSpaceDE w:val="0"/>
        <w:autoSpaceDN w:val="0"/>
        <w:adjustRightInd w:val="0"/>
        <w:ind w:firstLine="15"/>
      </w:pPr>
      <w:r w:rsidRPr="0081105E">
        <w:t xml:space="preserve"> </w:t>
      </w:r>
    </w:p>
    <w:p w14:paraId="3484F4B8" w14:textId="77777777" w:rsidR="000735E3" w:rsidRPr="0081105E" w:rsidRDefault="000735E3" w:rsidP="000735E3">
      <w:pPr>
        <w:autoSpaceDE w:val="0"/>
        <w:autoSpaceDN w:val="0"/>
        <w:adjustRightInd w:val="0"/>
        <w:ind w:firstLine="15"/>
      </w:pPr>
      <w:r w:rsidRPr="0081105E">
        <w:lastRenderedPageBreak/>
        <w:t xml:space="preserve">General course objectives: </w:t>
      </w:r>
    </w:p>
    <w:p w14:paraId="6BAD0178" w14:textId="77777777" w:rsidR="000735E3" w:rsidRPr="0081105E" w:rsidRDefault="000735E3" w:rsidP="000735E3">
      <w:pPr>
        <w:autoSpaceDE w:val="0"/>
        <w:autoSpaceDN w:val="0"/>
        <w:adjustRightInd w:val="0"/>
        <w:ind w:firstLine="15"/>
      </w:pP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2BCE64CC" w14:textId="77777777" w:rsidR="00A06999" w:rsidRPr="0081105E" w:rsidRDefault="00A06999" w:rsidP="00E55BF6">
      <w:pPr>
        <w:autoSpaceDE w:val="0"/>
        <w:autoSpaceDN w:val="0"/>
        <w:adjustRightInd w:val="0"/>
      </w:pPr>
    </w:p>
    <w:p w14:paraId="263D4960" w14:textId="2A55C75B" w:rsidR="00143266" w:rsidRPr="0081105E" w:rsidRDefault="00143266" w:rsidP="00155A76">
      <w:pPr>
        <w:autoSpaceDE w:val="0"/>
        <w:autoSpaceDN w:val="0"/>
        <w:adjustRightInd w:val="0"/>
        <w:ind w:firstLine="15"/>
        <w:rPr>
          <w:b/>
        </w:rPr>
      </w:pPr>
      <w:r w:rsidRPr="0081105E">
        <w:rPr>
          <w:b/>
        </w:rPr>
        <w:tab/>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19FF3EE6"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 xml:space="preserve">Examinations (TOTAL 2 @ </w:t>
      </w:r>
      <w:r w:rsidR="00A66784">
        <w:rPr>
          <w:b/>
          <w:bCs/>
          <w:color w:val="000000"/>
        </w:rPr>
        <w:t>25</w:t>
      </w:r>
      <w:r w:rsidR="00155A76" w:rsidRPr="0081105E">
        <w:rPr>
          <w:b/>
          <w:bCs/>
          <w:color w:val="000000"/>
        </w:rPr>
        <w:t xml:space="preserve"> points each).  </w:t>
      </w:r>
      <w:r w:rsidR="00155A76" w:rsidRPr="0081105E">
        <w:rPr>
          <w:bCs/>
          <w:color w:val="000000"/>
        </w:rPr>
        <w:t xml:space="preserve">There will be 2 announced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01564DDD" w14:textId="2ECF6EE1"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 (1</w:t>
      </w:r>
      <w:r w:rsidR="00155A76" w:rsidRPr="0081105E">
        <w:rPr>
          <w:bCs/>
          <w:color w:val="000000"/>
        </w:rPr>
        <w:t xml:space="preserve">) </w:t>
      </w:r>
      <w:r w:rsidR="00A06999">
        <w:rPr>
          <w:bCs/>
          <w:color w:val="000000"/>
        </w:rPr>
        <w:t>Discussion board</w:t>
      </w:r>
      <w:r w:rsidR="00155A76" w:rsidRPr="0081105E">
        <w:rPr>
          <w:bCs/>
          <w:color w:val="000000"/>
        </w:rPr>
        <w:t xml:space="preserve"> activities (</w:t>
      </w:r>
      <w:r w:rsidR="00091445">
        <w:rPr>
          <w:b/>
          <w:bCs/>
          <w:color w:val="000000"/>
        </w:rPr>
        <w:t xml:space="preserve">TOTAL </w:t>
      </w:r>
      <w:r w:rsidR="00C11EAE">
        <w:rPr>
          <w:b/>
          <w:bCs/>
          <w:color w:val="000000"/>
        </w:rPr>
        <w:t>12</w:t>
      </w:r>
      <w:r w:rsidR="009A746F">
        <w:rPr>
          <w:b/>
          <w:bCs/>
          <w:color w:val="000000"/>
        </w:rPr>
        <w:t xml:space="preserve"> points, </w:t>
      </w:r>
      <w:r w:rsidR="00C11EAE">
        <w:rPr>
          <w:b/>
          <w:bCs/>
          <w:color w:val="000000"/>
        </w:rPr>
        <w:t>4</w:t>
      </w:r>
      <w:r w:rsidR="00091445">
        <w:rPr>
          <w:b/>
          <w:bCs/>
          <w:color w:val="000000"/>
        </w:rPr>
        <w:t xml:space="preserve"> @ </w:t>
      </w:r>
      <w:r w:rsidR="00C11EAE">
        <w:rPr>
          <w:b/>
          <w:bCs/>
          <w:color w:val="000000"/>
        </w:rPr>
        <w:t>3</w:t>
      </w:r>
      <w:r w:rsidR="00A06999" w:rsidRPr="00D7705B">
        <w:rPr>
          <w:b/>
          <w:bCs/>
          <w:color w:val="000000"/>
        </w:rPr>
        <w:t xml:space="preserve"> p</w:t>
      </w:r>
      <w:r w:rsidR="00D7705B" w:rsidRPr="00D7705B">
        <w:rPr>
          <w:b/>
          <w:bCs/>
          <w:color w:val="000000"/>
        </w:rPr>
        <w:t>oint</w:t>
      </w:r>
      <w:r w:rsidR="00D56A74">
        <w:rPr>
          <w:b/>
          <w:bCs/>
          <w:color w:val="000000"/>
        </w:rPr>
        <w:t>s</w:t>
      </w:r>
      <w:r w:rsidR="00A06999" w:rsidRPr="00D7705B">
        <w:rPr>
          <w:b/>
          <w:bCs/>
          <w:color w:val="000000"/>
        </w:rPr>
        <w:t xml:space="preserve"> each</w:t>
      </w:r>
      <w:r w:rsidR="00A06999">
        <w:rPr>
          <w:bCs/>
          <w:color w:val="000000"/>
        </w:rPr>
        <w:t>)</w:t>
      </w:r>
    </w:p>
    <w:p w14:paraId="72D7014E" w14:textId="77777777" w:rsidR="00D7705B" w:rsidRDefault="00D7705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1470A6" w14:textId="34D493E7" w:rsidR="00155A76"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All students enrolled in the course will interact on CANVAS and are</w:t>
      </w:r>
      <w:r w:rsidR="00D7705B">
        <w:rPr>
          <w:bCs/>
          <w:color w:val="000000"/>
        </w:rPr>
        <w:t xml:space="preserve"> expected to participate in an online discussion board.  Details pertaining to each discussion board will be posted as part of the information for that particular week.</w:t>
      </w:r>
      <w:r>
        <w:rPr>
          <w:bCs/>
          <w:color w:val="000000"/>
        </w:rPr>
        <w:t xml:space="preserve">  Discussions will come from chapter readings</w:t>
      </w:r>
      <w:r w:rsidR="00E55BF6">
        <w:rPr>
          <w:bCs/>
          <w:color w:val="000000"/>
        </w:rPr>
        <w:t xml:space="preserve"> and videos</w:t>
      </w:r>
      <w:r>
        <w:rPr>
          <w:bCs/>
          <w:color w:val="000000"/>
        </w:rPr>
        <w:t xml:space="preserve">.  </w:t>
      </w:r>
    </w:p>
    <w:p w14:paraId="035C134C" w14:textId="77777777" w:rsidR="00C11EAE" w:rsidRDefault="00C11EA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84D2189" w14:textId="453EDD3F" w:rsidR="00C11EAE" w:rsidRDefault="00C11EAE"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r>
        <w:rPr>
          <w:bCs/>
          <w:color w:val="000000"/>
        </w:rPr>
        <w:t xml:space="preserve">(2) </w:t>
      </w:r>
      <w:r w:rsidR="00DB6B0A">
        <w:t>Related Services Providers in the IEP and Transition Planning</w:t>
      </w:r>
      <w:r w:rsidR="00DB6B0A">
        <w:t xml:space="preserve"> (7 points)</w:t>
      </w:r>
    </w:p>
    <w:p w14:paraId="694C9490" w14:textId="4B61E600" w:rsidR="00DB6B0A" w:rsidRDefault="00DB6B0A"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r>
        <w:t xml:space="preserve">This assignment is designed to help students understand the </w:t>
      </w:r>
      <w:r>
        <w:rPr>
          <w:rStyle w:val="Strong"/>
        </w:rPr>
        <w:t>roles, responsibilities, and collaborative functions of related service providers</w:t>
      </w:r>
      <w:r>
        <w:t xml:space="preserve"> within the IEP process, with specific emphasis on </w:t>
      </w:r>
      <w:r>
        <w:rPr>
          <w:rStyle w:val="Strong"/>
        </w:rPr>
        <w:t>transition planning for adolescents and emerging adults with disabilities</w:t>
      </w:r>
      <w:r>
        <w:t>. It is particularly relevant for students pursuing careers as occupational therapists, physical therapists, speech-language pathologists, rehabilitation counselors, or other allied professionals.</w:t>
      </w:r>
    </w:p>
    <w:p w14:paraId="4260BF61" w14:textId="77777777" w:rsidR="00DB6B0A" w:rsidRDefault="00DB6B0A"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1054A2F3" w14:textId="2ED61FA0" w:rsidR="00DB6B0A" w:rsidRDefault="00DB6B0A"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r>
        <w:lastRenderedPageBreak/>
        <w:t xml:space="preserve">(3) </w:t>
      </w:r>
      <w:r>
        <w:t>Transition Resources for Individuals with Disabilities</w:t>
      </w:r>
      <w:r>
        <w:t xml:space="preserve"> (7 points)</w:t>
      </w:r>
    </w:p>
    <w:p w14:paraId="6AE013A9" w14:textId="5A8D1513" w:rsidR="00DB6B0A" w:rsidRPr="0081105E" w:rsidRDefault="00DB6B0A" w:rsidP="00C11EAE">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t xml:space="preserve">This assignment focuses on increasing students’ familiarity with </w:t>
      </w:r>
      <w:r>
        <w:rPr>
          <w:rStyle w:val="Strong"/>
        </w:rPr>
        <w:t>community-based, state, and national transition resources</w:t>
      </w:r>
      <w:r>
        <w:t xml:space="preserve"> that support individuals with disabilities as they move into adulthood. Emphasis is placed on </w:t>
      </w:r>
      <w:r>
        <w:rPr>
          <w:rStyle w:val="Strong"/>
        </w:rPr>
        <w:t>practical application</w:t>
      </w:r>
      <w:r>
        <w:t>, resource navigation, and professional preparedness.</w:t>
      </w:r>
    </w:p>
    <w:p w14:paraId="4D8CE632" w14:textId="6547B6C6" w:rsidR="00C11EAE" w:rsidRDefault="00C11EA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5A247597" w14:textId="50DD183A" w:rsidR="009A746F" w:rsidRPr="0081105E" w:rsidRDefault="009A746F" w:rsidP="00D56A74">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0"/>
        <w:jc w:val="both"/>
        <w:rPr>
          <w:bCs/>
          <w:color w:val="000000"/>
        </w:rPr>
      </w:pPr>
      <w:r>
        <w:rPr>
          <w:bCs/>
          <w:color w:val="000000"/>
        </w:rPr>
        <w:t xml:space="preserve"> </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1E2DB96E"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w:t>
      </w:r>
      <w:r w:rsidR="00DB6B0A">
        <w:rPr>
          <w:bCs/>
          <w:color w:val="000000"/>
        </w:rPr>
        <w:t>4</w:t>
      </w:r>
      <w:r w:rsidRPr="0081105E">
        <w:rPr>
          <w:bCs/>
          <w:color w:val="000000"/>
        </w:rPr>
        <w:t xml:space="preserve">) Emerging Adulthood </w:t>
      </w:r>
      <w:r w:rsidR="00A06999">
        <w:rPr>
          <w:bCs/>
          <w:color w:val="000000"/>
        </w:rPr>
        <w:t>Autobiography Paper</w:t>
      </w:r>
      <w:r w:rsidR="0028110D">
        <w:rPr>
          <w:bCs/>
          <w:color w:val="000000"/>
        </w:rPr>
        <w:t xml:space="preserve"> </w:t>
      </w:r>
      <w:r w:rsidR="0028110D" w:rsidRPr="00D7705B">
        <w:rPr>
          <w:b/>
          <w:bCs/>
          <w:color w:val="000000"/>
        </w:rPr>
        <w:t>(</w:t>
      </w:r>
      <w:r w:rsidR="00E55BF6">
        <w:rPr>
          <w:b/>
          <w:bCs/>
          <w:color w:val="000000"/>
        </w:rPr>
        <w:t>2</w:t>
      </w:r>
      <w:r w:rsidR="00C11EAE">
        <w:rPr>
          <w:b/>
          <w:bCs/>
          <w:color w:val="000000"/>
        </w:rPr>
        <w:t>4</w:t>
      </w:r>
      <w:r w:rsidRPr="00D7705B">
        <w:rPr>
          <w:b/>
          <w:bCs/>
          <w:color w:val="000000"/>
        </w:rPr>
        <w:t xml:space="preserve"> points)</w:t>
      </w:r>
    </w:p>
    <w:p w14:paraId="0371FB68" w14:textId="6EC12C10" w:rsidR="00DB6B0A" w:rsidRDefault="00DB6B0A" w:rsidP="00DB6B0A">
      <w:pPr>
        <w:pStyle w:val="NormalWeb"/>
        <w:ind w:left="375"/>
      </w:pPr>
      <w:r>
        <w:t xml:space="preserve">This assignment is an autobiographical reflection designed to help students critically examine their own life experiences through the lens of </w:t>
      </w:r>
      <w:r>
        <w:rPr>
          <w:rStyle w:val="Emphasis"/>
        </w:rPr>
        <w:t>emerging adulthood theory</w:t>
      </w:r>
      <w:r>
        <w:t>. Students will reflect on their personal development, transitions, and identity formation while explicitly connecting these experiences to concepts discussed in class</w:t>
      </w:r>
      <w:r>
        <w:t xml:space="preserve">, </w:t>
      </w:r>
      <w:r>
        <w:t>particularly those outlined in Arnett’s theory of emerging adulthood.</w:t>
      </w:r>
    </w:p>
    <w:p w14:paraId="2DD1DAA4" w14:textId="734AE94E" w:rsidR="00091445" w:rsidRPr="00630525" w:rsidRDefault="00DB6B0A" w:rsidP="00630525">
      <w:pPr>
        <w:pStyle w:val="NormalWeb"/>
        <w:ind w:left="375"/>
      </w:pPr>
      <w:r>
        <w:t xml:space="preserve">The paper is intended to be both </w:t>
      </w:r>
      <w:r>
        <w:rPr>
          <w:rStyle w:val="Strong"/>
        </w:rPr>
        <w:t>reflective and analytical</w:t>
      </w:r>
      <w:r>
        <w:t>. While the content is personal, students are expected to demonstrate an understanding of course concepts and apply theory meaningfully to their own educational, social, vocational, and psychosocial development as they pursue college and prepare for adulthood.</w:t>
      </w:r>
    </w:p>
    <w:p w14:paraId="0EA9C19B" w14:textId="77777777" w:rsidR="00A66784" w:rsidRDefault="00A66784"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13B391CA" w14:textId="6BD036C3"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Pr>
          <w:b/>
        </w:rPr>
        <w:t>f. Grade evaluation</w:t>
      </w:r>
    </w:p>
    <w:p w14:paraId="6AEC9EE3"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679457E3" w14:textId="349AAAE9" w:rsidR="00FD627E" w:rsidRP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i/>
        </w:rPr>
      </w:pPr>
      <w:r w:rsidRPr="00FD627E">
        <w:rPr>
          <w:b/>
          <w:i/>
        </w:rPr>
        <w:t>This course is based on a total of 100 possible points.</w:t>
      </w:r>
    </w:p>
    <w:p w14:paraId="40FC92DB"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7DEC83CF" w14:textId="4EC97618"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92 - 100 =</w:t>
      </w:r>
      <w:r>
        <w:rPr>
          <w:sz w:val="22"/>
          <w:szCs w:val="22"/>
        </w:rPr>
        <w:t xml:space="preserve"> </w:t>
      </w:r>
      <w:r w:rsidRPr="00AC5A42">
        <w:rPr>
          <w:sz w:val="22"/>
          <w:szCs w:val="22"/>
        </w:rPr>
        <w:t>A</w:t>
      </w:r>
    </w:p>
    <w:p w14:paraId="75899DD2" w14:textId="21C45A9A"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3B788AC8" w14:textId="04D47E4C"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76 - 83 =</w:t>
      </w:r>
      <w:r>
        <w:rPr>
          <w:sz w:val="22"/>
          <w:szCs w:val="22"/>
        </w:rPr>
        <w:t xml:space="preserve"> </w:t>
      </w:r>
      <w:r w:rsidRPr="00AC5A42">
        <w:rPr>
          <w:sz w:val="22"/>
          <w:szCs w:val="22"/>
        </w:rPr>
        <w:t>C</w:t>
      </w:r>
    </w:p>
    <w:p w14:paraId="1A71007D" w14:textId="66FDCD7F" w:rsidR="00FD627E"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68 - 75 = D</w:t>
      </w:r>
    </w:p>
    <w:p w14:paraId="7C2C691D" w14:textId="31C18191" w:rsidR="00FD627E" w:rsidRPr="00C07C4C" w:rsidRDefault="00FD627E" w:rsidP="00FD627E">
      <w:pPr>
        <w:pBdr>
          <w:top w:val="single" w:sz="6" w:space="0" w:color="FFFFFF"/>
          <w:left w:val="single" w:sz="6" w:space="0" w:color="FFFFFF"/>
          <w:bottom w:val="single" w:sz="6" w:space="0" w:color="FFFFFF"/>
          <w:right w:val="single" w:sz="6" w:space="0" w:color="FFFFFF"/>
        </w:pBdr>
        <w:ind w:right="-90"/>
        <w:rPr>
          <w:sz w:val="22"/>
          <w:szCs w:val="22"/>
        </w:rPr>
      </w:pPr>
      <w:r>
        <w:rPr>
          <w:sz w:val="22"/>
          <w:szCs w:val="22"/>
        </w:rPr>
        <w:tab/>
      </w:r>
      <w:r w:rsidRPr="00AC5A42">
        <w:rPr>
          <w:sz w:val="22"/>
          <w:szCs w:val="22"/>
        </w:rPr>
        <w:t>Below 68 =F</w:t>
      </w:r>
    </w:p>
    <w:p w14:paraId="7BA5BAD9" w14:textId="77777777" w:rsidR="00FD627E" w:rsidRDefault="00FD627E"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28E4D986" w14:textId="77777777" w:rsidR="00501536"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64A62C58" w14:textId="77777777" w:rsidR="00701632" w:rsidRDefault="00701632" w:rsidP="00501536">
      <w:pPr>
        <w:rPr>
          <w:i/>
        </w:rPr>
      </w:pPr>
    </w:p>
    <w:p w14:paraId="23180247" w14:textId="32395B56" w:rsidR="00501536" w:rsidRPr="00630525" w:rsidRDefault="00501536" w:rsidP="00501536">
      <w:pPr>
        <w:rPr>
          <w:i/>
          <w:u w:val="single"/>
        </w:rPr>
      </w:pPr>
      <w:r w:rsidRPr="00630525">
        <w:rPr>
          <w:i/>
          <w:u w:val="single"/>
        </w:rPr>
        <w:t>Proposed course outline:</w:t>
      </w:r>
    </w:p>
    <w:p w14:paraId="49B42DB3" w14:textId="77777777" w:rsidR="00DB6B0A" w:rsidRDefault="00DB6B0A" w:rsidP="00DB6B0A"/>
    <w:p w14:paraId="204A0A97" w14:textId="5D915DE3" w:rsidR="00DB6B0A" w:rsidRDefault="00DB6B0A" w:rsidP="00DB6B0A">
      <w:r>
        <w:t>Weeks 1–7 emphasize Emerging Adulthood</w:t>
      </w:r>
      <w:r>
        <w:t xml:space="preserve"> </w:t>
      </w:r>
      <w:r>
        <w:t>as a developmental framework</w:t>
      </w:r>
    </w:p>
    <w:p w14:paraId="5384FF2C" w14:textId="5371C022" w:rsidR="00DB6B0A" w:rsidRDefault="00DB6B0A" w:rsidP="00DB6B0A">
      <w:r>
        <w:t>Weeks 8–15 shift to Transition Services for Students with Disabilities, explicitly applying emerging adulthood concepts to policy, practice, and service delivery</w:t>
      </w:r>
    </w:p>
    <w:p w14:paraId="6B22096C" w14:textId="77777777" w:rsidR="00DB6B0A" w:rsidRDefault="00DB6B0A" w:rsidP="00DB6B0A"/>
    <w:p w14:paraId="13D06814" w14:textId="6035D1F7" w:rsidR="00DB6B0A" w:rsidRDefault="00DB6B0A" w:rsidP="00DB6B0A">
      <w:r>
        <w:t>Week 1 – Course Overview &amp; Introduction to Emerging Adulthood</w:t>
      </w:r>
    </w:p>
    <w:p w14:paraId="3D3573B3" w14:textId="77777777" w:rsidR="00DB6B0A" w:rsidRDefault="00DB6B0A" w:rsidP="00DB6B0A"/>
    <w:p w14:paraId="46A468DA" w14:textId="77777777" w:rsidR="00DB6B0A" w:rsidRDefault="00DB6B0A" w:rsidP="00DB6B0A">
      <w:r>
        <w:t>* Course expectations and major assignments</w:t>
      </w:r>
    </w:p>
    <w:p w14:paraId="2C575055" w14:textId="77777777" w:rsidR="00DB6B0A" w:rsidRDefault="00DB6B0A" w:rsidP="00DB6B0A">
      <w:r>
        <w:t>* Overview of Emerging Adulthood (Arnett)</w:t>
      </w:r>
    </w:p>
    <w:p w14:paraId="2CB19E41" w14:textId="77777777" w:rsidR="00DB6B0A" w:rsidRDefault="00DB6B0A" w:rsidP="00DB6B0A">
      <w:r>
        <w:t>* Why emerging adulthood matters in rehabilitation and disability studies</w:t>
      </w:r>
    </w:p>
    <w:p w14:paraId="3510E121" w14:textId="77777777" w:rsidR="00DB6B0A" w:rsidRDefault="00DB6B0A" w:rsidP="00DB6B0A">
      <w:r>
        <w:t>* Using oneself as a “case example” for learning</w:t>
      </w:r>
    </w:p>
    <w:p w14:paraId="63998DB2" w14:textId="77777777" w:rsidR="00DB6B0A" w:rsidRDefault="00DB6B0A" w:rsidP="00DB6B0A"/>
    <w:p w14:paraId="52A2F58A" w14:textId="77777777" w:rsidR="00DB6B0A" w:rsidRDefault="00DB6B0A" w:rsidP="00DB6B0A"/>
    <w:p w14:paraId="453CF568" w14:textId="77777777" w:rsidR="00630525" w:rsidRDefault="00630525" w:rsidP="00DB6B0A"/>
    <w:p w14:paraId="584B376E" w14:textId="77777777" w:rsidR="00630525" w:rsidRDefault="00630525" w:rsidP="00DB6B0A"/>
    <w:p w14:paraId="14DDD649" w14:textId="6C828706" w:rsidR="00DB6B0A" w:rsidRDefault="00DB6B0A" w:rsidP="00DB6B0A">
      <w:r>
        <w:lastRenderedPageBreak/>
        <w:t>Week 2 – Developmental Characteristics of Emerging Adulthood</w:t>
      </w:r>
    </w:p>
    <w:p w14:paraId="1D726239" w14:textId="77777777" w:rsidR="00DB6B0A" w:rsidRDefault="00DB6B0A" w:rsidP="00DB6B0A"/>
    <w:p w14:paraId="482EE4EC" w14:textId="77777777" w:rsidR="00DB6B0A" w:rsidRDefault="00DB6B0A" w:rsidP="00DB6B0A">
      <w:r>
        <w:t>* Identity exploration</w:t>
      </w:r>
    </w:p>
    <w:p w14:paraId="4A10FEC3" w14:textId="77777777" w:rsidR="00DB6B0A" w:rsidRDefault="00DB6B0A" w:rsidP="00DB6B0A">
      <w:r>
        <w:t>* Instability and self-focus</w:t>
      </w:r>
    </w:p>
    <w:p w14:paraId="090A4E31" w14:textId="77777777" w:rsidR="00DB6B0A" w:rsidRDefault="00DB6B0A" w:rsidP="00DB6B0A">
      <w:r>
        <w:t>* Feeling “in-between” adolescence and adulthood</w:t>
      </w:r>
    </w:p>
    <w:p w14:paraId="6B666EFC" w14:textId="77777777" w:rsidR="00DB6B0A" w:rsidRDefault="00DB6B0A" w:rsidP="00DB6B0A">
      <w:r>
        <w:t>* Implications for college students and service delivery</w:t>
      </w:r>
    </w:p>
    <w:p w14:paraId="53BCBACC" w14:textId="77777777" w:rsidR="00DB6B0A" w:rsidRDefault="00DB6B0A" w:rsidP="00DB6B0A"/>
    <w:p w14:paraId="0A570AB1" w14:textId="39564F2C" w:rsidR="00DB6B0A" w:rsidRDefault="00DB6B0A" w:rsidP="00DB6B0A">
      <w:r>
        <w:t>Week 3 – Psychosocial Development in Emerging Adulthood</w:t>
      </w:r>
    </w:p>
    <w:p w14:paraId="4841CEF7" w14:textId="77777777" w:rsidR="00DB6B0A" w:rsidRDefault="00DB6B0A" w:rsidP="00DB6B0A"/>
    <w:p w14:paraId="1FADA915" w14:textId="77777777" w:rsidR="00DB6B0A" w:rsidRDefault="00DB6B0A" w:rsidP="00DB6B0A">
      <w:r>
        <w:t>* Social, emotional, and cognitive development</w:t>
      </w:r>
    </w:p>
    <w:p w14:paraId="643C4BD1" w14:textId="77777777" w:rsidR="00DB6B0A" w:rsidRDefault="00DB6B0A" w:rsidP="00DB6B0A">
      <w:r>
        <w:t>* Mental health trends among emerging adults</w:t>
      </w:r>
    </w:p>
    <w:p w14:paraId="78356BD0" w14:textId="77777777" w:rsidR="00DB6B0A" w:rsidRDefault="00DB6B0A" w:rsidP="00DB6B0A">
      <w:r>
        <w:t>* Risk-taking, resilience, and protective factors</w:t>
      </w:r>
    </w:p>
    <w:p w14:paraId="3475F111" w14:textId="77777777" w:rsidR="00DB6B0A" w:rsidRDefault="00DB6B0A" w:rsidP="00DB6B0A">
      <w:r>
        <w:t>* Cultural and contextual influences</w:t>
      </w:r>
    </w:p>
    <w:p w14:paraId="2BADDF3C" w14:textId="77777777" w:rsidR="00DB6B0A" w:rsidRDefault="00DB6B0A" w:rsidP="00DB6B0A"/>
    <w:p w14:paraId="4859D444" w14:textId="7CC1F9D2" w:rsidR="00DB6B0A" w:rsidRDefault="00DB6B0A" w:rsidP="00DB6B0A">
      <w:r>
        <w:t>Week 4 – Education, Employment, and Career Exploration</w:t>
      </w:r>
    </w:p>
    <w:p w14:paraId="39311BE1" w14:textId="77777777" w:rsidR="00DB6B0A" w:rsidRDefault="00DB6B0A" w:rsidP="00DB6B0A"/>
    <w:p w14:paraId="2C076526" w14:textId="77777777" w:rsidR="00DB6B0A" w:rsidRDefault="00DB6B0A" w:rsidP="00DB6B0A">
      <w:r>
        <w:t>* Postsecondary education pathways</w:t>
      </w:r>
    </w:p>
    <w:p w14:paraId="32C0378D" w14:textId="77777777" w:rsidR="00DB6B0A" w:rsidRDefault="00DB6B0A" w:rsidP="00DB6B0A">
      <w:r>
        <w:t>* Career exploration and vocational identity</w:t>
      </w:r>
    </w:p>
    <w:p w14:paraId="131FE069" w14:textId="77777777" w:rsidR="00DB6B0A" w:rsidRDefault="00DB6B0A" w:rsidP="00DB6B0A">
      <w:r>
        <w:t>* Work experiences during emerging adulthood</w:t>
      </w:r>
    </w:p>
    <w:p w14:paraId="5B090509" w14:textId="71C7444A" w:rsidR="00DB6B0A" w:rsidRDefault="00DB6B0A" w:rsidP="00DB6B0A">
      <w:r>
        <w:t>* Role of rehabilitation professionals in career developmen</w:t>
      </w:r>
      <w:r>
        <w:t>t</w:t>
      </w:r>
    </w:p>
    <w:p w14:paraId="353BF8A8" w14:textId="77777777" w:rsidR="00DB6B0A" w:rsidRDefault="00DB6B0A" w:rsidP="00DB6B0A"/>
    <w:p w14:paraId="0412FF51" w14:textId="35191951" w:rsidR="00DB6B0A" w:rsidRDefault="00DB6B0A" w:rsidP="00DB6B0A">
      <w:r>
        <w:t>Week 5 – Independent Living and Life Skills</w:t>
      </w:r>
    </w:p>
    <w:p w14:paraId="67D9801E" w14:textId="77777777" w:rsidR="00DB6B0A" w:rsidRDefault="00DB6B0A" w:rsidP="00DB6B0A"/>
    <w:p w14:paraId="1E14F9DC" w14:textId="77777777" w:rsidR="00DB6B0A" w:rsidRDefault="00DB6B0A" w:rsidP="00DB6B0A">
      <w:r>
        <w:t>* Housing, transportation, and financial literacy</w:t>
      </w:r>
    </w:p>
    <w:p w14:paraId="25C2232C" w14:textId="77777777" w:rsidR="00DB6B0A" w:rsidRDefault="00DB6B0A" w:rsidP="00DB6B0A">
      <w:r>
        <w:t>* Health care decision-making and self-management</w:t>
      </w:r>
    </w:p>
    <w:p w14:paraId="23CC15F2" w14:textId="77777777" w:rsidR="00DB6B0A" w:rsidRDefault="00DB6B0A" w:rsidP="00DB6B0A">
      <w:r>
        <w:t xml:space="preserve">* Technology and independent living </w:t>
      </w:r>
      <w:proofErr w:type="gramStart"/>
      <w:r>
        <w:t>supports</w:t>
      </w:r>
      <w:proofErr w:type="gramEnd"/>
    </w:p>
    <w:p w14:paraId="677298EA" w14:textId="77777777" w:rsidR="00DB6B0A" w:rsidRDefault="00DB6B0A" w:rsidP="00DB6B0A">
      <w:r>
        <w:t>* Emerging adulthood and autonomy development</w:t>
      </w:r>
    </w:p>
    <w:p w14:paraId="32612519" w14:textId="77777777" w:rsidR="00DB6B0A" w:rsidRDefault="00DB6B0A" w:rsidP="00DB6B0A"/>
    <w:p w14:paraId="53D8ECA0" w14:textId="7DA190D3" w:rsidR="00DB6B0A" w:rsidRDefault="00DB6B0A" w:rsidP="00DB6B0A">
      <w:r>
        <w:t>Week 6 – Relationships, Family Systems, and Social Networks</w:t>
      </w:r>
    </w:p>
    <w:p w14:paraId="43FA86F9" w14:textId="77777777" w:rsidR="00DB6B0A" w:rsidRDefault="00DB6B0A" w:rsidP="00DB6B0A"/>
    <w:p w14:paraId="7D18D7EB" w14:textId="77777777" w:rsidR="00DB6B0A" w:rsidRDefault="00DB6B0A" w:rsidP="00DB6B0A">
      <w:r>
        <w:t>* Peer relationships and romantic partnerships</w:t>
      </w:r>
    </w:p>
    <w:p w14:paraId="3D204DEE" w14:textId="77777777" w:rsidR="00DB6B0A" w:rsidRDefault="00DB6B0A" w:rsidP="00DB6B0A">
      <w:r>
        <w:t>* Changing family dynamics and support expectations</w:t>
      </w:r>
    </w:p>
    <w:p w14:paraId="1B5A6B2B" w14:textId="77777777" w:rsidR="00DB6B0A" w:rsidRDefault="00DB6B0A" w:rsidP="00DB6B0A">
      <w:r>
        <w:t>* Natural supports vs. formal supports</w:t>
      </w:r>
    </w:p>
    <w:p w14:paraId="76CE23F0" w14:textId="77777777" w:rsidR="00DB6B0A" w:rsidRDefault="00DB6B0A" w:rsidP="00DB6B0A">
      <w:r>
        <w:t>* Implications for individuals with disabilities</w:t>
      </w:r>
    </w:p>
    <w:p w14:paraId="5D45ADCA" w14:textId="77777777" w:rsidR="00DB6B0A" w:rsidRDefault="00DB6B0A" w:rsidP="00DB6B0A"/>
    <w:p w14:paraId="5529051C" w14:textId="1C59085E" w:rsidR="00DB6B0A" w:rsidRDefault="00DB6B0A" w:rsidP="00DB6B0A">
      <w:r>
        <w:t>Week 7 – Emerging Adulthood for Individuals with Disabilities</w:t>
      </w:r>
    </w:p>
    <w:p w14:paraId="21B5DE23" w14:textId="77777777" w:rsidR="00DB6B0A" w:rsidRDefault="00DB6B0A" w:rsidP="00DB6B0A"/>
    <w:p w14:paraId="5917ABD2" w14:textId="77777777" w:rsidR="00DB6B0A" w:rsidRDefault="00DB6B0A" w:rsidP="00DB6B0A">
      <w:r>
        <w:t>* Delayed or altered transitions to adulthood</w:t>
      </w:r>
    </w:p>
    <w:p w14:paraId="7C277F96" w14:textId="77777777" w:rsidR="00DB6B0A" w:rsidRDefault="00DB6B0A" w:rsidP="00DB6B0A">
      <w:r>
        <w:t>* Intersection of disability, identity, and independence</w:t>
      </w:r>
    </w:p>
    <w:p w14:paraId="125697B4" w14:textId="77777777" w:rsidR="00DB6B0A" w:rsidRDefault="00DB6B0A" w:rsidP="00DB6B0A">
      <w:r>
        <w:t>* Barriers and facilitators to adult outcomes</w:t>
      </w:r>
    </w:p>
    <w:p w14:paraId="1F0691C2" w14:textId="77777777" w:rsidR="00DB6B0A" w:rsidRDefault="00DB6B0A" w:rsidP="00DB6B0A">
      <w:r>
        <w:t>* Preparing to bridge emerging adulthood with transition services</w:t>
      </w:r>
    </w:p>
    <w:p w14:paraId="6DCD452D" w14:textId="430988E0" w:rsidR="00DB6B0A" w:rsidRDefault="00DB6B0A" w:rsidP="00DB6B0A"/>
    <w:p w14:paraId="7FE0775E" w14:textId="2F795EA4" w:rsidR="00DB6B0A" w:rsidRPr="00DB6B0A" w:rsidRDefault="00DB6B0A" w:rsidP="00DB6B0A">
      <w:pPr>
        <w:rPr>
          <w:b/>
          <w:bCs/>
          <w:i/>
          <w:iCs/>
        </w:rPr>
      </w:pPr>
      <w:r>
        <w:rPr>
          <w:b/>
          <w:bCs/>
          <w:i/>
          <w:iCs/>
        </w:rPr>
        <w:t>Midterm Exam</w:t>
      </w:r>
    </w:p>
    <w:p w14:paraId="6242105F" w14:textId="77777777" w:rsidR="00DB6B0A" w:rsidRDefault="00DB6B0A" w:rsidP="00DB6B0A"/>
    <w:p w14:paraId="76E3C150" w14:textId="7FE66398" w:rsidR="00DB6B0A" w:rsidRDefault="00DB6B0A" w:rsidP="00DB6B0A">
      <w:r>
        <w:t>Week 8 – Introduction to Transition Services</w:t>
      </w:r>
    </w:p>
    <w:p w14:paraId="1A7BFE8B" w14:textId="77777777" w:rsidR="00DB6B0A" w:rsidRDefault="00DB6B0A" w:rsidP="00DB6B0A"/>
    <w:p w14:paraId="21E0E44D" w14:textId="77777777" w:rsidR="00DB6B0A" w:rsidRDefault="00DB6B0A" w:rsidP="00DB6B0A">
      <w:r>
        <w:t>* Definition and purpose of transition services</w:t>
      </w:r>
    </w:p>
    <w:p w14:paraId="4BA33497" w14:textId="77777777" w:rsidR="00DB6B0A" w:rsidRDefault="00DB6B0A" w:rsidP="00DB6B0A">
      <w:r>
        <w:t>* Legal foundations (IDEA transition requirements)</w:t>
      </w:r>
    </w:p>
    <w:p w14:paraId="4F255DCB" w14:textId="77777777" w:rsidR="00DB6B0A" w:rsidRDefault="00DB6B0A" w:rsidP="00DB6B0A">
      <w:r>
        <w:lastRenderedPageBreak/>
        <w:t>* Transition planning as a process, not an event</w:t>
      </w:r>
    </w:p>
    <w:p w14:paraId="678C25E3" w14:textId="77777777" w:rsidR="00DB6B0A" w:rsidRDefault="00DB6B0A" w:rsidP="00DB6B0A">
      <w:r>
        <w:t>* Connection between emerging adulthood and transition outcomes</w:t>
      </w:r>
    </w:p>
    <w:p w14:paraId="069659F3" w14:textId="77777777" w:rsidR="00DB6B0A" w:rsidRDefault="00DB6B0A" w:rsidP="00DB6B0A"/>
    <w:p w14:paraId="510562A5" w14:textId="5E62E64F" w:rsidR="00DB6B0A" w:rsidRDefault="00DB6B0A" w:rsidP="00DB6B0A">
      <w:r>
        <w:t>Week 9 – The Transition Planning Process and the IEP</w:t>
      </w:r>
    </w:p>
    <w:p w14:paraId="56A62397" w14:textId="77777777" w:rsidR="00DB6B0A" w:rsidRDefault="00DB6B0A" w:rsidP="00DB6B0A"/>
    <w:p w14:paraId="3EB034EB" w14:textId="77777777" w:rsidR="00DB6B0A" w:rsidRDefault="00DB6B0A" w:rsidP="00DB6B0A">
      <w:r>
        <w:t>* Transition components of the IEP</w:t>
      </w:r>
    </w:p>
    <w:p w14:paraId="08EAE5C7" w14:textId="77777777" w:rsidR="00DB6B0A" w:rsidRDefault="00DB6B0A" w:rsidP="00DB6B0A">
      <w:r>
        <w:t>* Measurable postsecondary goals</w:t>
      </w:r>
    </w:p>
    <w:p w14:paraId="367DC4EE" w14:textId="77777777" w:rsidR="00DB6B0A" w:rsidRDefault="00DB6B0A" w:rsidP="00DB6B0A">
      <w:r>
        <w:t>* Age-appropriate transition assessments</w:t>
      </w:r>
    </w:p>
    <w:p w14:paraId="11F8BCCC" w14:textId="77777777" w:rsidR="00DB6B0A" w:rsidRDefault="00DB6B0A" w:rsidP="00DB6B0A">
      <w:r>
        <w:t>* Student-centered planning and voice</w:t>
      </w:r>
    </w:p>
    <w:p w14:paraId="0E6FABE3" w14:textId="77777777" w:rsidR="00DB6B0A" w:rsidRDefault="00DB6B0A" w:rsidP="00DB6B0A"/>
    <w:p w14:paraId="6D21EBC5" w14:textId="5AF52E6A" w:rsidR="00DB6B0A" w:rsidRDefault="00DB6B0A" w:rsidP="00DB6B0A">
      <w:r>
        <w:t>Week 10 – Postsecondary Education and Training Supports</w:t>
      </w:r>
    </w:p>
    <w:p w14:paraId="495EC945" w14:textId="77777777" w:rsidR="00DB6B0A" w:rsidRDefault="00DB6B0A" w:rsidP="00DB6B0A"/>
    <w:p w14:paraId="545C3AB3" w14:textId="77777777" w:rsidR="00DB6B0A" w:rsidRDefault="00DB6B0A" w:rsidP="00DB6B0A">
      <w:r>
        <w:t>* College vs. high school supports (IDEA vs. ADA/504)</w:t>
      </w:r>
    </w:p>
    <w:p w14:paraId="7144CEAC" w14:textId="77777777" w:rsidR="00DB6B0A" w:rsidRDefault="00DB6B0A" w:rsidP="00DB6B0A">
      <w:r>
        <w:t>* Disability services offices and accommodations</w:t>
      </w:r>
    </w:p>
    <w:p w14:paraId="77B9A108" w14:textId="77777777" w:rsidR="00DB6B0A" w:rsidRDefault="00DB6B0A" w:rsidP="00DB6B0A">
      <w:r>
        <w:t>* Self-advocacy and disclosure decisions</w:t>
      </w:r>
    </w:p>
    <w:p w14:paraId="2763962F" w14:textId="77777777" w:rsidR="00DB6B0A" w:rsidRDefault="00DB6B0A" w:rsidP="00DB6B0A">
      <w:r>
        <w:t>* Supporting emerging adults in higher education settings</w:t>
      </w:r>
    </w:p>
    <w:p w14:paraId="328560AB" w14:textId="77777777" w:rsidR="00DB6B0A" w:rsidRDefault="00DB6B0A" w:rsidP="00DB6B0A"/>
    <w:p w14:paraId="41DA408F" w14:textId="57399E3C" w:rsidR="00DB6B0A" w:rsidRDefault="00DB6B0A" w:rsidP="00DB6B0A">
      <w:r>
        <w:t>Week 11 – Employment and Vocational Transition Services</w:t>
      </w:r>
    </w:p>
    <w:p w14:paraId="6CEB8FE1" w14:textId="77777777" w:rsidR="00DB6B0A" w:rsidRDefault="00DB6B0A" w:rsidP="00DB6B0A"/>
    <w:p w14:paraId="23FB9417" w14:textId="77777777" w:rsidR="00DB6B0A" w:rsidRDefault="00DB6B0A" w:rsidP="00DB6B0A">
      <w:r>
        <w:t>* Competitive integrated employment</w:t>
      </w:r>
    </w:p>
    <w:p w14:paraId="056CF8AC" w14:textId="77777777" w:rsidR="00DB6B0A" w:rsidRDefault="00DB6B0A" w:rsidP="00DB6B0A">
      <w:r>
        <w:t>* Pre-Employment Transition Services (Pre-ETS)</w:t>
      </w:r>
    </w:p>
    <w:p w14:paraId="408C8872" w14:textId="77777777" w:rsidR="00DB6B0A" w:rsidRDefault="00DB6B0A" w:rsidP="00DB6B0A">
      <w:r>
        <w:t>* Vocational Rehabilitation (VR) roles and services</w:t>
      </w:r>
    </w:p>
    <w:p w14:paraId="6A5B4C76" w14:textId="77777777" w:rsidR="00DB6B0A" w:rsidRDefault="00DB6B0A" w:rsidP="00DB6B0A">
      <w:r>
        <w:t>* Career development across emerging adulthood</w:t>
      </w:r>
    </w:p>
    <w:p w14:paraId="4B913CE8" w14:textId="77777777" w:rsidR="00DB6B0A" w:rsidRDefault="00DB6B0A" w:rsidP="00DB6B0A"/>
    <w:p w14:paraId="1DDA7BA8" w14:textId="455E2A8D" w:rsidR="00DB6B0A" w:rsidRDefault="00DB6B0A" w:rsidP="00DB6B0A">
      <w:r>
        <w:t>Week 12 – Independent Living and Community Participation</w:t>
      </w:r>
    </w:p>
    <w:p w14:paraId="61C69AAB" w14:textId="77777777" w:rsidR="00DB6B0A" w:rsidRDefault="00DB6B0A" w:rsidP="00DB6B0A"/>
    <w:p w14:paraId="1B288CA2" w14:textId="77777777" w:rsidR="00DB6B0A" w:rsidRDefault="00DB6B0A" w:rsidP="00DB6B0A">
      <w:r>
        <w:t>* Independent living skills instruction</w:t>
      </w:r>
    </w:p>
    <w:p w14:paraId="7DA7D5A6" w14:textId="77777777" w:rsidR="00DB6B0A" w:rsidRDefault="00DB6B0A" w:rsidP="00DB6B0A">
      <w:r>
        <w:t>* Transportation, housing, and community access</w:t>
      </w:r>
    </w:p>
    <w:p w14:paraId="2ABC475A" w14:textId="77777777" w:rsidR="00DB6B0A" w:rsidRDefault="00DB6B0A" w:rsidP="00DB6B0A">
      <w:r>
        <w:t>* Centers for Independent Living (CILs)</w:t>
      </w:r>
    </w:p>
    <w:p w14:paraId="140A1FE4" w14:textId="77777777" w:rsidR="00DB6B0A" w:rsidRDefault="00DB6B0A" w:rsidP="00DB6B0A">
      <w:r>
        <w:t>* Promoting autonomy and choice</w:t>
      </w:r>
    </w:p>
    <w:p w14:paraId="63761949" w14:textId="77777777" w:rsidR="00DB6B0A" w:rsidRDefault="00DB6B0A" w:rsidP="00DB6B0A"/>
    <w:p w14:paraId="44B4ECD8" w14:textId="7EB87F82" w:rsidR="00DB6B0A" w:rsidRDefault="00DB6B0A" w:rsidP="00DB6B0A">
      <w:r>
        <w:t>Week 13 – Related Services and Interdisciplinary Collaboration</w:t>
      </w:r>
    </w:p>
    <w:p w14:paraId="6BEF06D0" w14:textId="77777777" w:rsidR="00DB6B0A" w:rsidRDefault="00DB6B0A" w:rsidP="00DB6B0A"/>
    <w:p w14:paraId="4BE54C6D" w14:textId="77777777" w:rsidR="00DB6B0A" w:rsidRDefault="00DB6B0A" w:rsidP="00DB6B0A">
      <w:r>
        <w:t>* Role of OT, PT, SLP, counseling, and other providers</w:t>
      </w:r>
    </w:p>
    <w:p w14:paraId="36B1DCF9" w14:textId="77777777" w:rsidR="00DB6B0A" w:rsidRDefault="00DB6B0A" w:rsidP="00DB6B0A">
      <w:r>
        <w:t>* Transition-focused related services</w:t>
      </w:r>
    </w:p>
    <w:p w14:paraId="6076FB18" w14:textId="77777777" w:rsidR="00DB6B0A" w:rsidRDefault="00DB6B0A" w:rsidP="00DB6B0A">
      <w:r>
        <w:t>* Interagency collaboration and teamwork</w:t>
      </w:r>
    </w:p>
    <w:p w14:paraId="4F8BC23A" w14:textId="77777777" w:rsidR="00DB6B0A" w:rsidRDefault="00DB6B0A" w:rsidP="00DB6B0A">
      <w:r>
        <w:t>* Ethical and professional considerations</w:t>
      </w:r>
    </w:p>
    <w:p w14:paraId="3FA7043C" w14:textId="77777777" w:rsidR="00DB6B0A" w:rsidRDefault="00DB6B0A" w:rsidP="00DB6B0A"/>
    <w:p w14:paraId="055A517C" w14:textId="438DE7F6" w:rsidR="00DB6B0A" w:rsidRDefault="00DB6B0A" w:rsidP="00DB6B0A">
      <w:r>
        <w:t>Week 14 – Transition for Diverse and Marginalized Populations</w:t>
      </w:r>
    </w:p>
    <w:p w14:paraId="74F4B3CC" w14:textId="77777777" w:rsidR="00DB6B0A" w:rsidRDefault="00DB6B0A" w:rsidP="00DB6B0A"/>
    <w:p w14:paraId="6AA28A53" w14:textId="77777777" w:rsidR="00DB6B0A" w:rsidRDefault="00DB6B0A" w:rsidP="00DB6B0A">
      <w:r>
        <w:t>* Cultural, linguistic, and socioeconomic considerations</w:t>
      </w:r>
    </w:p>
    <w:p w14:paraId="78A17DAC" w14:textId="77777777" w:rsidR="00DB6B0A" w:rsidRDefault="00DB6B0A" w:rsidP="00DB6B0A">
      <w:r>
        <w:t>* Transition for students with intellectual and developmental disabilities</w:t>
      </w:r>
    </w:p>
    <w:p w14:paraId="665F226C" w14:textId="77777777" w:rsidR="00DB6B0A" w:rsidRDefault="00DB6B0A" w:rsidP="00DB6B0A">
      <w:r>
        <w:t>* Mental health, justice-involved youth, and foster care</w:t>
      </w:r>
    </w:p>
    <w:p w14:paraId="6AB87B7F" w14:textId="77777777" w:rsidR="00DB6B0A" w:rsidRDefault="00DB6B0A" w:rsidP="00DB6B0A">
      <w:r>
        <w:t>* Equity-focused transition planning</w:t>
      </w:r>
    </w:p>
    <w:p w14:paraId="4266B76A" w14:textId="77777777" w:rsidR="00DB6B0A" w:rsidRDefault="00DB6B0A" w:rsidP="00DB6B0A"/>
    <w:p w14:paraId="79973625" w14:textId="383EF4BD" w:rsidR="00DB6B0A" w:rsidRDefault="00DB6B0A" w:rsidP="00DB6B0A">
      <w:r>
        <w:t>Week 15 – Future Directions and Professional Roles</w:t>
      </w:r>
    </w:p>
    <w:p w14:paraId="39052513" w14:textId="77777777" w:rsidR="00DB6B0A" w:rsidRDefault="00DB6B0A" w:rsidP="00DB6B0A"/>
    <w:p w14:paraId="156C1881" w14:textId="77777777" w:rsidR="00DB6B0A" w:rsidRDefault="00DB6B0A" w:rsidP="00DB6B0A">
      <w:r>
        <w:t>* Trends in transition and adult services</w:t>
      </w:r>
    </w:p>
    <w:p w14:paraId="6EF4D517" w14:textId="77777777" w:rsidR="00DB6B0A" w:rsidRDefault="00DB6B0A" w:rsidP="00DB6B0A">
      <w:r>
        <w:lastRenderedPageBreak/>
        <w:t>* Emerging adulthood beyond age 21</w:t>
      </w:r>
    </w:p>
    <w:p w14:paraId="419FD774" w14:textId="77777777" w:rsidR="00DB6B0A" w:rsidRDefault="00DB6B0A" w:rsidP="00DB6B0A">
      <w:r>
        <w:t>* Professional identity in rehabilitation and disability services</w:t>
      </w:r>
    </w:p>
    <w:p w14:paraId="64839D56" w14:textId="77777777" w:rsidR="00DB6B0A" w:rsidRDefault="00DB6B0A" w:rsidP="00DB6B0A"/>
    <w:p w14:paraId="56FA600A" w14:textId="77777777" w:rsidR="00501536" w:rsidRPr="0081105E" w:rsidRDefault="00501536" w:rsidP="00501536"/>
    <w:p w14:paraId="5E435472" w14:textId="30E5272F" w:rsidR="00501536" w:rsidRPr="0081105E" w:rsidRDefault="00C25C9C" w:rsidP="00501536">
      <w:r>
        <w:rPr>
          <w:b/>
        </w:rPr>
        <w:t>April 2</w:t>
      </w:r>
      <w:r w:rsidR="00701632">
        <w:rPr>
          <w:b/>
        </w:rPr>
        <w:t>4th</w:t>
      </w:r>
      <w:r w:rsidR="00501536">
        <w:t xml:space="preserve"> </w:t>
      </w:r>
      <w:r w:rsidR="00FD627E">
        <w:t xml:space="preserve">- </w:t>
      </w:r>
      <w:r w:rsidR="00501536" w:rsidRPr="00FD627E">
        <w:rPr>
          <w:b/>
          <w:i/>
        </w:rPr>
        <w:t>final examination</w:t>
      </w:r>
    </w:p>
    <w:p w14:paraId="2F35194A" w14:textId="77777777" w:rsidR="00501536" w:rsidRPr="0024618B" w:rsidRDefault="0050153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pPr>
    </w:p>
    <w:p w14:paraId="78E0033A" w14:textId="77777777" w:rsidR="0024618B" w:rsidRPr="0081105E" w:rsidRDefault="0024618B"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p>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77777777" w:rsidR="00143266" w:rsidRPr="0081105E" w:rsidRDefault="00143266" w:rsidP="00143266">
      <w:pPr>
        <w:pStyle w:val="ColorfulList-Accent11"/>
        <w:ind w:left="0"/>
      </w:pPr>
      <w:r w:rsidRPr="0081105E">
        <w:t xml:space="preserve">NOTE: The Student Policy </w:t>
      </w:r>
      <w:proofErr w:type="spellStart"/>
      <w:r w:rsidRPr="0081105E">
        <w:t>eHandbook</w:t>
      </w:r>
      <w:proofErr w:type="spellEnd"/>
      <w:r w:rsidRPr="0081105E">
        <w:t xml:space="preserve"> is no longer in existence. Its replacement is the </w:t>
      </w:r>
      <w:hyperlink r:id="rId8" w:history="1">
        <w:r w:rsidRPr="0081105E">
          <w:rPr>
            <w:rStyle w:val="Hyperlink"/>
          </w:rPr>
          <w:t>Student Policy eHandbook</w:t>
        </w:r>
      </w:hyperlink>
      <w:r w:rsidRPr="0081105E">
        <w:t xml:space="preserve">; the URL is </w:t>
      </w:r>
      <w:hyperlink r:id="rId9" w:history="1">
        <w:r w:rsidRPr="0081105E">
          <w:rPr>
            <w:rStyle w:val="Hyperlink"/>
          </w:rPr>
          <w:t>www.auburn.edu/studentpolicies</w:t>
        </w:r>
      </w:hyperlink>
      <w:r w:rsidRPr="0081105E">
        <w:t>.</w:t>
      </w:r>
    </w:p>
    <w:p w14:paraId="35915CEA" w14:textId="77777777" w:rsidR="00143266" w:rsidRPr="0081105E" w:rsidRDefault="00143266" w:rsidP="00143266">
      <w:pPr>
        <w:ind w:left="360"/>
        <w:rPr>
          <w:b/>
          <w:bCs/>
          <w:color w:val="000000"/>
        </w:rPr>
      </w:pPr>
    </w:p>
    <w:p w14:paraId="24A643AB" w14:textId="77777777" w:rsidR="00143266" w:rsidRPr="0081105E" w:rsidRDefault="00143266" w:rsidP="00143266">
      <w:pPr>
        <w:numPr>
          <w:ilvl w:val="0"/>
          <w:numId w:val="2"/>
        </w:numPr>
      </w:pPr>
      <w:r w:rsidRPr="0081105E">
        <w:rPr>
          <w:u w:val="single"/>
        </w:rPr>
        <w:t>Attendance</w:t>
      </w:r>
      <w:r w:rsidRPr="0081105E">
        <w:t xml:space="preserve">: Students are expected to attend all classes, and will be held responsible for any content covered in the event of an absence. </w:t>
      </w:r>
    </w:p>
    <w:p w14:paraId="197EB59D" w14:textId="77777777" w:rsidR="00143266" w:rsidRPr="0081105E" w:rsidRDefault="00143266" w:rsidP="00143266">
      <w:pPr>
        <w:pStyle w:val="ColorfulList-Accent11"/>
        <w:jc w:val="both"/>
      </w:pPr>
    </w:p>
    <w:p w14:paraId="2D0A0E3F" w14:textId="77777777" w:rsidR="00143266" w:rsidRPr="0081105E" w:rsidRDefault="00143266" w:rsidP="00143266">
      <w:pPr>
        <w:numPr>
          <w:ilvl w:val="0"/>
          <w:numId w:val="2"/>
        </w:numPr>
      </w:pPr>
      <w:r w:rsidRPr="0081105E">
        <w:rPr>
          <w:u w:val="single"/>
        </w:rPr>
        <w:t>Excused absences</w:t>
      </w:r>
      <w:r w:rsidRPr="0081105E">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81105E">
        <w:rPr>
          <w:i/>
        </w:rPr>
        <w:t xml:space="preserve">Student Policy </w:t>
      </w:r>
      <w:proofErr w:type="spellStart"/>
      <w:r w:rsidRPr="0081105E">
        <w:rPr>
          <w:i/>
        </w:rPr>
        <w:t>eHandbook</w:t>
      </w:r>
      <w:proofErr w:type="spellEnd"/>
      <w:r w:rsidRPr="0081105E">
        <w:t xml:space="preserve"> for more information on excused absences. </w:t>
      </w:r>
    </w:p>
    <w:p w14:paraId="75D141ED" w14:textId="77777777" w:rsidR="00143266" w:rsidRPr="0081105E" w:rsidRDefault="00143266" w:rsidP="00143266">
      <w:pPr>
        <w:ind w:left="720"/>
      </w:pPr>
    </w:p>
    <w:p w14:paraId="77DB2664" w14:textId="77777777" w:rsidR="00143266" w:rsidRPr="0081105E" w:rsidRDefault="00143266" w:rsidP="00143266">
      <w:pPr>
        <w:numPr>
          <w:ilvl w:val="0"/>
          <w:numId w:val="2"/>
        </w:numPr>
      </w:pPr>
      <w:r w:rsidRPr="0081105E">
        <w:rPr>
          <w:u w:val="single"/>
        </w:rPr>
        <w:t>Make-Up Policy</w:t>
      </w:r>
      <w:r w:rsidRPr="0081105E">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2D5CCFED" w14:textId="77777777" w:rsidR="00143266" w:rsidRPr="0081105E" w:rsidRDefault="00143266" w:rsidP="00143266">
      <w:pPr>
        <w:pStyle w:val="ColorfulList-Accent11"/>
      </w:pPr>
    </w:p>
    <w:p w14:paraId="5CA18BD7" w14:textId="77777777" w:rsidR="00143266" w:rsidRPr="0081105E" w:rsidRDefault="00143266" w:rsidP="00143266">
      <w:pPr>
        <w:numPr>
          <w:ilvl w:val="0"/>
          <w:numId w:val="2"/>
        </w:numPr>
      </w:pPr>
      <w:r w:rsidRPr="0081105E">
        <w:rPr>
          <w:u w:val="single"/>
        </w:rPr>
        <w:t>Written Assignments</w:t>
      </w:r>
      <w:r w:rsidRPr="0081105E">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3C7EA1A7" w14:textId="77777777" w:rsidR="00143266" w:rsidRPr="0081105E" w:rsidRDefault="00143266" w:rsidP="00143266">
      <w:pPr>
        <w:pStyle w:val="ColorfulList-Accent11"/>
      </w:pPr>
    </w:p>
    <w:p w14:paraId="610C68BF" w14:textId="77777777" w:rsidR="00143266" w:rsidRPr="0081105E" w:rsidRDefault="00143266" w:rsidP="00143266">
      <w:pPr>
        <w:ind w:left="720"/>
      </w:pPr>
      <w:r w:rsidRPr="0081105E">
        <w:t xml:space="preserve">Assignments must be turned in the day the assignment is due and during the regularly scheduled class time. Also, assignments must be turned in by the student completing the assignment. </w:t>
      </w:r>
      <w:r w:rsidRPr="0081105E">
        <w:rPr>
          <w:b/>
          <w:bCs/>
        </w:rPr>
        <w:t xml:space="preserve">No late assignments </w:t>
      </w:r>
      <w:r w:rsidRPr="0081105E">
        <w:t xml:space="preserve">will be accepted unless accompanied by an excuse approved by the university. Please submit your assignment via Canvas. If Canvas is having difficulty, please email me. </w:t>
      </w:r>
    </w:p>
    <w:p w14:paraId="341B4280" w14:textId="77777777" w:rsidR="00143266" w:rsidRPr="0081105E" w:rsidRDefault="00143266" w:rsidP="00143266">
      <w:pPr>
        <w:ind w:left="720"/>
      </w:pPr>
    </w:p>
    <w:p w14:paraId="14D2FD8C" w14:textId="77777777" w:rsidR="00143266" w:rsidRPr="0081105E" w:rsidRDefault="00143266" w:rsidP="00143266">
      <w:pPr>
        <w:ind w:left="720"/>
      </w:pPr>
      <w:r w:rsidRPr="0081105E">
        <w:t xml:space="preserve">If a student misses turning in an assignment and has a university approved excuse, he or she will have </w:t>
      </w:r>
      <w:r w:rsidRPr="0081105E">
        <w:rPr>
          <w:b/>
        </w:rPr>
        <w:t>one week</w:t>
      </w:r>
      <w:r w:rsidRPr="0081105E">
        <w:t xml:space="preserve"> from the time he or she returns to class to turn in the assignment.</w:t>
      </w:r>
    </w:p>
    <w:p w14:paraId="7D559D8D" w14:textId="77777777" w:rsidR="00143266" w:rsidRPr="0081105E" w:rsidRDefault="00143266" w:rsidP="00143266">
      <w:pPr>
        <w:ind w:left="720"/>
      </w:pPr>
    </w:p>
    <w:p w14:paraId="588A252E" w14:textId="77777777" w:rsidR="00143266" w:rsidRPr="0081105E" w:rsidRDefault="00143266" w:rsidP="00143266">
      <w:pPr>
        <w:numPr>
          <w:ilvl w:val="0"/>
          <w:numId w:val="2"/>
        </w:numPr>
      </w:pPr>
      <w:r w:rsidRPr="0081105E">
        <w:rPr>
          <w:u w:val="single"/>
        </w:rPr>
        <w:t>Academic Honesty Policy</w:t>
      </w:r>
      <w:r w:rsidRPr="0081105E">
        <w:t xml:space="preserve">: All portions of the Auburn University student academic honesty code (Title XII </w:t>
      </w:r>
      <w:hyperlink r:id="rId10" w:history="1">
        <w:r w:rsidRPr="0081105E">
          <w:rPr>
            <w:rStyle w:val="Hyperlink"/>
          </w:rPr>
          <w:t>https://sites.auburn.edu/admin/universitypolicies/Policies/AcademicHonestyCode.pdf</w:t>
        </w:r>
      </w:hyperlink>
      <w:r w:rsidRPr="0081105E">
        <w:t xml:space="preserve"> </w:t>
      </w:r>
      <w:r w:rsidRPr="0081105E">
        <w:rPr>
          <w:i/>
        </w:rPr>
        <w:t xml:space="preserve"> </w:t>
      </w:r>
      <w:r w:rsidRPr="0081105E">
        <w:t xml:space="preserve">) found in the </w:t>
      </w:r>
      <w:r w:rsidRPr="0081105E">
        <w:rPr>
          <w:i/>
        </w:rPr>
        <w:t xml:space="preserve">Student Policy </w:t>
      </w:r>
      <w:proofErr w:type="spellStart"/>
      <w:r w:rsidRPr="0081105E">
        <w:rPr>
          <w:i/>
        </w:rPr>
        <w:t>eHandbook</w:t>
      </w:r>
      <w:proofErr w:type="spellEnd"/>
      <w:r w:rsidRPr="0081105E">
        <w:rPr>
          <w:i/>
        </w:rPr>
        <w:t xml:space="preserve"> </w:t>
      </w:r>
      <w:r w:rsidRPr="0081105E">
        <w:t>will apply to university courses All academic honesty violations or alleged violations of the SGA Code of Laws will be reported to the Office of the Provost, which will then refer the case to the Academic Honesty Committee.</w:t>
      </w:r>
    </w:p>
    <w:p w14:paraId="46C13266" w14:textId="77777777" w:rsidR="00143266" w:rsidRPr="0081105E" w:rsidRDefault="00143266" w:rsidP="00143266">
      <w:pPr>
        <w:ind w:left="720"/>
      </w:pPr>
    </w:p>
    <w:p w14:paraId="7CB740FA" w14:textId="77777777" w:rsidR="00143266" w:rsidRPr="0081105E" w:rsidRDefault="00143266" w:rsidP="00143266">
      <w:pPr>
        <w:numPr>
          <w:ilvl w:val="0"/>
          <w:numId w:val="2"/>
        </w:numPr>
      </w:pPr>
      <w:r w:rsidRPr="0081105E">
        <w:rPr>
          <w:u w:val="single"/>
        </w:rPr>
        <w:t>Disability Accommodations</w:t>
      </w:r>
      <w:r w:rsidRPr="0081105E">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44B36E" w14:textId="77777777" w:rsidR="00143266" w:rsidRPr="0081105E" w:rsidRDefault="00143266" w:rsidP="00143266"/>
    <w:p w14:paraId="6FA43922" w14:textId="77777777" w:rsidR="00143266" w:rsidRPr="0081105E" w:rsidRDefault="00143266" w:rsidP="00143266">
      <w:pPr>
        <w:numPr>
          <w:ilvl w:val="0"/>
          <w:numId w:val="2"/>
        </w:numPr>
      </w:pPr>
      <w:r w:rsidRPr="0081105E">
        <w:rPr>
          <w:u w:val="single"/>
        </w:rPr>
        <w:t>Course contingency</w:t>
      </w:r>
      <w:r w:rsidRPr="0081105E">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30B3B5" w14:textId="77777777" w:rsidR="00143266" w:rsidRPr="0081105E" w:rsidRDefault="00143266" w:rsidP="00143266">
      <w:pPr>
        <w:rPr>
          <w:i/>
        </w:rPr>
      </w:pPr>
    </w:p>
    <w:p w14:paraId="096ADF07" w14:textId="77777777" w:rsidR="00143266" w:rsidRPr="0081105E" w:rsidRDefault="00143266" w:rsidP="00143266">
      <w:pPr>
        <w:numPr>
          <w:ilvl w:val="0"/>
          <w:numId w:val="2"/>
        </w:numPr>
      </w:pPr>
      <w:r w:rsidRPr="0081105E">
        <w:rPr>
          <w:u w:val="single"/>
        </w:rPr>
        <w:t>Professionalism</w:t>
      </w:r>
      <w:r w:rsidRPr="0081105E">
        <w:t xml:space="preserve">:  As faculty, staff, and students interact in professional settings, they are expected to demonstrate professional behaviors as defined in the College’s conceptual framework </w:t>
      </w:r>
      <w:hyperlink r:id="rId11" w:history="1">
        <w:r w:rsidRPr="0081105E">
          <w:rPr>
            <w:rStyle w:val="Hyperlink"/>
          </w:rPr>
          <w:t>http://education.auburn.edu/aboutus/conceptfmwrk.html</w:t>
        </w:r>
      </w:hyperlink>
      <w:r w:rsidRPr="0081105E">
        <w:t>.  These professional commitments or dispositions are listed below:</w:t>
      </w:r>
    </w:p>
    <w:p w14:paraId="63FAD2D4" w14:textId="77777777" w:rsidR="00143266" w:rsidRPr="0081105E" w:rsidRDefault="00143266" w:rsidP="00143266">
      <w:pPr>
        <w:numPr>
          <w:ilvl w:val="1"/>
          <w:numId w:val="4"/>
        </w:numPr>
        <w:tabs>
          <w:tab w:val="left" w:pos="-1440"/>
        </w:tabs>
        <w:ind w:left="990" w:hanging="270"/>
      </w:pPr>
      <w:r w:rsidRPr="0081105E">
        <w:t>Engage in responsible and ethical professional practices</w:t>
      </w:r>
    </w:p>
    <w:p w14:paraId="2876ED34" w14:textId="77777777" w:rsidR="00143266" w:rsidRPr="0081105E" w:rsidRDefault="00143266" w:rsidP="00143266">
      <w:pPr>
        <w:numPr>
          <w:ilvl w:val="1"/>
          <w:numId w:val="4"/>
        </w:numPr>
        <w:tabs>
          <w:tab w:val="left" w:pos="-1440"/>
        </w:tabs>
        <w:ind w:left="990" w:hanging="270"/>
      </w:pPr>
      <w:r w:rsidRPr="0081105E">
        <w:t>Contribute to collaborative learning communities</w:t>
      </w:r>
    </w:p>
    <w:p w14:paraId="7576A3BA" w14:textId="77777777" w:rsidR="00143266" w:rsidRPr="0081105E" w:rsidRDefault="00143266" w:rsidP="00143266">
      <w:pPr>
        <w:numPr>
          <w:ilvl w:val="1"/>
          <w:numId w:val="4"/>
        </w:numPr>
        <w:tabs>
          <w:tab w:val="left" w:pos="-1440"/>
        </w:tabs>
        <w:ind w:left="990" w:hanging="270"/>
      </w:pPr>
      <w:r w:rsidRPr="0081105E">
        <w:t>Demonstrate a commitment to diversity</w:t>
      </w:r>
    </w:p>
    <w:p w14:paraId="63740D7B" w14:textId="77777777" w:rsidR="00143266" w:rsidRPr="0081105E" w:rsidRDefault="00143266" w:rsidP="00143266">
      <w:pPr>
        <w:numPr>
          <w:ilvl w:val="1"/>
          <w:numId w:val="4"/>
        </w:numPr>
        <w:tabs>
          <w:tab w:val="left" w:pos="-1440"/>
        </w:tabs>
        <w:ind w:left="990" w:hanging="270"/>
      </w:pPr>
      <w:r w:rsidRPr="0081105E">
        <w:t>Model and nurture intellectual vitality</w:t>
      </w:r>
    </w:p>
    <w:p w14:paraId="76360BB6" w14:textId="77777777" w:rsidR="00143266" w:rsidRPr="0081105E" w:rsidRDefault="00143266" w:rsidP="00143266">
      <w:pPr>
        <w:tabs>
          <w:tab w:val="left" w:pos="-1440"/>
        </w:tabs>
        <w:rPr>
          <w:b/>
          <w:bCs/>
        </w:rPr>
      </w:pPr>
    </w:p>
    <w:p w14:paraId="126C31C4" w14:textId="77777777" w:rsidR="00143266" w:rsidRPr="0081105E" w:rsidRDefault="00143266" w:rsidP="00143266">
      <w:pPr>
        <w:tabs>
          <w:tab w:val="left" w:pos="-1440"/>
        </w:tabs>
        <w:ind w:left="720"/>
      </w:pPr>
      <w:r w:rsidRPr="0081105E">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1105E">
        <w:rPr>
          <w:b/>
          <w:bCs/>
          <w:i/>
          <w:iCs/>
        </w:rPr>
        <w:t xml:space="preserve">Student Policy </w:t>
      </w:r>
      <w:proofErr w:type="spellStart"/>
      <w:r w:rsidRPr="0081105E">
        <w:rPr>
          <w:b/>
          <w:bCs/>
          <w:i/>
          <w:iCs/>
        </w:rPr>
        <w:t>eHandbook</w:t>
      </w:r>
      <w:proofErr w:type="spellEnd"/>
      <w:r w:rsidRPr="0081105E">
        <w:t xml:space="preserve"> </w:t>
      </w:r>
      <w:hyperlink r:id="rId12" w:history="1">
        <w:r w:rsidRPr="0081105E">
          <w:rPr>
            <w:rStyle w:val="Hyperlink"/>
          </w:rPr>
          <w:t>h</w:t>
        </w:r>
        <w:r w:rsidRPr="0081105E">
          <w:rPr>
            <w:rStyle w:val="Hyperlink"/>
            <w:bCs/>
            <w:iCs/>
          </w:rPr>
          <w:t>ttps://sites.auburn.edu/admin/universitypolicies/Policies/PolicyonClassroomBehavior.pdf</w:t>
        </w:r>
      </w:hyperlink>
      <w:r w:rsidRPr="0081105E">
        <w:t>).</w:t>
      </w:r>
    </w:p>
    <w:p w14:paraId="5BBDEE5D" w14:textId="77777777" w:rsidR="00143266" w:rsidRPr="0081105E" w:rsidRDefault="00143266" w:rsidP="00143266">
      <w:pPr>
        <w:ind w:left="720"/>
        <w:rPr>
          <w:u w:val="single"/>
        </w:rPr>
      </w:pPr>
    </w:p>
    <w:p w14:paraId="661AC7B9" w14:textId="6DDAA7B5" w:rsidR="003A1C98" w:rsidRPr="0081105E" w:rsidRDefault="003A1C98" w:rsidP="0028110D">
      <w:pPr>
        <w:ind w:left="360"/>
      </w:pPr>
    </w:p>
    <w:sectPr w:rsidR="003A1C98" w:rsidRPr="0081105E" w:rsidSect="00F26B00">
      <w:headerReference w:type="even" r:id="rId13"/>
      <w:headerReference w:type="default"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5E5C" w14:textId="77777777" w:rsidR="000E3BFE" w:rsidRDefault="000E3BFE">
      <w:r>
        <w:separator/>
      </w:r>
    </w:p>
  </w:endnote>
  <w:endnote w:type="continuationSeparator" w:id="0">
    <w:p w14:paraId="0DBE436A" w14:textId="77777777" w:rsidR="000E3BFE" w:rsidRDefault="000E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896A" w14:textId="09F5EFCB" w:rsidR="002418D8" w:rsidRDefault="002418D8" w:rsidP="005849BF">
    <w:pPr>
      <w:tabs>
        <w:tab w:val="left" w:pos="7560"/>
      </w:tabs>
      <w:ind w:right="180"/>
      <w:rPr>
        <w:sz w:val="18"/>
        <w:szCs w:val="18"/>
      </w:rPr>
    </w:pPr>
    <w:r>
      <w:rPr>
        <w:sz w:val="18"/>
        <w:szCs w:val="18"/>
      </w:rPr>
      <w:t xml:space="preserve">RSED </w:t>
    </w:r>
    <w:r w:rsidR="00B64793">
      <w:rPr>
        <w:sz w:val="18"/>
        <w:szCs w:val="18"/>
      </w:rPr>
      <w:t>5300</w:t>
    </w:r>
    <w:r>
      <w:rPr>
        <w:sz w:val="18"/>
        <w:szCs w:val="18"/>
      </w:rPr>
      <w:t xml:space="preserve">: Transition </w:t>
    </w:r>
    <w:r w:rsidR="00B64793">
      <w:rPr>
        <w:sz w:val="18"/>
        <w:szCs w:val="18"/>
      </w:rPr>
      <w:t>and</w:t>
    </w:r>
    <w:r>
      <w:rPr>
        <w:sz w:val="18"/>
        <w:szCs w:val="18"/>
      </w:rPr>
      <w:t xml:space="preserve"> Emerging Adulthood</w:t>
    </w:r>
    <w:r w:rsidR="00B64793">
      <w:rPr>
        <w:sz w:val="18"/>
        <w:szCs w:val="18"/>
      </w:rPr>
      <w:t xml:space="preserve"> in Rehabilitation</w:t>
    </w:r>
    <w:r>
      <w:rPr>
        <w:sz w:val="18"/>
        <w:szCs w:val="18"/>
      </w:rPr>
      <w:t xml:space="preserve"> Syllabus</w:t>
    </w:r>
  </w:p>
  <w:p w14:paraId="13004FBF" w14:textId="6D64FA61" w:rsidR="002418D8" w:rsidRPr="00C44D95" w:rsidRDefault="00091445" w:rsidP="005849BF">
    <w:pPr>
      <w:tabs>
        <w:tab w:val="left" w:pos="7560"/>
      </w:tabs>
      <w:ind w:right="180"/>
      <w:rPr>
        <w:sz w:val="18"/>
        <w:szCs w:val="18"/>
      </w:rPr>
    </w:pPr>
    <w:r>
      <w:rPr>
        <w:sz w:val="18"/>
        <w:szCs w:val="18"/>
      </w:rPr>
      <w:t>Derzis: Spring Semester 20</w:t>
    </w:r>
    <w:r w:rsidR="00B64793">
      <w:rPr>
        <w:sz w:val="18"/>
        <w:szCs w:val="18"/>
      </w:rPr>
      <w:t>2</w:t>
    </w:r>
    <w:r w:rsidR="00DB6B0A">
      <w:rPr>
        <w:sz w:val="18"/>
        <w:szCs w:val="18"/>
      </w:rPr>
      <w:t>6</w:t>
    </w:r>
    <w:r w:rsidR="002418D8">
      <w:rPr>
        <w:sz w:val="18"/>
        <w:szCs w:val="18"/>
      </w:rPr>
      <w:tab/>
    </w:r>
    <w:r w:rsidR="002418D8" w:rsidRPr="00C44D95">
      <w:rPr>
        <w:sz w:val="18"/>
        <w:szCs w:val="18"/>
      </w:rPr>
      <w:t xml:space="preserve">Page </w:t>
    </w:r>
    <w:r w:rsidR="002418D8" w:rsidRPr="00C44D95">
      <w:rPr>
        <w:sz w:val="18"/>
        <w:szCs w:val="18"/>
      </w:rPr>
      <w:fldChar w:fldCharType="begin"/>
    </w:r>
    <w:r w:rsidR="002418D8" w:rsidRPr="00C44D95">
      <w:rPr>
        <w:sz w:val="18"/>
        <w:szCs w:val="18"/>
      </w:rPr>
      <w:instrText xml:space="preserve"> PAGE </w:instrText>
    </w:r>
    <w:r w:rsidR="002418D8" w:rsidRPr="00C44D95">
      <w:rPr>
        <w:sz w:val="18"/>
        <w:szCs w:val="18"/>
      </w:rPr>
      <w:fldChar w:fldCharType="separate"/>
    </w:r>
    <w:r w:rsidR="00EF5F3B">
      <w:rPr>
        <w:noProof/>
        <w:sz w:val="18"/>
        <w:szCs w:val="18"/>
      </w:rPr>
      <w:t>1</w:t>
    </w:r>
    <w:r w:rsidR="002418D8" w:rsidRPr="00C44D95">
      <w:rPr>
        <w:sz w:val="18"/>
        <w:szCs w:val="18"/>
      </w:rPr>
      <w:fldChar w:fldCharType="end"/>
    </w:r>
    <w:r w:rsidR="002418D8" w:rsidRPr="00C44D95">
      <w:rPr>
        <w:sz w:val="18"/>
        <w:szCs w:val="18"/>
      </w:rPr>
      <w:t xml:space="preserve"> of </w:t>
    </w:r>
    <w:r w:rsidR="002418D8" w:rsidRPr="00C44D95">
      <w:rPr>
        <w:sz w:val="18"/>
        <w:szCs w:val="18"/>
      </w:rPr>
      <w:fldChar w:fldCharType="begin"/>
    </w:r>
    <w:r w:rsidR="002418D8" w:rsidRPr="00C44D95">
      <w:rPr>
        <w:sz w:val="18"/>
        <w:szCs w:val="18"/>
      </w:rPr>
      <w:instrText xml:space="preserve"> NUMPAGES </w:instrText>
    </w:r>
    <w:r w:rsidR="002418D8" w:rsidRPr="00C44D95">
      <w:rPr>
        <w:sz w:val="18"/>
        <w:szCs w:val="18"/>
      </w:rPr>
      <w:fldChar w:fldCharType="separate"/>
    </w:r>
    <w:r w:rsidR="00EF5F3B">
      <w:rPr>
        <w:noProof/>
        <w:sz w:val="18"/>
        <w:szCs w:val="18"/>
      </w:rPr>
      <w:t>7</w:t>
    </w:r>
    <w:r w:rsidR="002418D8" w:rsidRPr="00C44D95">
      <w:rPr>
        <w:sz w:val="18"/>
        <w:szCs w:val="18"/>
      </w:rPr>
      <w:fldChar w:fldCharType="end"/>
    </w:r>
  </w:p>
  <w:p w14:paraId="0E001AA0" w14:textId="77777777" w:rsidR="002418D8" w:rsidRDefault="0024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7201" w14:textId="77777777" w:rsidR="000E3BFE" w:rsidRDefault="000E3BFE">
      <w:r>
        <w:separator/>
      </w:r>
    </w:p>
  </w:footnote>
  <w:footnote w:type="continuationSeparator" w:id="0">
    <w:p w14:paraId="0546FD59" w14:textId="77777777" w:rsidR="000E3BFE" w:rsidRDefault="000E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1AF7" w14:textId="77777777" w:rsidR="002418D8" w:rsidRDefault="002418D8"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2418D8" w:rsidRDefault="002418D8" w:rsidP="005849B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6C11" w14:textId="77777777" w:rsidR="002418D8" w:rsidRPr="00813AAF" w:rsidRDefault="002418D8"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B71"/>
    <w:multiLevelType w:val="hybridMultilevel"/>
    <w:tmpl w:val="E2E03BAE"/>
    <w:lvl w:ilvl="0" w:tplc="0BF040E0">
      <w:start w:val="1"/>
      <w:numFmt w:val="decimal"/>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16cid:durableId="1312322999">
    <w:abstractNumId w:val="1"/>
  </w:num>
  <w:num w:numId="2" w16cid:durableId="1887987561">
    <w:abstractNumId w:val="4"/>
  </w:num>
  <w:num w:numId="3" w16cid:durableId="1990287627">
    <w:abstractNumId w:val="0"/>
  </w:num>
  <w:num w:numId="4" w16cid:durableId="2069069752">
    <w:abstractNumId w:val="7"/>
  </w:num>
  <w:num w:numId="5" w16cid:durableId="114370257">
    <w:abstractNumId w:val="3"/>
  </w:num>
  <w:num w:numId="6" w16cid:durableId="130251163">
    <w:abstractNumId w:val="6"/>
  </w:num>
  <w:num w:numId="7" w16cid:durableId="1078672995">
    <w:abstractNumId w:val="2"/>
  </w:num>
  <w:num w:numId="8" w16cid:durableId="414210131">
    <w:abstractNumId w:val="5"/>
  </w:num>
  <w:num w:numId="9" w16cid:durableId="1972439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6"/>
    <w:rsid w:val="00002A2E"/>
    <w:rsid w:val="00035650"/>
    <w:rsid w:val="000735E3"/>
    <w:rsid w:val="00091445"/>
    <w:rsid w:val="000A72FA"/>
    <w:rsid w:val="000B3A3C"/>
    <w:rsid w:val="000E3BFE"/>
    <w:rsid w:val="00127214"/>
    <w:rsid w:val="00143266"/>
    <w:rsid w:val="00155A76"/>
    <w:rsid w:val="00164E3A"/>
    <w:rsid w:val="001B4090"/>
    <w:rsid w:val="001C2251"/>
    <w:rsid w:val="001D1880"/>
    <w:rsid w:val="00225B6D"/>
    <w:rsid w:val="002418D8"/>
    <w:rsid w:val="0024618B"/>
    <w:rsid w:val="0028110D"/>
    <w:rsid w:val="0029110B"/>
    <w:rsid w:val="002E224F"/>
    <w:rsid w:val="002E2449"/>
    <w:rsid w:val="003457CB"/>
    <w:rsid w:val="003724BA"/>
    <w:rsid w:val="003A1C98"/>
    <w:rsid w:val="00410180"/>
    <w:rsid w:val="00443A78"/>
    <w:rsid w:val="00477063"/>
    <w:rsid w:val="00501536"/>
    <w:rsid w:val="00557E68"/>
    <w:rsid w:val="00567D81"/>
    <w:rsid w:val="005849BF"/>
    <w:rsid w:val="00587818"/>
    <w:rsid w:val="00592764"/>
    <w:rsid w:val="005B2F3F"/>
    <w:rsid w:val="005B47DF"/>
    <w:rsid w:val="00630525"/>
    <w:rsid w:val="00634F71"/>
    <w:rsid w:val="00674BAB"/>
    <w:rsid w:val="006C2658"/>
    <w:rsid w:val="006D0086"/>
    <w:rsid w:val="00701632"/>
    <w:rsid w:val="00742F2A"/>
    <w:rsid w:val="007819C1"/>
    <w:rsid w:val="00794E30"/>
    <w:rsid w:val="0081105E"/>
    <w:rsid w:val="0081385A"/>
    <w:rsid w:val="008A45F5"/>
    <w:rsid w:val="008B0AB1"/>
    <w:rsid w:val="008C14CC"/>
    <w:rsid w:val="008E518F"/>
    <w:rsid w:val="009461DD"/>
    <w:rsid w:val="009939FF"/>
    <w:rsid w:val="009A746F"/>
    <w:rsid w:val="009B1443"/>
    <w:rsid w:val="009C4180"/>
    <w:rsid w:val="009E16F4"/>
    <w:rsid w:val="009F1E97"/>
    <w:rsid w:val="00A06999"/>
    <w:rsid w:val="00A119D4"/>
    <w:rsid w:val="00A66784"/>
    <w:rsid w:val="00AE67F6"/>
    <w:rsid w:val="00B0276A"/>
    <w:rsid w:val="00B22EA7"/>
    <w:rsid w:val="00B45868"/>
    <w:rsid w:val="00B64793"/>
    <w:rsid w:val="00C033E0"/>
    <w:rsid w:val="00C0565B"/>
    <w:rsid w:val="00C11EAE"/>
    <w:rsid w:val="00C25C9C"/>
    <w:rsid w:val="00C42793"/>
    <w:rsid w:val="00C759FE"/>
    <w:rsid w:val="00CC523D"/>
    <w:rsid w:val="00CD2684"/>
    <w:rsid w:val="00D56A74"/>
    <w:rsid w:val="00D579BA"/>
    <w:rsid w:val="00D7705B"/>
    <w:rsid w:val="00DB6B0A"/>
    <w:rsid w:val="00DF21CA"/>
    <w:rsid w:val="00E057EC"/>
    <w:rsid w:val="00E55BF6"/>
    <w:rsid w:val="00E66775"/>
    <w:rsid w:val="00E73132"/>
    <w:rsid w:val="00EB02B7"/>
    <w:rsid w:val="00EF5BF9"/>
    <w:rsid w:val="00EF5F3B"/>
    <w:rsid w:val="00F20B7D"/>
    <w:rsid w:val="00F26B00"/>
    <w:rsid w:val="00F63443"/>
    <w:rsid w:val="00FD2E26"/>
    <w:rsid w:val="00FD627E"/>
    <w:rsid w:val="00FD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478E837-CC86-485D-9050-0BE415A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paragraph" w:styleId="NormalWeb">
    <w:name w:val="Normal (Web)"/>
    <w:basedOn w:val="Normal"/>
    <w:uiPriority w:val="99"/>
    <w:unhideWhenUsed/>
    <w:rsid w:val="00CD2684"/>
    <w:pPr>
      <w:spacing w:before="100" w:beforeAutospacing="1" w:after="100" w:afterAutospacing="1"/>
    </w:pPr>
  </w:style>
  <w:style w:type="character" w:styleId="Strong">
    <w:name w:val="Strong"/>
    <w:basedOn w:val="DefaultParagraphFont"/>
    <w:uiPriority w:val="22"/>
    <w:qFormat/>
    <w:rsid w:val="00DB6B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auburn.edu/aboutus/conceptfmwrk.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Nicholas Derzis</cp:lastModifiedBy>
  <cp:revision>4</cp:revision>
  <cp:lastPrinted>2019-01-15T20:45:00Z</cp:lastPrinted>
  <dcterms:created xsi:type="dcterms:W3CDTF">2026-01-12T06:18:00Z</dcterms:created>
  <dcterms:modified xsi:type="dcterms:W3CDTF">2026-01-12T06:59:00Z</dcterms:modified>
</cp:coreProperties>
</file>