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83" w:rsidRDefault="00486ABF" w:rsidP="002D6421">
      <w:pPr>
        <w:jc w:val="center"/>
        <w:rPr>
          <w:rFonts w:ascii="Times New Roman" w:hAnsi="Times New Roman" w:cs="Times New Roman"/>
          <w:b/>
          <w:sz w:val="30"/>
        </w:rPr>
      </w:pPr>
      <w:r>
        <w:rPr>
          <w:rFonts w:ascii="Times New Roman" w:hAnsi="Times New Roman" w:cs="Times New Roman"/>
          <w:b/>
          <w:sz w:val="30"/>
        </w:rPr>
        <w:t>BASIC METHODS IN EDUCATIONAL RESEARCH</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7200</w:t>
      </w:r>
      <w:r w:rsidR="002D6421" w:rsidRPr="003A6483">
        <w:rPr>
          <w:rFonts w:ascii="Times New Roman" w:hAnsi="Times New Roman" w:cs="Times New Roman"/>
          <w:b/>
          <w:sz w:val="30"/>
        </w:rPr>
        <w:t>)</w:t>
      </w:r>
    </w:p>
    <w:p w:rsidR="00005FEF" w:rsidRPr="003A6483" w:rsidRDefault="00840B24" w:rsidP="002D6421">
      <w:pPr>
        <w:jc w:val="center"/>
        <w:rPr>
          <w:rFonts w:ascii="Times New Roman" w:hAnsi="Times New Roman" w:cs="Times New Roman"/>
          <w:b/>
          <w:sz w:val="30"/>
        </w:rPr>
      </w:pPr>
      <w:r>
        <w:rPr>
          <w:rFonts w:ascii="Times New Roman" w:hAnsi="Times New Roman" w:cs="Times New Roman"/>
          <w:b/>
          <w:sz w:val="30"/>
        </w:rPr>
        <w:t>Fall</w:t>
      </w:r>
      <w:r w:rsidR="00486ABF">
        <w:rPr>
          <w:rFonts w:ascii="Times New Roman" w:hAnsi="Times New Roman" w:cs="Times New Roman"/>
          <w:b/>
          <w:sz w:val="30"/>
        </w:rPr>
        <w:t xml:space="preserve"> 2015</w:t>
      </w:r>
    </w:p>
    <w:p w:rsidR="002930FB" w:rsidRDefault="002930FB" w:rsidP="002D6421">
      <w:pPr>
        <w:rPr>
          <w:rFonts w:ascii="Times New Roman" w:hAnsi="Times New Roman" w:cs="Times New Roman"/>
        </w:rPr>
      </w:pPr>
    </w:p>
    <w:p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p>
    <w:p w:rsidR="005E3A69" w:rsidRPr="00733F11" w:rsidRDefault="005E3A69" w:rsidP="005E3A69">
      <w:pPr>
        <w:rPr>
          <w:rFonts w:ascii="Times New Roman" w:hAnsi="Times New Roman" w:cs="Times New Roman"/>
        </w:rPr>
      </w:pPr>
      <w:r w:rsidRPr="00733F11">
        <w:rPr>
          <w:rFonts w:ascii="Times New Roman" w:hAnsi="Times New Roman" w:cs="Times New Roman"/>
        </w:rPr>
        <w:t xml:space="preserve">Class hours: </w:t>
      </w:r>
      <w:r w:rsidR="0042015E">
        <w:rPr>
          <w:rFonts w:ascii="Times New Roman" w:hAnsi="Times New Roman" w:cs="Times New Roman"/>
        </w:rPr>
        <w:t>Wednesdays</w:t>
      </w:r>
      <w:r w:rsidRPr="00733F11">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Pr="00733F11">
        <w:rPr>
          <w:rFonts w:ascii="Times New Roman" w:hAnsi="Times New Roman" w:cs="Times New Roman"/>
        </w:rPr>
        <w:t xml:space="preserve">Email: </w:t>
      </w:r>
      <w:r w:rsidR="0042015E">
        <w:rPr>
          <w:rFonts w:ascii="Times New Roman" w:hAnsi="Times New Roman" w:cs="Times New Roman"/>
        </w:rPr>
        <w:t>kks0013@auburn.edu</w:t>
      </w:r>
    </w:p>
    <w:p w:rsidR="00D66857" w:rsidRDefault="00840B24" w:rsidP="00D66857">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42015E">
        <w:rPr>
          <w:rFonts w:ascii="Times New Roman" w:hAnsi="Times New Roman" w:cs="Times New Roman"/>
        </w:rPr>
        <w:tab/>
        <w:t>Tuesdays, 9AM-11AM</w:t>
      </w:r>
      <w:r w:rsidR="00486ABF">
        <w:rPr>
          <w:rFonts w:ascii="Times New Roman" w:hAnsi="Times New Roman" w:cs="Times New Roman"/>
        </w:rPr>
        <w:tab/>
      </w:r>
      <w:r w:rsidR="00486ABF">
        <w:rPr>
          <w:rFonts w:ascii="Times New Roman" w:hAnsi="Times New Roman" w:cs="Times New Roman"/>
        </w:rPr>
        <w:tab/>
      </w:r>
      <w:r w:rsidR="00D66857" w:rsidRPr="00733F11">
        <w:rPr>
          <w:rFonts w:ascii="Times New Roman" w:hAnsi="Times New Roman" w:cs="Times New Roman"/>
        </w:rPr>
        <w:t xml:space="preserve">Office Address: </w:t>
      </w:r>
      <w:r w:rsidR="0042015E">
        <w:rPr>
          <w:rFonts w:ascii="Times New Roman" w:hAnsi="Times New Roman" w:cs="Times New Roman"/>
        </w:rPr>
        <w:t>4018 Haley Center</w:t>
      </w:r>
    </w:p>
    <w:p w:rsidR="0042015E" w:rsidRDefault="0042015E" w:rsidP="00D66857">
      <w:pPr>
        <w:rPr>
          <w:rFonts w:ascii="Times New Roman" w:hAnsi="Times New Roman" w:cs="Times New Roman"/>
        </w:rPr>
      </w:pPr>
      <w:r>
        <w:rPr>
          <w:rFonts w:ascii="Times New Roman" w:hAnsi="Times New Roman" w:cs="Times New Roman"/>
        </w:rPr>
        <w:tab/>
      </w:r>
      <w:r>
        <w:rPr>
          <w:rFonts w:ascii="Times New Roman" w:hAnsi="Times New Roman" w:cs="Times New Roman"/>
        </w:rPr>
        <w:tab/>
        <w:t>Wednesdays, 9AM-11AM</w:t>
      </w:r>
    </w:p>
    <w:p w:rsidR="005E3A69" w:rsidRPr="003A6483" w:rsidRDefault="00D66857" w:rsidP="001F5E68">
      <w:pPr>
        <w:rPr>
          <w:rFonts w:ascii="Times New Roman" w:hAnsi="Times New Roman" w:cs="Times New Roman"/>
        </w:rPr>
      </w:pPr>
      <w:r>
        <w:rPr>
          <w:rFonts w:ascii="Times New Roman" w:hAnsi="Times New Roman" w:cs="Times New Roman"/>
        </w:rPr>
        <w:tab/>
      </w:r>
      <w:r>
        <w:rPr>
          <w:rFonts w:ascii="Times New Roman" w:hAnsi="Times New Roman" w:cs="Times New Roman"/>
        </w:rPr>
        <w:tab/>
        <w:t>Or By Appointment (appointments recommended during office hours</w:t>
      </w:r>
      <w:r w:rsidR="0042015E">
        <w:rPr>
          <w:rFonts w:ascii="Times New Roman" w:hAnsi="Times New Roman" w:cs="Times New Roman"/>
        </w:rPr>
        <w:t>)</w:t>
      </w:r>
      <w:r w:rsidR="00F1330C">
        <w:rPr>
          <w:rFonts w:ascii="Times New Roman" w:hAnsi="Times New Roman" w:cs="Times New Roman"/>
        </w:rPr>
        <w:t xml:space="preserve">     </w:t>
      </w:r>
      <w:r w:rsidR="005E3A69" w:rsidRPr="00733F11">
        <w:rPr>
          <w:rFonts w:ascii="Times New Roman" w:hAnsi="Times New Roman" w:cs="Times New Roman"/>
        </w:rPr>
        <w:tab/>
      </w:r>
      <w:r w:rsidR="005E3A69" w:rsidRPr="00733F11">
        <w:rPr>
          <w:rFonts w:ascii="Times New Roman" w:hAnsi="Times New Roman" w:cs="Times New Roman"/>
        </w:rPr>
        <w:tab/>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F14CF6" w:rsidRDefault="00486ABF" w:rsidP="00D43B27">
      <w:pPr>
        <w:rPr>
          <w:rFonts w:ascii="Times New Roman" w:hAnsi="Times New Roman" w:cs="Times New Roman"/>
        </w:rPr>
      </w:pPr>
      <w:r w:rsidRPr="00486ABF">
        <w:rPr>
          <w:rFonts w:ascii="Times New Roman" w:hAnsi="Times New Roman" w:cs="Times New Roman"/>
        </w:rPr>
        <w:t>Major modes of inquiry in contemporary educational research including experimental, casual comparative, descriptive, qualitative inquiry, and action research models.</w:t>
      </w:r>
    </w:p>
    <w:p w:rsidR="00486ABF" w:rsidRDefault="00486ABF"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F14CF6" w:rsidRPr="00311E68" w:rsidRDefault="00486ABF" w:rsidP="00D43B27">
      <w:pPr>
        <w:rPr>
          <w:rFonts w:ascii="Times New Roman" w:hAnsi="Times New Roman" w:cs="Times New Roman"/>
        </w:rPr>
      </w:pPr>
      <w:r>
        <w:rPr>
          <w:rFonts w:ascii="Times New Roman" w:hAnsi="Times New Roman" w:cs="Times New Roman"/>
        </w:rPr>
        <w:t>Reading, applying, and conducting research are critical components of many education and counseling careers. All of these tasks require an understanding of the scientific process, basic research methods and designs, and the conventions of scholarly writing. In this course, you will develop a working knowledge of these processes of research through the course readings, classroom instruction, in-class and out-of-class activities, and individual projects. A major focus of the course will be to gain the knowledge, understanding, and applied skills needed to inform practice.</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D43B27" w:rsidRPr="00486ABF" w:rsidRDefault="00486ABF" w:rsidP="002D6421">
      <w:pPr>
        <w:ind w:left="720" w:hanging="720"/>
        <w:rPr>
          <w:rFonts w:ascii="Times New Roman" w:hAnsi="Times New Roman" w:cs="Times New Roman"/>
        </w:rPr>
      </w:pPr>
      <w:proofErr w:type="spellStart"/>
      <w:r>
        <w:rPr>
          <w:rFonts w:ascii="Times New Roman" w:hAnsi="Times New Roman" w:cs="Times New Roman"/>
        </w:rPr>
        <w:t>Fraenkel</w:t>
      </w:r>
      <w:proofErr w:type="spellEnd"/>
      <w:r>
        <w:rPr>
          <w:rFonts w:ascii="Times New Roman" w:hAnsi="Times New Roman" w:cs="Times New Roman"/>
        </w:rPr>
        <w:t xml:space="preserve">, J. R., </w:t>
      </w:r>
      <w:proofErr w:type="spellStart"/>
      <w:r>
        <w:rPr>
          <w:rFonts w:ascii="Times New Roman" w:hAnsi="Times New Roman" w:cs="Times New Roman"/>
        </w:rPr>
        <w:t>Wallen</w:t>
      </w:r>
      <w:proofErr w:type="spellEnd"/>
      <w:r>
        <w:rPr>
          <w:rFonts w:ascii="Times New Roman" w:hAnsi="Times New Roman" w:cs="Times New Roman"/>
        </w:rPr>
        <w:t xml:space="preserve">, N. E., Hyun, H. H. (2011). </w:t>
      </w:r>
      <w:r>
        <w:rPr>
          <w:rFonts w:ascii="Times New Roman" w:hAnsi="Times New Roman" w:cs="Times New Roman"/>
          <w:i/>
        </w:rPr>
        <w:t xml:space="preserve">How to design and evaluate research in education </w:t>
      </w:r>
      <w:r>
        <w:rPr>
          <w:rFonts w:ascii="Times New Roman" w:hAnsi="Times New Roman" w:cs="Times New Roman"/>
        </w:rPr>
        <w:t>(8</w:t>
      </w:r>
      <w:r w:rsidRPr="00486ABF">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ed</w:t>
      </w:r>
      <w:proofErr w:type="gramEnd"/>
      <w:r>
        <w:rPr>
          <w:rFonts w:ascii="Times New Roman" w:hAnsi="Times New Roman" w:cs="Times New Roman"/>
        </w:rPr>
        <w:t>.). New York, NY: McGraw Hill.</w:t>
      </w:r>
    </w:p>
    <w:p w:rsidR="00005FEF" w:rsidRDefault="00005FEF"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ed</w:t>
      </w:r>
      <w:proofErr w:type="gramEnd"/>
      <w:r>
        <w:rPr>
          <w:rFonts w:ascii="Times New Roman" w:hAnsi="Times New Roman" w:cs="Times New Roman"/>
        </w:rPr>
        <w:t>.).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Other course readings may be required, and will be posted on Canvas.</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Course Objectives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b/>
          <w:caps/>
        </w:rPr>
      </w:pPr>
    </w:p>
    <w:p w:rsidR="00547CE8" w:rsidRDefault="00475F4D" w:rsidP="00EC56C0">
      <w:pPr>
        <w:numPr>
          <w:ilvl w:val="0"/>
          <w:numId w:val="3"/>
        </w:numPr>
        <w:ind w:left="360"/>
        <w:rPr>
          <w:rFonts w:ascii="Times New Roman" w:hAnsi="Times New Roman" w:cs="Times New Roman"/>
        </w:rPr>
      </w:pPr>
      <w:r>
        <w:rPr>
          <w:rFonts w:ascii="Times New Roman" w:hAnsi="Times New Roman" w:cs="Times New Roman"/>
        </w:rPr>
        <w:t>Understand research questions and hypotheses.</w:t>
      </w:r>
    </w:p>
    <w:p w:rsidR="00475F4D" w:rsidRDefault="00475F4D" w:rsidP="00EC56C0">
      <w:pPr>
        <w:numPr>
          <w:ilvl w:val="0"/>
          <w:numId w:val="3"/>
        </w:numPr>
        <w:ind w:left="360"/>
        <w:rPr>
          <w:rFonts w:ascii="Times New Roman" w:hAnsi="Times New Roman" w:cs="Times New Roman"/>
        </w:rPr>
      </w:pPr>
      <w:r>
        <w:rPr>
          <w:rFonts w:ascii="Times New Roman" w:hAnsi="Times New Roman" w:cs="Times New Roman"/>
        </w:rPr>
        <w:t>Be able to review the research literature related to particular research questions.</w:t>
      </w:r>
    </w:p>
    <w:p w:rsidR="00475F4D" w:rsidRDefault="00475F4D" w:rsidP="00EC56C0">
      <w:pPr>
        <w:numPr>
          <w:ilvl w:val="0"/>
          <w:numId w:val="3"/>
        </w:numPr>
        <w:ind w:left="360"/>
        <w:rPr>
          <w:rFonts w:ascii="Times New Roman" w:hAnsi="Times New Roman" w:cs="Times New Roman"/>
        </w:rPr>
      </w:pPr>
      <w:r>
        <w:rPr>
          <w:rFonts w:ascii="Times New Roman" w:hAnsi="Times New Roman" w:cs="Times New Roman"/>
        </w:rPr>
        <w:t>Understand and apply research ethics and ethical codes.</w:t>
      </w:r>
    </w:p>
    <w:p w:rsidR="00475F4D" w:rsidRDefault="00475F4D" w:rsidP="00EC56C0">
      <w:pPr>
        <w:numPr>
          <w:ilvl w:val="0"/>
          <w:numId w:val="3"/>
        </w:numPr>
        <w:ind w:left="360"/>
        <w:rPr>
          <w:rFonts w:ascii="Times New Roman" w:hAnsi="Times New Roman" w:cs="Times New Roman"/>
        </w:rPr>
      </w:pPr>
      <w:r>
        <w:rPr>
          <w:rFonts w:ascii="Times New Roman" w:hAnsi="Times New Roman" w:cs="Times New Roman"/>
        </w:rPr>
        <w:t>Understand and apply descriptive and inferential statistics.</w:t>
      </w:r>
    </w:p>
    <w:p w:rsidR="00475F4D" w:rsidRDefault="00475F4D" w:rsidP="00EC56C0">
      <w:pPr>
        <w:numPr>
          <w:ilvl w:val="0"/>
          <w:numId w:val="3"/>
        </w:numPr>
        <w:ind w:left="360"/>
        <w:rPr>
          <w:rFonts w:ascii="Times New Roman" w:hAnsi="Times New Roman" w:cs="Times New Roman"/>
        </w:rPr>
      </w:pPr>
      <w:r>
        <w:rPr>
          <w:rFonts w:ascii="Times New Roman" w:hAnsi="Times New Roman" w:cs="Times New Roman"/>
        </w:rPr>
        <w:t>Work with various quantitative research designs.</w:t>
      </w:r>
    </w:p>
    <w:p w:rsidR="00475F4D" w:rsidRDefault="00475F4D" w:rsidP="00EC56C0">
      <w:pPr>
        <w:numPr>
          <w:ilvl w:val="0"/>
          <w:numId w:val="3"/>
        </w:numPr>
        <w:ind w:left="360"/>
        <w:rPr>
          <w:rFonts w:ascii="Times New Roman" w:hAnsi="Times New Roman" w:cs="Times New Roman"/>
        </w:rPr>
      </w:pPr>
      <w:r>
        <w:rPr>
          <w:rFonts w:ascii="Times New Roman" w:hAnsi="Times New Roman" w:cs="Times New Roman"/>
        </w:rPr>
        <w:t>Describe qualitative research goals and approaches.</w:t>
      </w:r>
    </w:p>
    <w:p w:rsidR="00475F4D" w:rsidRDefault="00475F4D" w:rsidP="00EC56C0">
      <w:pPr>
        <w:numPr>
          <w:ilvl w:val="0"/>
          <w:numId w:val="3"/>
        </w:numPr>
        <w:ind w:left="360"/>
        <w:rPr>
          <w:rFonts w:ascii="Times New Roman" w:hAnsi="Times New Roman" w:cs="Times New Roman"/>
        </w:rPr>
      </w:pPr>
      <w:r>
        <w:rPr>
          <w:rFonts w:ascii="Times New Roman" w:hAnsi="Times New Roman" w:cs="Times New Roman"/>
        </w:rPr>
        <w:t>Apply research design principles to field-relevant research problems.</w:t>
      </w:r>
    </w:p>
    <w:p w:rsidR="00475F4D" w:rsidRDefault="00475F4D" w:rsidP="00475F4D">
      <w:pPr>
        <w:rPr>
          <w:rFonts w:ascii="Times New Roman" w:hAnsi="Times New Roman" w:cs="Times New Roman"/>
        </w:rPr>
      </w:pPr>
    </w:p>
    <w:p w:rsidR="00475F4D" w:rsidRDefault="00475F4D" w:rsidP="00475F4D">
      <w:pPr>
        <w:rPr>
          <w:rFonts w:ascii="Times New Roman" w:hAnsi="Times New Roman" w:cs="Times New Roman"/>
        </w:rPr>
      </w:pPr>
    </w:p>
    <w:p w:rsidR="00475F4D" w:rsidRPr="003A6483" w:rsidRDefault="00475F4D" w:rsidP="00475F4D">
      <w:pPr>
        <w:rPr>
          <w:rFonts w:ascii="Times New Roman" w:hAnsi="Times New Roman" w:cs="Times New Roman"/>
        </w:rPr>
      </w:pPr>
    </w:p>
    <w:p w:rsidR="00D43B27" w:rsidRPr="003A6483" w:rsidRDefault="00D43B27"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lastRenderedPageBreak/>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textbook,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Pr="0080704F"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547CE8" w:rsidRPr="00A60122">
        <w:rPr>
          <w:rFonts w:ascii="Times New Roman" w:hAnsi="Times New Roman" w:cs="Times New Roman"/>
          <w:b/>
        </w:rPr>
        <w:t>s</w:t>
      </w:r>
      <w:r w:rsidR="00D000F3" w:rsidRPr="00A60122">
        <w:rPr>
          <w:rFonts w:ascii="Times New Roman" w:hAnsi="Times New Roman" w:cs="Times New Roman"/>
          <w:b/>
        </w:rPr>
        <w:t>:</w:t>
      </w:r>
      <w:r w:rsidR="001775CB" w:rsidRPr="00A60122">
        <w:rPr>
          <w:rFonts w:ascii="Times New Roman" w:hAnsi="Times New Roman" w:cs="Times New Roman"/>
          <w:b/>
        </w:rPr>
        <w:t xml:space="preserve"> </w:t>
      </w:r>
      <w:r w:rsidR="0080704F">
        <w:rPr>
          <w:rFonts w:ascii="Times New Roman" w:hAnsi="Times New Roman" w:cs="Times New Roman"/>
        </w:rPr>
        <w:t>For this course, you will identify a potential research problem, review the research literature on that problem, write an integrative literature review, and propose a potential research design to address the research problem. This will be done through several projects that build on one another throughout the course. A full description of this semester-long effort is provided separately.</w:t>
      </w:r>
    </w:p>
    <w:p w:rsidR="0080704F" w:rsidRPr="0080704F" w:rsidRDefault="0080704F" w:rsidP="0080704F">
      <w:pPr>
        <w:pStyle w:val="ListParagraph"/>
        <w:ind w:left="360"/>
        <w:rPr>
          <w:rFonts w:ascii="Times New Roman" w:hAnsi="Times New Roman" w:cs="Times New Roman"/>
        </w:rPr>
      </w:pPr>
    </w:p>
    <w:p w:rsidR="0080704F" w:rsidRDefault="0080704F"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Exams: </w:t>
      </w:r>
      <w:r>
        <w:rPr>
          <w:rFonts w:ascii="Times New Roman" w:hAnsi="Times New Roman" w:cs="Times New Roman"/>
        </w:rPr>
        <w:t>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an automatic grade of ‘zero’ on the exam, and will be regarded as academic misconduct. Exams are timed, and must be completed within the allotted time, as well as before the deadline (e.g., if the due date is 11:59PM, and you have 120 minutes to complete the exam, you must start the exam no later than 9:59PM or you will not have the full time). Exam content will be reviewed in the week prior to each exam during a brief review session, but roughly follows the content of the course, and will include multiple-choice, fill-in-the-blank, and essay items.</w:t>
      </w:r>
    </w:p>
    <w:p w:rsidR="00486ABF" w:rsidRPr="00486ABF" w:rsidRDefault="00486ABF"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t>Projects</w:t>
            </w:r>
          </w:p>
        </w:tc>
        <w:tc>
          <w:tcPr>
            <w:tcW w:w="2376" w:type="dxa"/>
          </w:tcPr>
          <w:p w:rsidR="007C32C4" w:rsidRPr="00A60122" w:rsidRDefault="0080704F" w:rsidP="00B059C6">
            <w:pPr>
              <w:rPr>
                <w:rFonts w:ascii="Times New Roman" w:hAnsi="Times New Roman" w:cs="Times New Roman"/>
              </w:rPr>
            </w:pPr>
            <w:r>
              <w:rPr>
                <w:rFonts w:ascii="Times New Roman" w:hAnsi="Times New Roman" w:cs="Times New Roman"/>
              </w:rPr>
              <w:t>600</w:t>
            </w:r>
          </w:p>
        </w:tc>
      </w:tr>
      <w:tr w:rsidR="00B059C6" w:rsidRPr="00A60122">
        <w:trPr>
          <w:jc w:val="center"/>
        </w:trPr>
        <w:tc>
          <w:tcPr>
            <w:tcW w:w="2808" w:type="dxa"/>
          </w:tcPr>
          <w:p w:rsidR="00B059C6" w:rsidRPr="00A60122" w:rsidRDefault="000B4208" w:rsidP="00B059C6">
            <w:pPr>
              <w:rPr>
                <w:rFonts w:ascii="Times New Roman" w:hAnsi="Times New Roman" w:cs="Times New Roman"/>
              </w:rPr>
            </w:pPr>
            <w:r w:rsidRPr="00A60122">
              <w:rPr>
                <w:rFonts w:ascii="Times New Roman" w:hAnsi="Times New Roman" w:cs="Times New Roman"/>
              </w:rPr>
              <w:t>Exams</w:t>
            </w:r>
          </w:p>
        </w:tc>
        <w:tc>
          <w:tcPr>
            <w:tcW w:w="2376" w:type="dxa"/>
          </w:tcPr>
          <w:p w:rsidR="00B059C6" w:rsidRPr="00A60122" w:rsidRDefault="0080704F" w:rsidP="00B059C6">
            <w:pPr>
              <w:rPr>
                <w:rFonts w:ascii="Times New Roman" w:hAnsi="Times New Roman" w:cs="Times New Roman"/>
              </w:rPr>
            </w:pPr>
            <w:r>
              <w:rPr>
                <w:rFonts w:ascii="Times New Roman" w:hAnsi="Times New Roman" w:cs="Times New Roman"/>
              </w:rPr>
              <w:t>400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and </w:t>
      </w:r>
      <w:r w:rsidR="00486ABF">
        <w:rPr>
          <w:rFonts w:ascii="Times New Roman" w:hAnsi="Times New Roman" w:cs="Times New Roman"/>
        </w:rPr>
        <w:t>copies of out-of-class assignments. You may also wish to print copies of class notes that are pre-posted to Canvas to aid in understanding/note-taking.</w:t>
      </w:r>
      <w:r w:rsidR="00486ABF" w:rsidRPr="003A6483">
        <w:rPr>
          <w:rFonts w:ascii="Times New Roman" w:hAnsi="Times New Roman" w:cs="Times New Roman"/>
        </w:rPr>
        <w:t xml:space="preserve"> </w:t>
      </w:r>
    </w:p>
    <w:p w:rsidR="0080704F" w:rsidRDefault="0080704F" w:rsidP="005245ED">
      <w:pPr>
        <w:rPr>
          <w:rFonts w:ascii="Times New Roman" w:hAnsi="Times New Roman" w:cs="Times New Roman"/>
        </w:rPr>
      </w:pPr>
    </w:p>
    <w:p w:rsidR="0080704F" w:rsidRDefault="0080704F" w:rsidP="005245ED">
      <w:pPr>
        <w:rPr>
          <w:rFonts w:ascii="Times New Roman" w:hAnsi="Times New Roman" w:cs="Times New Roman"/>
        </w:rPr>
      </w:pPr>
    </w:p>
    <w:p w:rsidR="0080704F" w:rsidRPr="003A6483"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403F86" w:rsidRPr="003A6483" w:rsidRDefault="00403F86" w:rsidP="00703432">
      <w:pPr>
        <w:jc w:val="center"/>
        <w:rPr>
          <w:rFonts w:ascii="Times New Roman" w:hAnsi="Times New Roman" w:cs="Times New Roman"/>
          <w:b/>
          <w:caps/>
        </w:rPr>
      </w:pPr>
    </w:p>
    <w:p w:rsidR="00B059C6" w:rsidRPr="003A6483"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Week</w:t>
            </w:r>
          </w:p>
        </w:tc>
        <w:tc>
          <w:tcPr>
            <w:tcW w:w="2044"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Readings</w:t>
            </w:r>
          </w:p>
        </w:tc>
        <w:tc>
          <w:tcPr>
            <w:tcW w:w="4126"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211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rPr>
            </w:pPr>
            <w:r w:rsidRPr="009F51C4">
              <w:rPr>
                <w:rFonts w:ascii="Times New Roman" w:hAnsi="Times New Roman" w:cs="Times New Roman"/>
              </w:rPr>
              <w:t>1</w:t>
            </w:r>
          </w:p>
          <w:p w:rsidR="00440CB9" w:rsidRPr="009F51C4" w:rsidRDefault="004043A9" w:rsidP="004043A9">
            <w:pPr>
              <w:contextualSpacing/>
              <w:rPr>
                <w:rFonts w:ascii="Times New Roman" w:hAnsi="Times New Roman" w:cs="Times New Roman"/>
              </w:rPr>
            </w:pPr>
            <w:r>
              <w:rPr>
                <w:rFonts w:ascii="Times New Roman" w:hAnsi="Times New Roman" w:cs="Times New Roman"/>
              </w:rPr>
              <w:t>08/19/15</w:t>
            </w:r>
          </w:p>
        </w:tc>
        <w:tc>
          <w:tcPr>
            <w:tcW w:w="2044" w:type="dxa"/>
          </w:tcPr>
          <w:p w:rsidR="00440CB9" w:rsidRPr="009F51C4" w:rsidRDefault="004043A9" w:rsidP="00A60122">
            <w:pPr>
              <w:contextualSpacing/>
              <w:rPr>
                <w:rFonts w:ascii="Times New Roman" w:hAnsi="Times New Roman" w:cs="Times New Roman"/>
              </w:rPr>
            </w:pPr>
            <w:r>
              <w:rPr>
                <w:rFonts w:ascii="Times New Roman" w:hAnsi="Times New Roman" w:cs="Times New Roman"/>
              </w:rPr>
              <w:t>Ch. 1 &amp; 2</w:t>
            </w:r>
          </w:p>
        </w:tc>
        <w:tc>
          <w:tcPr>
            <w:tcW w:w="4126" w:type="dxa"/>
          </w:tcPr>
          <w:p w:rsidR="00440CB9" w:rsidRPr="009F51C4" w:rsidRDefault="002F4F24" w:rsidP="00A60122">
            <w:pPr>
              <w:contextualSpacing/>
              <w:rPr>
                <w:rFonts w:ascii="Times New Roman" w:hAnsi="Times New Roman" w:cs="Times New Roman"/>
              </w:rPr>
            </w:pPr>
            <w:r>
              <w:rPr>
                <w:rFonts w:ascii="Times New Roman" w:hAnsi="Times New Roman" w:cs="Times New Roman"/>
              </w:rPr>
              <w:t>Introduction and Research Problems</w:t>
            </w:r>
          </w:p>
        </w:tc>
        <w:tc>
          <w:tcPr>
            <w:tcW w:w="2110" w:type="dxa"/>
          </w:tcPr>
          <w:p w:rsidR="00440CB9" w:rsidRPr="009F51C4" w:rsidRDefault="00440CB9" w:rsidP="00A60122">
            <w:pPr>
              <w:contextualSpacing/>
              <w:rPr>
                <w:rFonts w:ascii="Times New Roman" w:hAnsi="Times New Roman" w:cs="Times New Roman"/>
              </w:rPr>
            </w:pPr>
          </w:p>
        </w:tc>
      </w:tr>
      <w:tr w:rsidR="00440CB9" w:rsidRPr="009F51C4" w:rsidTr="00813125">
        <w:tc>
          <w:tcPr>
            <w:tcW w:w="1070" w:type="dxa"/>
            <w:tcBorders>
              <w:left w:val="single" w:sz="4" w:space="0" w:color="auto"/>
            </w:tcBorders>
          </w:tcPr>
          <w:p w:rsidR="00440CB9" w:rsidRPr="009F51C4" w:rsidRDefault="00044D38" w:rsidP="00A60122">
            <w:pPr>
              <w:contextualSpacing/>
              <w:rPr>
                <w:rFonts w:ascii="Times New Roman" w:hAnsi="Times New Roman" w:cs="Times New Roman"/>
              </w:rPr>
            </w:pPr>
            <w:r w:rsidRPr="009F51C4">
              <w:rPr>
                <w:rFonts w:ascii="Times New Roman" w:hAnsi="Times New Roman" w:cs="Times New Roman"/>
              </w:rPr>
              <w:t>2</w:t>
            </w:r>
          </w:p>
          <w:p w:rsidR="00440CB9" w:rsidRPr="009F51C4" w:rsidRDefault="004043A9" w:rsidP="00A60122">
            <w:pPr>
              <w:contextualSpacing/>
              <w:rPr>
                <w:rFonts w:ascii="Times New Roman" w:hAnsi="Times New Roman" w:cs="Times New Roman"/>
              </w:rPr>
            </w:pPr>
            <w:r>
              <w:rPr>
                <w:rFonts w:ascii="Times New Roman" w:hAnsi="Times New Roman" w:cs="Times New Roman"/>
              </w:rPr>
              <w:t>08/26/15</w:t>
            </w:r>
          </w:p>
        </w:tc>
        <w:tc>
          <w:tcPr>
            <w:tcW w:w="2044" w:type="dxa"/>
          </w:tcPr>
          <w:p w:rsidR="00440CB9" w:rsidRPr="009F51C4" w:rsidRDefault="004043A9" w:rsidP="00A60122">
            <w:pPr>
              <w:contextualSpacing/>
              <w:rPr>
                <w:rFonts w:ascii="Times New Roman" w:hAnsi="Times New Roman" w:cs="Times New Roman"/>
              </w:rPr>
            </w:pPr>
            <w:r>
              <w:rPr>
                <w:rFonts w:ascii="Times New Roman" w:hAnsi="Times New Roman" w:cs="Times New Roman"/>
              </w:rPr>
              <w:t>Ch. 5</w:t>
            </w:r>
            <w:r w:rsidR="002F4F24">
              <w:rPr>
                <w:rFonts w:ascii="Times New Roman" w:hAnsi="Times New Roman" w:cs="Times New Roman"/>
              </w:rPr>
              <w:t xml:space="preserve"> &amp; 6</w:t>
            </w:r>
          </w:p>
        </w:tc>
        <w:tc>
          <w:tcPr>
            <w:tcW w:w="4126" w:type="dxa"/>
          </w:tcPr>
          <w:p w:rsidR="00440CB9" w:rsidRPr="009F51C4" w:rsidRDefault="002F4F24" w:rsidP="00A60122">
            <w:pPr>
              <w:contextualSpacing/>
              <w:rPr>
                <w:rFonts w:ascii="Times New Roman" w:hAnsi="Times New Roman" w:cs="Times New Roman"/>
              </w:rPr>
            </w:pPr>
            <w:r>
              <w:rPr>
                <w:rFonts w:ascii="Times New Roman" w:hAnsi="Times New Roman" w:cs="Times New Roman"/>
              </w:rPr>
              <w:t>Variables, Hypotheses, and Sampling</w:t>
            </w:r>
          </w:p>
        </w:tc>
        <w:tc>
          <w:tcPr>
            <w:tcW w:w="2110" w:type="dxa"/>
          </w:tcPr>
          <w:p w:rsidR="00440CB9" w:rsidRPr="00B754A5" w:rsidRDefault="00B754A5" w:rsidP="00A60122">
            <w:pPr>
              <w:contextualSpacing/>
              <w:rPr>
                <w:rFonts w:ascii="Times New Roman" w:hAnsi="Times New Roman" w:cs="Times New Roman"/>
                <w:u w:val="single"/>
              </w:rPr>
            </w:pPr>
            <w:r>
              <w:rPr>
                <w:rFonts w:ascii="Times New Roman" w:hAnsi="Times New Roman" w:cs="Times New Roman"/>
                <w:u w:val="single"/>
              </w:rPr>
              <w:t>Project Part 1 Due</w:t>
            </w:r>
          </w:p>
        </w:tc>
      </w:tr>
      <w:tr w:rsidR="00A60122" w:rsidRPr="009F51C4" w:rsidTr="00813125">
        <w:tc>
          <w:tcPr>
            <w:tcW w:w="1070" w:type="dxa"/>
            <w:tcBorders>
              <w:left w:val="single" w:sz="4" w:space="0" w:color="auto"/>
            </w:tcBorders>
          </w:tcPr>
          <w:p w:rsidR="00A60122" w:rsidRPr="009F51C4" w:rsidRDefault="00A60122" w:rsidP="00A60122">
            <w:pPr>
              <w:contextualSpacing/>
              <w:rPr>
                <w:rFonts w:ascii="Times New Roman" w:hAnsi="Times New Roman" w:cs="Times New Roman"/>
              </w:rPr>
            </w:pPr>
            <w:r w:rsidRPr="009F51C4">
              <w:rPr>
                <w:rFonts w:ascii="Times New Roman" w:hAnsi="Times New Roman" w:cs="Times New Roman"/>
              </w:rPr>
              <w:t>3</w:t>
            </w:r>
          </w:p>
          <w:p w:rsidR="00A60122" w:rsidRPr="009F51C4" w:rsidRDefault="004043A9" w:rsidP="00A60122">
            <w:pPr>
              <w:contextualSpacing/>
              <w:rPr>
                <w:rFonts w:ascii="Times New Roman" w:hAnsi="Times New Roman" w:cs="Times New Roman"/>
              </w:rPr>
            </w:pPr>
            <w:r>
              <w:rPr>
                <w:rFonts w:ascii="Times New Roman" w:hAnsi="Times New Roman" w:cs="Times New Roman"/>
              </w:rPr>
              <w:t>09/2/15</w:t>
            </w:r>
          </w:p>
        </w:tc>
        <w:tc>
          <w:tcPr>
            <w:tcW w:w="2044" w:type="dxa"/>
          </w:tcPr>
          <w:p w:rsidR="00A60122" w:rsidRDefault="004043A9" w:rsidP="00A60122">
            <w:pPr>
              <w:contextualSpacing/>
              <w:rPr>
                <w:rFonts w:ascii="Times New Roman" w:hAnsi="Times New Roman" w:cs="Times New Roman"/>
              </w:rPr>
            </w:pPr>
            <w:r>
              <w:rPr>
                <w:rFonts w:ascii="Times New Roman" w:hAnsi="Times New Roman" w:cs="Times New Roman"/>
              </w:rPr>
              <w:t>Ch. 3</w:t>
            </w:r>
            <w:r w:rsidR="00B76389">
              <w:rPr>
                <w:rFonts w:ascii="Times New Roman" w:hAnsi="Times New Roman" w:cs="Times New Roman"/>
              </w:rPr>
              <w:t xml:space="preserve"> &amp; 4</w:t>
            </w:r>
          </w:p>
          <w:p w:rsidR="009B01D2" w:rsidRPr="009F51C4" w:rsidRDefault="009B01D2" w:rsidP="00A60122">
            <w:pPr>
              <w:contextualSpacing/>
              <w:rPr>
                <w:rFonts w:ascii="Times New Roman" w:hAnsi="Times New Roman" w:cs="Times New Roman"/>
              </w:rPr>
            </w:pPr>
            <w:r>
              <w:rPr>
                <w:rFonts w:ascii="Times New Roman" w:hAnsi="Times New Roman" w:cs="Times New Roman"/>
              </w:rPr>
              <w:t>Belmont Report</w:t>
            </w:r>
            <w:bookmarkStart w:id="0" w:name="_GoBack"/>
            <w:bookmarkEnd w:id="0"/>
          </w:p>
        </w:tc>
        <w:tc>
          <w:tcPr>
            <w:tcW w:w="4126" w:type="dxa"/>
          </w:tcPr>
          <w:p w:rsidR="00A60122" w:rsidRPr="009F51C4" w:rsidRDefault="002F4F24" w:rsidP="00A60122">
            <w:pPr>
              <w:contextualSpacing/>
              <w:rPr>
                <w:rFonts w:ascii="Times New Roman" w:hAnsi="Times New Roman" w:cs="Times New Roman"/>
              </w:rPr>
            </w:pPr>
            <w:r>
              <w:rPr>
                <w:rFonts w:ascii="Times New Roman" w:hAnsi="Times New Roman" w:cs="Times New Roman"/>
              </w:rPr>
              <w:t>Reviewing the Literature</w:t>
            </w:r>
            <w:r w:rsidR="00B76389">
              <w:rPr>
                <w:rFonts w:ascii="Times New Roman" w:hAnsi="Times New Roman" w:cs="Times New Roman"/>
              </w:rPr>
              <w:t xml:space="preserve"> &amp; Research Ethics</w:t>
            </w:r>
          </w:p>
        </w:tc>
        <w:tc>
          <w:tcPr>
            <w:tcW w:w="2110" w:type="dxa"/>
          </w:tcPr>
          <w:p w:rsidR="00A60122" w:rsidRPr="009F51C4" w:rsidRDefault="00A60122" w:rsidP="00A60122">
            <w:pPr>
              <w:contextualSpacing/>
              <w:rPr>
                <w:rFonts w:ascii="Times New Roman" w:hAnsi="Times New Roman" w:cs="Times New Roman"/>
              </w:rPr>
            </w:pPr>
          </w:p>
        </w:tc>
      </w:tr>
      <w:tr w:rsidR="00B76389" w:rsidRPr="009F51C4" w:rsidTr="00813125">
        <w:tc>
          <w:tcPr>
            <w:tcW w:w="1070" w:type="dxa"/>
            <w:tcBorders>
              <w:left w:val="single" w:sz="4" w:space="0" w:color="auto"/>
            </w:tcBorders>
          </w:tcPr>
          <w:p w:rsidR="00B76389" w:rsidRPr="009F51C4" w:rsidRDefault="00B76389" w:rsidP="00B76389">
            <w:pPr>
              <w:contextualSpacing/>
              <w:rPr>
                <w:rFonts w:ascii="Times New Roman" w:hAnsi="Times New Roman" w:cs="Times New Roman"/>
              </w:rPr>
            </w:pPr>
            <w:r w:rsidRPr="009F51C4">
              <w:rPr>
                <w:rFonts w:ascii="Times New Roman" w:hAnsi="Times New Roman" w:cs="Times New Roman"/>
              </w:rPr>
              <w:t>4</w:t>
            </w:r>
          </w:p>
          <w:p w:rsidR="00B76389" w:rsidRPr="009F51C4" w:rsidRDefault="00B76389" w:rsidP="00B76389">
            <w:pPr>
              <w:contextualSpacing/>
              <w:rPr>
                <w:rFonts w:ascii="Times New Roman" w:hAnsi="Times New Roman" w:cs="Times New Roman"/>
              </w:rPr>
            </w:pPr>
            <w:r>
              <w:rPr>
                <w:rFonts w:ascii="Times New Roman" w:hAnsi="Times New Roman" w:cs="Times New Roman"/>
              </w:rPr>
              <w:t>09/9/15</w:t>
            </w:r>
          </w:p>
        </w:tc>
        <w:tc>
          <w:tcPr>
            <w:tcW w:w="2044" w:type="dxa"/>
          </w:tcPr>
          <w:p w:rsidR="00B76389" w:rsidRPr="009F51C4" w:rsidRDefault="00B76389" w:rsidP="00813125">
            <w:pPr>
              <w:contextualSpacing/>
              <w:rPr>
                <w:rFonts w:ascii="Times New Roman" w:hAnsi="Times New Roman" w:cs="Times New Roman"/>
              </w:rPr>
            </w:pPr>
            <w:r>
              <w:rPr>
                <w:rFonts w:ascii="Times New Roman" w:hAnsi="Times New Roman" w:cs="Times New Roman"/>
              </w:rPr>
              <w:t>Ch. 7</w:t>
            </w:r>
            <w:r w:rsidR="00813125">
              <w:rPr>
                <w:rFonts w:ascii="Times New Roman" w:hAnsi="Times New Roman" w:cs="Times New Roman"/>
              </w:rPr>
              <w:t xml:space="preserve"> &amp; 8</w:t>
            </w:r>
          </w:p>
        </w:tc>
        <w:tc>
          <w:tcPr>
            <w:tcW w:w="4126" w:type="dxa"/>
          </w:tcPr>
          <w:p w:rsidR="00B76389" w:rsidRPr="009F51C4" w:rsidRDefault="00B76389" w:rsidP="00813125">
            <w:pPr>
              <w:contextualSpacing/>
              <w:rPr>
                <w:rFonts w:ascii="Times New Roman" w:hAnsi="Times New Roman" w:cs="Times New Roman"/>
              </w:rPr>
            </w:pPr>
            <w:r>
              <w:rPr>
                <w:rFonts w:ascii="Times New Roman" w:hAnsi="Times New Roman" w:cs="Times New Roman"/>
              </w:rPr>
              <w:t>Instruments</w:t>
            </w:r>
            <w:r w:rsidR="00813125">
              <w:rPr>
                <w:rFonts w:ascii="Times New Roman" w:hAnsi="Times New Roman" w:cs="Times New Roman"/>
              </w:rPr>
              <w:t>, Validity, &amp; Reliability</w:t>
            </w:r>
          </w:p>
        </w:tc>
        <w:tc>
          <w:tcPr>
            <w:tcW w:w="2110" w:type="dxa"/>
          </w:tcPr>
          <w:p w:rsidR="00B76389" w:rsidRPr="000E2270" w:rsidRDefault="00B76389" w:rsidP="00B76389">
            <w:pPr>
              <w:contextualSpacing/>
              <w:rPr>
                <w:rFonts w:ascii="Times New Roman" w:hAnsi="Times New Roman" w:cs="Times New Roman"/>
                <w:u w:val="single"/>
              </w:rPr>
            </w:pP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5</w:t>
            </w:r>
          </w:p>
          <w:p w:rsidR="00813125" w:rsidRPr="009F51C4" w:rsidRDefault="00813125" w:rsidP="00813125">
            <w:pPr>
              <w:contextualSpacing/>
              <w:rPr>
                <w:rFonts w:ascii="Times New Roman" w:hAnsi="Times New Roman" w:cs="Times New Roman"/>
              </w:rPr>
            </w:pPr>
            <w:r>
              <w:rPr>
                <w:rFonts w:ascii="Times New Roman" w:hAnsi="Times New Roman" w:cs="Times New Roman"/>
              </w:rPr>
              <w:t>09/16/15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Ch. 10</w:t>
            </w:r>
          </w:p>
        </w:tc>
        <w:tc>
          <w:tcPr>
            <w:tcW w:w="4126" w:type="dxa"/>
          </w:tcPr>
          <w:p w:rsidR="00813125" w:rsidRPr="008B1030" w:rsidRDefault="00813125" w:rsidP="00813125">
            <w:pPr>
              <w:contextualSpacing/>
              <w:rPr>
                <w:rFonts w:ascii="Times New Roman" w:hAnsi="Times New Roman" w:cs="Times New Roman"/>
              </w:rPr>
            </w:pPr>
            <w:r>
              <w:rPr>
                <w:rFonts w:ascii="Times New Roman" w:hAnsi="Times New Roman" w:cs="Times New Roman"/>
              </w:rPr>
              <w:t>Descriptive Statistics</w:t>
            </w:r>
          </w:p>
        </w:tc>
        <w:tc>
          <w:tcPr>
            <w:tcW w:w="2110" w:type="dxa"/>
          </w:tcPr>
          <w:p w:rsidR="00813125" w:rsidRPr="00B754A5" w:rsidRDefault="00813125" w:rsidP="00813125">
            <w:pPr>
              <w:contextualSpacing/>
              <w:rPr>
                <w:rFonts w:ascii="Times New Roman" w:hAnsi="Times New Roman" w:cs="Times New Roman"/>
                <w:u w:val="single"/>
              </w:rPr>
            </w:pPr>
            <w:r>
              <w:rPr>
                <w:rFonts w:ascii="Times New Roman" w:hAnsi="Times New Roman" w:cs="Times New Roman"/>
                <w:u w:val="single"/>
              </w:rPr>
              <w:t>Project Part 2 Due</w:t>
            </w: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6</w:t>
            </w:r>
          </w:p>
          <w:p w:rsidR="00813125" w:rsidRPr="009F51C4" w:rsidRDefault="00813125" w:rsidP="00813125">
            <w:pPr>
              <w:contextualSpacing/>
              <w:rPr>
                <w:rFonts w:ascii="Times New Roman" w:hAnsi="Times New Roman" w:cs="Times New Roman"/>
              </w:rPr>
            </w:pPr>
            <w:r>
              <w:rPr>
                <w:rFonts w:ascii="Times New Roman" w:hAnsi="Times New Roman" w:cs="Times New Roman"/>
              </w:rPr>
              <w:t>09/23/15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Ch. 11 &amp; 12</w:t>
            </w:r>
          </w:p>
        </w:tc>
        <w:tc>
          <w:tcPr>
            <w:tcW w:w="4126" w:type="dxa"/>
          </w:tcPr>
          <w:p w:rsidR="00813125" w:rsidRPr="008B1030" w:rsidRDefault="00813125" w:rsidP="00813125">
            <w:pPr>
              <w:contextualSpacing/>
              <w:rPr>
                <w:rFonts w:ascii="Times New Roman" w:hAnsi="Times New Roman" w:cs="Times New Roman"/>
              </w:rPr>
            </w:pPr>
            <w:r>
              <w:rPr>
                <w:rFonts w:ascii="Times New Roman" w:hAnsi="Times New Roman" w:cs="Times New Roman"/>
              </w:rPr>
              <w:t>Inferential Statistics</w:t>
            </w:r>
          </w:p>
        </w:tc>
        <w:tc>
          <w:tcPr>
            <w:tcW w:w="2110" w:type="dxa"/>
          </w:tcPr>
          <w:p w:rsidR="00813125" w:rsidRPr="000E2270" w:rsidRDefault="00813125" w:rsidP="00813125">
            <w:pPr>
              <w:contextualSpacing/>
              <w:rPr>
                <w:rFonts w:ascii="Times New Roman" w:hAnsi="Times New Roman" w:cs="Times New Roman"/>
              </w:rPr>
            </w:pP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7</w:t>
            </w:r>
          </w:p>
          <w:p w:rsidR="00813125" w:rsidRPr="009F51C4" w:rsidRDefault="00813125" w:rsidP="00813125">
            <w:pPr>
              <w:contextualSpacing/>
              <w:rPr>
                <w:rFonts w:ascii="Times New Roman" w:hAnsi="Times New Roman" w:cs="Times New Roman"/>
              </w:rPr>
            </w:pPr>
            <w:r>
              <w:rPr>
                <w:rFonts w:ascii="Times New Roman" w:hAnsi="Times New Roman" w:cs="Times New Roman"/>
              </w:rPr>
              <w:t>9/30/15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Ch. 9</w:t>
            </w:r>
          </w:p>
        </w:tc>
        <w:tc>
          <w:tcPr>
            <w:tcW w:w="4126" w:type="dxa"/>
          </w:tcPr>
          <w:p w:rsidR="00813125" w:rsidRPr="008B1030" w:rsidRDefault="00813125" w:rsidP="00813125">
            <w:pPr>
              <w:contextualSpacing/>
              <w:rPr>
                <w:rFonts w:ascii="Times New Roman" w:hAnsi="Times New Roman" w:cs="Times New Roman"/>
              </w:rPr>
            </w:pPr>
            <w:r>
              <w:rPr>
                <w:rFonts w:ascii="Times New Roman" w:hAnsi="Times New Roman" w:cs="Times New Roman"/>
              </w:rPr>
              <w:t>Internal Validity &amp; Exam Review</w:t>
            </w:r>
          </w:p>
        </w:tc>
        <w:tc>
          <w:tcPr>
            <w:tcW w:w="2110" w:type="dxa"/>
          </w:tcPr>
          <w:p w:rsidR="00813125" w:rsidRPr="009F51C4" w:rsidRDefault="00813125" w:rsidP="00813125">
            <w:pPr>
              <w:contextualSpacing/>
              <w:rPr>
                <w:rFonts w:ascii="Times New Roman" w:hAnsi="Times New Roman" w:cs="Times New Roman"/>
              </w:rPr>
            </w:pPr>
          </w:p>
        </w:tc>
      </w:tr>
      <w:tr w:rsidR="00813125" w:rsidRPr="009F51C4" w:rsidTr="00813125">
        <w:trPr>
          <w:trHeight w:val="512"/>
        </w:trPr>
        <w:tc>
          <w:tcPr>
            <w:tcW w:w="1070" w:type="dxa"/>
            <w:tcBorders>
              <w:left w:val="single" w:sz="4" w:space="0" w:color="auto"/>
            </w:tcBorders>
          </w:tcPr>
          <w:p w:rsidR="00813125" w:rsidRPr="00BA6295" w:rsidRDefault="00813125" w:rsidP="00813125">
            <w:pPr>
              <w:contextualSpacing/>
              <w:rPr>
                <w:rFonts w:ascii="Times New Roman" w:hAnsi="Times New Roman" w:cs="Times New Roman"/>
              </w:rPr>
            </w:pPr>
            <w:r w:rsidRPr="00BA6295">
              <w:rPr>
                <w:rFonts w:ascii="Times New Roman" w:hAnsi="Times New Roman" w:cs="Times New Roman"/>
              </w:rPr>
              <w:t>8</w:t>
            </w:r>
          </w:p>
          <w:p w:rsidR="00813125" w:rsidRPr="00BA6295" w:rsidRDefault="00813125" w:rsidP="00813125">
            <w:pPr>
              <w:contextualSpacing/>
              <w:rPr>
                <w:rFonts w:ascii="Times New Roman" w:hAnsi="Times New Roman" w:cs="Times New Roman"/>
              </w:rPr>
            </w:pPr>
            <w:r>
              <w:rPr>
                <w:rFonts w:ascii="Times New Roman" w:hAnsi="Times New Roman" w:cs="Times New Roman"/>
              </w:rPr>
              <w:t>10/7/15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None</w:t>
            </w:r>
          </w:p>
        </w:tc>
        <w:tc>
          <w:tcPr>
            <w:tcW w:w="4126" w:type="dxa"/>
          </w:tcPr>
          <w:p w:rsidR="00813125" w:rsidRDefault="00813125" w:rsidP="00813125">
            <w:pPr>
              <w:contextualSpacing/>
              <w:rPr>
                <w:rFonts w:ascii="Times New Roman" w:hAnsi="Times New Roman" w:cs="Times New Roman"/>
                <w:b/>
              </w:rPr>
            </w:pPr>
            <w:r>
              <w:rPr>
                <w:rFonts w:ascii="Times New Roman" w:hAnsi="Times New Roman" w:cs="Times New Roman"/>
                <w:b/>
              </w:rPr>
              <w:t>EXAM ONE – ON CANVAS</w:t>
            </w:r>
          </w:p>
          <w:p w:rsidR="00813125" w:rsidRPr="00B76389" w:rsidRDefault="00813125" w:rsidP="00813125">
            <w:pPr>
              <w:contextualSpacing/>
              <w:rPr>
                <w:rFonts w:ascii="Times New Roman" w:hAnsi="Times New Roman" w:cs="Times New Roman"/>
              </w:rPr>
            </w:pPr>
            <w:r>
              <w:rPr>
                <w:rFonts w:ascii="Times New Roman" w:hAnsi="Times New Roman" w:cs="Times New Roman"/>
              </w:rPr>
              <w:t>(Class does not meet – exam online)</w:t>
            </w:r>
          </w:p>
        </w:tc>
        <w:tc>
          <w:tcPr>
            <w:tcW w:w="2110" w:type="dxa"/>
          </w:tcPr>
          <w:p w:rsidR="00813125" w:rsidRPr="00B76389" w:rsidRDefault="00813125" w:rsidP="00813125">
            <w:pPr>
              <w:contextualSpacing/>
              <w:rPr>
                <w:rFonts w:ascii="Times New Roman" w:hAnsi="Times New Roman" w:cs="Times New Roman"/>
                <w:b/>
              </w:rPr>
            </w:pPr>
            <w:r>
              <w:rPr>
                <w:rFonts w:ascii="Times New Roman" w:hAnsi="Times New Roman" w:cs="Times New Roman"/>
                <w:b/>
              </w:rPr>
              <w:t>Exam One Due by 10/7 at 11:59PM</w:t>
            </w:r>
          </w:p>
        </w:tc>
      </w:tr>
      <w:tr w:rsidR="00813125" w:rsidRPr="009F51C4" w:rsidTr="00813125">
        <w:tc>
          <w:tcPr>
            <w:tcW w:w="1070" w:type="dxa"/>
            <w:tcBorders>
              <w:left w:val="single" w:sz="4" w:space="0" w:color="auto"/>
            </w:tcBorders>
          </w:tcPr>
          <w:p w:rsidR="00813125" w:rsidRPr="00BA6295" w:rsidRDefault="00813125" w:rsidP="00813125">
            <w:pPr>
              <w:contextualSpacing/>
              <w:rPr>
                <w:rFonts w:ascii="Times New Roman" w:hAnsi="Times New Roman" w:cs="Times New Roman"/>
              </w:rPr>
            </w:pPr>
            <w:r w:rsidRPr="00BA6295">
              <w:rPr>
                <w:rFonts w:ascii="Times New Roman" w:hAnsi="Times New Roman" w:cs="Times New Roman"/>
              </w:rPr>
              <w:t>9</w:t>
            </w:r>
          </w:p>
          <w:p w:rsidR="00813125" w:rsidRPr="00BA6295" w:rsidRDefault="00813125" w:rsidP="00813125">
            <w:pPr>
              <w:contextualSpacing/>
              <w:rPr>
                <w:rFonts w:ascii="Times New Roman" w:hAnsi="Times New Roman" w:cs="Times New Roman"/>
              </w:rPr>
            </w:pPr>
            <w:r>
              <w:rPr>
                <w:rFonts w:ascii="Times New Roman" w:hAnsi="Times New Roman" w:cs="Times New Roman"/>
              </w:rPr>
              <w:t>10/14/15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Ch. 13</w:t>
            </w:r>
          </w:p>
        </w:tc>
        <w:tc>
          <w:tcPr>
            <w:tcW w:w="4126" w:type="dxa"/>
          </w:tcPr>
          <w:p w:rsidR="00813125" w:rsidRPr="002F4F24" w:rsidRDefault="00813125" w:rsidP="00813125">
            <w:pPr>
              <w:contextualSpacing/>
              <w:rPr>
                <w:rFonts w:ascii="Times New Roman" w:hAnsi="Times New Roman" w:cs="Times New Roman"/>
              </w:rPr>
            </w:pPr>
            <w:r>
              <w:rPr>
                <w:rFonts w:ascii="Times New Roman" w:hAnsi="Times New Roman" w:cs="Times New Roman"/>
              </w:rPr>
              <w:t>Experimental Research Designs</w:t>
            </w:r>
          </w:p>
        </w:tc>
        <w:tc>
          <w:tcPr>
            <w:tcW w:w="2110" w:type="dxa"/>
          </w:tcPr>
          <w:p w:rsidR="00813125" w:rsidRPr="00B754A5" w:rsidRDefault="00813125" w:rsidP="00813125">
            <w:pPr>
              <w:contextualSpacing/>
              <w:rPr>
                <w:rFonts w:ascii="Times New Roman" w:hAnsi="Times New Roman" w:cs="Times New Roman"/>
                <w:u w:val="single"/>
              </w:rPr>
            </w:pPr>
            <w:r>
              <w:rPr>
                <w:rFonts w:ascii="Times New Roman" w:hAnsi="Times New Roman" w:cs="Times New Roman"/>
                <w:u w:val="single"/>
              </w:rPr>
              <w:t>Project Part 3 Due</w:t>
            </w:r>
          </w:p>
        </w:tc>
      </w:tr>
      <w:tr w:rsidR="00813125" w:rsidRPr="009F51C4" w:rsidTr="00813125">
        <w:tc>
          <w:tcPr>
            <w:tcW w:w="1070" w:type="dxa"/>
            <w:tcBorders>
              <w:left w:val="single" w:sz="4" w:space="0" w:color="auto"/>
            </w:tcBorders>
          </w:tcPr>
          <w:p w:rsidR="00813125" w:rsidRPr="00BA6295" w:rsidRDefault="00813125" w:rsidP="00813125">
            <w:pPr>
              <w:contextualSpacing/>
              <w:rPr>
                <w:rFonts w:ascii="Times New Roman" w:hAnsi="Times New Roman" w:cs="Times New Roman"/>
              </w:rPr>
            </w:pPr>
            <w:r w:rsidRPr="00BA6295">
              <w:rPr>
                <w:rFonts w:ascii="Times New Roman" w:hAnsi="Times New Roman" w:cs="Times New Roman"/>
              </w:rPr>
              <w:t>10</w:t>
            </w:r>
          </w:p>
          <w:p w:rsidR="00813125" w:rsidRPr="00BA6295" w:rsidRDefault="00813125" w:rsidP="00813125">
            <w:pPr>
              <w:contextualSpacing/>
              <w:rPr>
                <w:rFonts w:ascii="Times New Roman" w:hAnsi="Times New Roman" w:cs="Times New Roman"/>
                <w:color w:val="FF0000"/>
              </w:rPr>
            </w:pPr>
            <w:r>
              <w:rPr>
                <w:rFonts w:ascii="Times New Roman" w:hAnsi="Times New Roman" w:cs="Times New Roman"/>
              </w:rPr>
              <w:t>10/21/15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Ch. 14 &amp; 16</w:t>
            </w:r>
          </w:p>
        </w:tc>
        <w:tc>
          <w:tcPr>
            <w:tcW w:w="4126"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Single-Subject and Causal-Comparative Designs</w:t>
            </w:r>
          </w:p>
        </w:tc>
        <w:tc>
          <w:tcPr>
            <w:tcW w:w="2110" w:type="dxa"/>
          </w:tcPr>
          <w:p w:rsidR="00813125" w:rsidRPr="008124DB" w:rsidRDefault="00813125" w:rsidP="00813125">
            <w:pPr>
              <w:contextualSpacing/>
              <w:rPr>
                <w:rFonts w:ascii="Times New Roman" w:hAnsi="Times New Roman" w:cs="Times New Roman"/>
                <w:u w:val="single"/>
              </w:rPr>
            </w:pP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11</w:t>
            </w:r>
          </w:p>
          <w:p w:rsidR="00813125" w:rsidRPr="009F51C4" w:rsidRDefault="00813125" w:rsidP="00813125">
            <w:pPr>
              <w:contextualSpacing/>
              <w:rPr>
                <w:rFonts w:ascii="Times New Roman" w:hAnsi="Times New Roman" w:cs="Times New Roman"/>
              </w:rPr>
            </w:pPr>
            <w:r>
              <w:rPr>
                <w:rFonts w:ascii="Times New Roman" w:hAnsi="Times New Roman" w:cs="Times New Roman"/>
              </w:rPr>
              <w:t>10/28/15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Ch. 15 &amp; 17</w:t>
            </w:r>
          </w:p>
        </w:tc>
        <w:tc>
          <w:tcPr>
            <w:tcW w:w="4126" w:type="dxa"/>
          </w:tcPr>
          <w:p w:rsidR="00813125" w:rsidRPr="00001452" w:rsidRDefault="00813125" w:rsidP="00813125">
            <w:pPr>
              <w:contextualSpacing/>
              <w:rPr>
                <w:rFonts w:ascii="Times New Roman" w:hAnsi="Times New Roman" w:cs="Times New Roman"/>
              </w:rPr>
            </w:pPr>
            <w:r>
              <w:rPr>
                <w:rFonts w:ascii="Times New Roman" w:hAnsi="Times New Roman" w:cs="Times New Roman"/>
              </w:rPr>
              <w:t>Correlational and Survey Research</w:t>
            </w:r>
          </w:p>
        </w:tc>
        <w:tc>
          <w:tcPr>
            <w:tcW w:w="2110" w:type="dxa"/>
          </w:tcPr>
          <w:p w:rsidR="00813125" w:rsidRPr="00B754A5" w:rsidRDefault="00813125" w:rsidP="00813125">
            <w:pPr>
              <w:contextualSpacing/>
              <w:rPr>
                <w:rFonts w:ascii="Times New Roman" w:hAnsi="Times New Roman" w:cs="Times New Roman"/>
                <w:u w:val="single"/>
              </w:rPr>
            </w:pPr>
            <w:r>
              <w:rPr>
                <w:rFonts w:ascii="Times New Roman" w:hAnsi="Times New Roman" w:cs="Times New Roman"/>
                <w:u w:val="single"/>
              </w:rPr>
              <w:t>Project Part 4 Due</w:t>
            </w: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12</w:t>
            </w:r>
          </w:p>
          <w:p w:rsidR="00813125" w:rsidRPr="009F51C4" w:rsidRDefault="00813125" w:rsidP="00813125">
            <w:pPr>
              <w:contextualSpacing/>
              <w:rPr>
                <w:rFonts w:ascii="Times New Roman" w:hAnsi="Times New Roman" w:cs="Times New Roman"/>
              </w:rPr>
            </w:pPr>
            <w:r>
              <w:rPr>
                <w:rFonts w:ascii="Times New Roman" w:hAnsi="Times New Roman" w:cs="Times New Roman"/>
              </w:rPr>
              <w:t>11/4/15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Ch. 18 &amp; 19</w:t>
            </w:r>
          </w:p>
        </w:tc>
        <w:tc>
          <w:tcPr>
            <w:tcW w:w="4126"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Qualitative Research</w:t>
            </w:r>
          </w:p>
        </w:tc>
        <w:tc>
          <w:tcPr>
            <w:tcW w:w="2110" w:type="dxa"/>
          </w:tcPr>
          <w:p w:rsidR="00813125" w:rsidRPr="008124DB" w:rsidRDefault="00813125" w:rsidP="00813125">
            <w:pPr>
              <w:contextualSpacing/>
              <w:rPr>
                <w:rFonts w:ascii="Times New Roman" w:hAnsi="Times New Roman" w:cs="Times New Roman"/>
                <w:u w:val="single"/>
              </w:rPr>
            </w:pP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13</w:t>
            </w:r>
          </w:p>
          <w:p w:rsidR="00813125" w:rsidRPr="009F51C4" w:rsidRDefault="00813125" w:rsidP="00813125">
            <w:pPr>
              <w:contextualSpacing/>
              <w:rPr>
                <w:rFonts w:ascii="Times New Roman" w:hAnsi="Times New Roman" w:cs="Times New Roman"/>
              </w:rPr>
            </w:pPr>
            <w:r>
              <w:rPr>
                <w:rFonts w:ascii="Times New Roman" w:hAnsi="Times New Roman" w:cs="Times New Roman"/>
              </w:rPr>
              <w:t>11/11/15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Ch. 20 &amp; 21</w:t>
            </w:r>
          </w:p>
        </w:tc>
        <w:tc>
          <w:tcPr>
            <w:tcW w:w="4126"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Qualitative Research, Contd.</w:t>
            </w:r>
          </w:p>
        </w:tc>
        <w:tc>
          <w:tcPr>
            <w:tcW w:w="2110" w:type="dxa"/>
          </w:tcPr>
          <w:p w:rsidR="00813125" w:rsidRPr="00B754A5" w:rsidRDefault="00813125" w:rsidP="00813125">
            <w:pPr>
              <w:contextualSpacing/>
              <w:rPr>
                <w:rFonts w:ascii="Times New Roman" w:hAnsi="Times New Roman" w:cs="Times New Roman"/>
                <w:u w:val="single"/>
              </w:rPr>
            </w:pPr>
            <w:r>
              <w:rPr>
                <w:rFonts w:ascii="Times New Roman" w:hAnsi="Times New Roman" w:cs="Times New Roman"/>
                <w:u w:val="single"/>
              </w:rPr>
              <w:t>Project Part 5 Due</w:t>
            </w: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14</w:t>
            </w:r>
          </w:p>
          <w:p w:rsidR="00813125" w:rsidRPr="009F51C4" w:rsidRDefault="00813125" w:rsidP="00813125">
            <w:pPr>
              <w:contextualSpacing/>
              <w:rPr>
                <w:rFonts w:ascii="Times New Roman" w:hAnsi="Times New Roman" w:cs="Times New Roman"/>
              </w:rPr>
            </w:pPr>
            <w:r>
              <w:rPr>
                <w:rFonts w:ascii="Times New Roman" w:hAnsi="Times New Roman" w:cs="Times New Roman"/>
              </w:rPr>
              <w:t>11/18/15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Ch. 23 &amp; 24</w:t>
            </w:r>
          </w:p>
        </w:tc>
        <w:tc>
          <w:tcPr>
            <w:tcW w:w="4126"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Mixed-Methods &amp; Action Research</w:t>
            </w:r>
          </w:p>
        </w:tc>
        <w:tc>
          <w:tcPr>
            <w:tcW w:w="2110" w:type="dxa"/>
          </w:tcPr>
          <w:p w:rsidR="00813125" w:rsidRPr="008124DB" w:rsidRDefault="00813125" w:rsidP="00813125">
            <w:pPr>
              <w:contextualSpacing/>
              <w:rPr>
                <w:rFonts w:ascii="Times New Roman" w:hAnsi="Times New Roman" w:cs="Times New Roman"/>
                <w:u w:val="single"/>
              </w:rPr>
            </w:pP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15</w:t>
            </w:r>
          </w:p>
          <w:p w:rsidR="00813125" w:rsidRPr="009F51C4" w:rsidRDefault="00813125" w:rsidP="00813125">
            <w:pPr>
              <w:contextualSpacing/>
              <w:rPr>
                <w:rFonts w:ascii="Times New Roman" w:hAnsi="Times New Roman" w:cs="Times New Roman"/>
              </w:rPr>
            </w:pPr>
            <w:r>
              <w:rPr>
                <w:rFonts w:ascii="Times New Roman" w:hAnsi="Times New Roman" w:cs="Times New Roman"/>
              </w:rPr>
              <w:t>11/25/15</w:t>
            </w:r>
          </w:p>
        </w:tc>
        <w:tc>
          <w:tcPr>
            <w:tcW w:w="2044" w:type="dxa"/>
          </w:tcPr>
          <w:p w:rsidR="00813125" w:rsidRPr="009F51C4" w:rsidRDefault="00813125" w:rsidP="00813125">
            <w:pPr>
              <w:contextualSpacing/>
              <w:rPr>
                <w:rFonts w:ascii="Times New Roman" w:hAnsi="Times New Roman" w:cs="Times New Roman"/>
              </w:rPr>
            </w:pPr>
            <w:r>
              <w:rPr>
                <w:rFonts w:ascii="Times New Roman" w:hAnsi="Times New Roman" w:cs="Times New Roman"/>
              </w:rPr>
              <w:t>None</w:t>
            </w:r>
          </w:p>
        </w:tc>
        <w:tc>
          <w:tcPr>
            <w:tcW w:w="4126" w:type="dxa"/>
          </w:tcPr>
          <w:p w:rsidR="00813125" w:rsidRPr="000E2270" w:rsidRDefault="00813125" w:rsidP="00813125">
            <w:pPr>
              <w:contextualSpacing/>
              <w:rPr>
                <w:rFonts w:ascii="Times New Roman" w:hAnsi="Times New Roman" w:cs="Times New Roman"/>
                <w:b/>
              </w:rPr>
            </w:pPr>
            <w:r>
              <w:rPr>
                <w:rFonts w:ascii="Times New Roman" w:hAnsi="Times New Roman" w:cs="Times New Roman"/>
                <w:b/>
              </w:rPr>
              <w:t>NO CLASS – THANKSGIVING BREAK</w:t>
            </w:r>
          </w:p>
        </w:tc>
        <w:tc>
          <w:tcPr>
            <w:tcW w:w="2110" w:type="dxa"/>
          </w:tcPr>
          <w:p w:rsidR="00813125" w:rsidRPr="004043A9" w:rsidRDefault="00813125" w:rsidP="00813125">
            <w:pPr>
              <w:contextualSpacing/>
              <w:rPr>
                <w:rFonts w:ascii="Times New Roman" w:hAnsi="Times New Roman" w:cs="Times New Roman"/>
                <w:b/>
              </w:rPr>
            </w:pPr>
          </w:p>
        </w:tc>
      </w:tr>
      <w:tr w:rsidR="00813125" w:rsidRPr="003A6483"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16</w:t>
            </w:r>
          </w:p>
          <w:p w:rsidR="00813125" w:rsidRPr="009F51C4" w:rsidRDefault="00813125" w:rsidP="00813125">
            <w:pPr>
              <w:contextualSpacing/>
              <w:rPr>
                <w:rFonts w:ascii="Times New Roman" w:hAnsi="Times New Roman" w:cs="Times New Roman"/>
              </w:rPr>
            </w:pPr>
            <w:r>
              <w:rPr>
                <w:rFonts w:ascii="Times New Roman" w:hAnsi="Times New Roman" w:cs="Times New Roman"/>
              </w:rPr>
              <w:t>12/2/15</w:t>
            </w:r>
          </w:p>
        </w:tc>
        <w:tc>
          <w:tcPr>
            <w:tcW w:w="2044" w:type="dxa"/>
          </w:tcPr>
          <w:p w:rsidR="00813125" w:rsidRPr="00A60122" w:rsidRDefault="00813125" w:rsidP="00813125">
            <w:pPr>
              <w:contextualSpacing/>
              <w:rPr>
                <w:rFonts w:ascii="Times New Roman" w:hAnsi="Times New Roman" w:cs="Times New Roman"/>
              </w:rPr>
            </w:pPr>
            <w:r>
              <w:rPr>
                <w:rFonts w:ascii="Times New Roman" w:hAnsi="Times New Roman" w:cs="Times New Roman"/>
              </w:rPr>
              <w:t>None</w:t>
            </w:r>
          </w:p>
        </w:tc>
        <w:tc>
          <w:tcPr>
            <w:tcW w:w="4126" w:type="dxa"/>
          </w:tcPr>
          <w:p w:rsidR="00813125" w:rsidRPr="000E2270" w:rsidRDefault="00813125" w:rsidP="00813125">
            <w:pPr>
              <w:contextualSpacing/>
              <w:rPr>
                <w:rFonts w:ascii="Times New Roman" w:hAnsi="Times New Roman" w:cs="Times New Roman"/>
              </w:rPr>
            </w:pPr>
            <w:r>
              <w:rPr>
                <w:rFonts w:ascii="Times New Roman" w:hAnsi="Times New Roman" w:cs="Times New Roman"/>
              </w:rPr>
              <w:t>Wrap-Up, Review content, Research Reports</w:t>
            </w:r>
          </w:p>
        </w:tc>
        <w:tc>
          <w:tcPr>
            <w:tcW w:w="2110" w:type="dxa"/>
          </w:tcPr>
          <w:p w:rsidR="00813125" w:rsidRPr="00B754A5" w:rsidRDefault="00813125" w:rsidP="00813125">
            <w:pPr>
              <w:contextualSpacing/>
              <w:rPr>
                <w:rFonts w:ascii="Times New Roman" w:hAnsi="Times New Roman" w:cs="Times New Roman"/>
                <w:u w:val="single"/>
              </w:rPr>
            </w:pPr>
            <w:r>
              <w:rPr>
                <w:rFonts w:ascii="Times New Roman" w:hAnsi="Times New Roman" w:cs="Times New Roman"/>
                <w:u w:val="single"/>
              </w:rPr>
              <w:t>Project Part 6 (In Class)</w:t>
            </w:r>
          </w:p>
        </w:tc>
      </w:tr>
      <w:tr w:rsidR="00813125" w:rsidRPr="003A6483" w:rsidTr="00813125">
        <w:tc>
          <w:tcPr>
            <w:tcW w:w="1070" w:type="dxa"/>
            <w:tcBorders>
              <w:left w:val="single" w:sz="4" w:space="0" w:color="auto"/>
            </w:tcBorders>
          </w:tcPr>
          <w:p w:rsidR="00813125" w:rsidRDefault="00813125" w:rsidP="00813125">
            <w:pPr>
              <w:contextualSpacing/>
              <w:rPr>
                <w:rFonts w:ascii="Times New Roman" w:hAnsi="Times New Roman" w:cs="Times New Roman"/>
              </w:rPr>
            </w:pPr>
            <w:r>
              <w:rPr>
                <w:rFonts w:ascii="Times New Roman" w:hAnsi="Times New Roman" w:cs="Times New Roman"/>
              </w:rPr>
              <w:t>17</w:t>
            </w:r>
          </w:p>
          <w:p w:rsidR="00813125" w:rsidRPr="009F51C4" w:rsidRDefault="00813125" w:rsidP="00813125">
            <w:pPr>
              <w:contextualSpacing/>
              <w:rPr>
                <w:rFonts w:ascii="Times New Roman" w:hAnsi="Times New Roman" w:cs="Times New Roman"/>
              </w:rPr>
            </w:pPr>
            <w:r>
              <w:rPr>
                <w:rFonts w:ascii="Times New Roman" w:hAnsi="Times New Roman" w:cs="Times New Roman"/>
              </w:rPr>
              <w:t>12/9/15</w:t>
            </w:r>
          </w:p>
        </w:tc>
        <w:tc>
          <w:tcPr>
            <w:tcW w:w="2044" w:type="dxa"/>
          </w:tcPr>
          <w:p w:rsidR="00813125" w:rsidRPr="00A60122" w:rsidRDefault="00813125" w:rsidP="00813125">
            <w:pPr>
              <w:contextualSpacing/>
              <w:rPr>
                <w:rFonts w:ascii="Times New Roman" w:hAnsi="Times New Roman" w:cs="Times New Roman"/>
              </w:rPr>
            </w:pPr>
            <w:r>
              <w:rPr>
                <w:rFonts w:ascii="Times New Roman" w:hAnsi="Times New Roman" w:cs="Times New Roman"/>
              </w:rPr>
              <w:t>None</w:t>
            </w:r>
          </w:p>
        </w:tc>
        <w:tc>
          <w:tcPr>
            <w:tcW w:w="4126" w:type="dxa"/>
          </w:tcPr>
          <w:p w:rsidR="00813125" w:rsidRDefault="00813125" w:rsidP="00813125">
            <w:pPr>
              <w:contextualSpacing/>
              <w:rPr>
                <w:rFonts w:ascii="Times New Roman" w:hAnsi="Times New Roman" w:cs="Times New Roman"/>
              </w:rPr>
            </w:pPr>
            <w:r>
              <w:rPr>
                <w:rFonts w:ascii="Times New Roman" w:hAnsi="Times New Roman" w:cs="Times New Roman"/>
                <w:b/>
              </w:rPr>
              <w:t>EXAM TWO – ON CANVAS</w:t>
            </w:r>
          </w:p>
          <w:p w:rsidR="00813125" w:rsidRPr="00B76389" w:rsidRDefault="00813125" w:rsidP="00813125">
            <w:pPr>
              <w:contextualSpacing/>
              <w:rPr>
                <w:rFonts w:ascii="Times New Roman" w:hAnsi="Times New Roman" w:cs="Times New Roman"/>
              </w:rPr>
            </w:pPr>
            <w:r>
              <w:rPr>
                <w:rFonts w:ascii="Times New Roman" w:hAnsi="Times New Roman" w:cs="Times New Roman"/>
              </w:rPr>
              <w:t>(Class does not meet – exam online)</w:t>
            </w:r>
          </w:p>
        </w:tc>
        <w:tc>
          <w:tcPr>
            <w:tcW w:w="2110" w:type="dxa"/>
          </w:tcPr>
          <w:p w:rsidR="00813125" w:rsidRPr="00B76389" w:rsidRDefault="00813125" w:rsidP="00813125">
            <w:pPr>
              <w:contextualSpacing/>
              <w:rPr>
                <w:rFonts w:ascii="Times New Roman" w:hAnsi="Times New Roman" w:cs="Times New Roman"/>
                <w:b/>
              </w:rPr>
            </w:pPr>
            <w:r>
              <w:rPr>
                <w:rFonts w:ascii="Times New Roman" w:hAnsi="Times New Roman" w:cs="Times New Roman"/>
                <w:b/>
              </w:rPr>
              <w:t>Exam Two Due by 12/9 at 11:59PM</w:t>
            </w:r>
          </w:p>
          <w:p w:rsidR="00813125" w:rsidRPr="00B76389" w:rsidRDefault="00813125" w:rsidP="00813125">
            <w:pPr>
              <w:contextualSpacing/>
              <w:rPr>
                <w:rFonts w:ascii="Times New Roman" w:hAnsi="Times New Roman" w:cs="Times New Roman"/>
                <w:u w:val="single"/>
              </w:rPr>
            </w:pPr>
            <w:r w:rsidRPr="00B76389">
              <w:rPr>
                <w:rFonts w:ascii="Times New Roman" w:hAnsi="Times New Roman" w:cs="Times New Roman"/>
                <w:u w:val="single"/>
              </w:rPr>
              <w:t>Final Project Due</w:t>
            </w:r>
            <w:r>
              <w:rPr>
                <w:rFonts w:ascii="Times New Roman" w:hAnsi="Times New Roman" w:cs="Times New Roman"/>
                <w:u w:val="single"/>
              </w:rPr>
              <w:t xml:space="preserve"> by 12/7/15 at 11:59PM</w:t>
            </w:r>
          </w:p>
        </w:tc>
      </w:tr>
    </w:tbl>
    <w:p w:rsidR="00EE53B7" w:rsidRPr="003A6483" w:rsidRDefault="00EE53B7" w:rsidP="00403F86">
      <w:pPr>
        <w:rPr>
          <w:rFonts w:ascii="Times New Roman" w:hAnsi="Times New Roman" w:cs="Times New Roman"/>
          <w:i/>
        </w:rPr>
      </w:pPr>
    </w:p>
    <w:p w:rsidR="00403F86" w:rsidRPr="003A6483" w:rsidRDefault="00EE53B7" w:rsidP="00403F86">
      <w:pPr>
        <w:rPr>
          <w:rFonts w:ascii="Times New Roman" w:hAnsi="Times New Roman" w:cs="Times New Roman"/>
        </w:rPr>
        <w:sectPr w:rsidR="00403F86" w:rsidRPr="003A6483">
          <w:pgSz w:w="12240" w:h="15840"/>
          <w:pgMar w:top="1440" w:right="1440" w:bottom="1440" w:left="1440" w:header="720" w:footer="720" w:gutter="0"/>
          <w:cols w:space="720"/>
          <w:docGrid w:linePitch="326"/>
        </w:sectPr>
      </w:pPr>
      <w:r w:rsidRPr="003A6483">
        <w:rPr>
          <w:rFonts w:ascii="Times New Roman" w:hAnsi="Times New Roman" w:cs="Times New Roman"/>
          <w:i/>
        </w:rPr>
        <w:t>Note.</w:t>
      </w:r>
      <w:r w:rsidRPr="003A6483">
        <w:rPr>
          <w:rFonts w:ascii="Times New Roman" w:hAnsi="Times New Roman" w:cs="Times New Roman"/>
        </w:rPr>
        <w:t xml:space="preserve"> All </w:t>
      </w:r>
      <w:r w:rsidR="00974CFE">
        <w:rPr>
          <w:rFonts w:ascii="Times New Roman" w:hAnsi="Times New Roman" w:cs="Times New Roman"/>
        </w:rPr>
        <w:t>readings other than the textbook</w:t>
      </w:r>
      <w:r w:rsidRPr="003A6483">
        <w:rPr>
          <w:rFonts w:ascii="Times New Roman" w:hAnsi="Times New Roman" w:cs="Times New Roman"/>
        </w:rPr>
        <w:t xml:space="preserve"> can be found on </w:t>
      </w:r>
      <w:r w:rsidR="00FC603A">
        <w:rPr>
          <w:rFonts w:ascii="Times New Roman" w:hAnsi="Times New Roman" w:cs="Times New Roman"/>
        </w:rPr>
        <w:t>Blackboard</w:t>
      </w:r>
      <w:r w:rsidRPr="003A6483">
        <w:rPr>
          <w:rFonts w:ascii="Times New Roman" w:hAnsi="Times New Roman" w:cs="Times New Roman"/>
        </w:rPr>
        <w:t xml:space="preserve"> listed under the name of that week’s topic.</w:t>
      </w:r>
      <w:r w:rsidR="000B4208">
        <w:rPr>
          <w:rFonts w:ascii="Times New Roman" w:hAnsi="Times New Roman" w:cs="Times New Roman"/>
        </w:rPr>
        <w:t xml:space="preserve"> Other outside readings may be added to this schedule as needed.</w:t>
      </w: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B76389" w:rsidRP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B76389" w:rsidRPr="00B76389" w:rsidRDefault="00B76389" w:rsidP="00B76389">
      <w:pPr>
        <w:pStyle w:val="ListParagraph"/>
        <w:rPr>
          <w:rFonts w:ascii="Times New Roman" w:hAnsi="Times New Roman"/>
        </w:rPr>
      </w:pPr>
    </w:p>
    <w:p w:rsidR="00B76389" w:rsidRP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B76389" w:rsidRDefault="00B76389" w:rsidP="00B76389">
      <w:pPr>
        <w:pStyle w:val="ListParagraph"/>
        <w:ind w:left="450"/>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phone and/or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2A5433"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sectPr w:rsidR="002A5433"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1"/>
  </w:num>
  <w:num w:numId="5">
    <w:abstractNumId w:val="17"/>
  </w:num>
  <w:num w:numId="6">
    <w:abstractNumId w:val="2"/>
  </w:num>
  <w:num w:numId="7">
    <w:abstractNumId w:val="15"/>
  </w:num>
  <w:num w:numId="8">
    <w:abstractNumId w:val="9"/>
  </w:num>
  <w:num w:numId="9">
    <w:abstractNumId w:val="19"/>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6"/>
  </w:num>
  <w:num w:numId="17">
    <w:abstractNumId w:val="22"/>
  </w:num>
  <w:num w:numId="18">
    <w:abstractNumId w:val="18"/>
  </w:num>
  <w:num w:numId="19">
    <w:abstractNumId w:val="4"/>
  </w:num>
  <w:num w:numId="20">
    <w:abstractNumId w:val="12"/>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765CB"/>
    <w:rsid w:val="001775CB"/>
    <w:rsid w:val="001817D8"/>
    <w:rsid w:val="00196BCA"/>
    <w:rsid w:val="001A56C9"/>
    <w:rsid w:val="001B7744"/>
    <w:rsid w:val="001B7EC0"/>
    <w:rsid w:val="001D7950"/>
    <w:rsid w:val="001E3B7D"/>
    <w:rsid w:val="001E68D6"/>
    <w:rsid w:val="001F5E68"/>
    <w:rsid w:val="00213A29"/>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35662"/>
    <w:rsid w:val="0034459A"/>
    <w:rsid w:val="00387D70"/>
    <w:rsid w:val="003A6483"/>
    <w:rsid w:val="003B04DC"/>
    <w:rsid w:val="003E0B63"/>
    <w:rsid w:val="00400AA2"/>
    <w:rsid w:val="00402D32"/>
    <w:rsid w:val="00403F86"/>
    <w:rsid w:val="004043A9"/>
    <w:rsid w:val="0042015E"/>
    <w:rsid w:val="00427B5F"/>
    <w:rsid w:val="0043613F"/>
    <w:rsid w:val="00440CB9"/>
    <w:rsid w:val="004441E5"/>
    <w:rsid w:val="0045367C"/>
    <w:rsid w:val="00475F4D"/>
    <w:rsid w:val="00482811"/>
    <w:rsid w:val="00486ABF"/>
    <w:rsid w:val="00492BB8"/>
    <w:rsid w:val="00493B7D"/>
    <w:rsid w:val="004F009E"/>
    <w:rsid w:val="005030B6"/>
    <w:rsid w:val="0050607A"/>
    <w:rsid w:val="005245ED"/>
    <w:rsid w:val="00547CE8"/>
    <w:rsid w:val="005540E9"/>
    <w:rsid w:val="005854E7"/>
    <w:rsid w:val="005A52D7"/>
    <w:rsid w:val="005B118B"/>
    <w:rsid w:val="005C02A1"/>
    <w:rsid w:val="005E3A69"/>
    <w:rsid w:val="0062355A"/>
    <w:rsid w:val="00627AA3"/>
    <w:rsid w:val="006364CA"/>
    <w:rsid w:val="00646214"/>
    <w:rsid w:val="00663E60"/>
    <w:rsid w:val="00670129"/>
    <w:rsid w:val="00680A82"/>
    <w:rsid w:val="006878FB"/>
    <w:rsid w:val="006C3D14"/>
    <w:rsid w:val="006E2159"/>
    <w:rsid w:val="007030DA"/>
    <w:rsid w:val="00703432"/>
    <w:rsid w:val="00724B55"/>
    <w:rsid w:val="0077091B"/>
    <w:rsid w:val="00770D0C"/>
    <w:rsid w:val="00771CCF"/>
    <w:rsid w:val="0077339A"/>
    <w:rsid w:val="00785758"/>
    <w:rsid w:val="007C32C4"/>
    <w:rsid w:val="007D0DB3"/>
    <w:rsid w:val="007E75CB"/>
    <w:rsid w:val="0080704F"/>
    <w:rsid w:val="008124DB"/>
    <w:rsid w:val="00813125"/>
    <w:rsid w:val="008337D4"/>
    <w:rsid w:val="00840B24"/>
    <w:rsid w:val="00871A8B"/>
    <w:rsid w:val="00890EF8"/>
    <w:rsid w:val="008912F7"/>
    <w:rsid w:val="008B1030"/>
    <w:rsid w:val="008B11C5"/>
    <w:rsid w:val="008C5D9E"/>
    <w:rsid w:val="008E42AB"/>
    <w:rsid w:val="00931198"/>
    <w:rsid w:val="00962B40"/>
    <w:rsid w:val="00974CFE"/>
    <w:rsid w:val="00981E87"/>
    <w:rsid w:val="009B01D2"/>
    <w:rsid w:val="009B1F49"/>
    <w:rsid w:val="009B3488"/>
    <w:rsid w:val="009C3C19"/>
    <w:rsid w:val="009E7041"/>
    <w:rsid w:val="009F51C4"/>
    <w:rsid w:val="00A12245"/>
    <w:rsid w:val="00A30109"/>
    <w:rsid w:val="00A60122"/>
    <w:rsid w:val="00A91F04"/>
    <w:rsid w:val="00A96771"/>
    <w:rsid w:val="00AB0E60"/>
    <w:rsid w:val="00B03FB2"/>
    <w:rsid w:val="00B059C6"/>
    <w:rsid w:val="00B07DAD"/>
    <w:rsid w:val="00B117F9"/>
    <w:rsid w:val="00B11A36"/>
    <w:rsid w:val="00B229DB"/>
    <w:rsid w:val="00B26AE9"/>
    <w:rsid w:val="00B35F81"/>
    <w:rsid w:val="00B44685"/>
    <w:rsid w:val="00B60A36"/>
    <w:rsid w:val="00B754A5"/>
    <w:rsid w:val="00B76389"/>
    <w:rsid w:val="00BA6295"/>
    <w:rsid w:val="00BC31C1"/>
    <w:rsid w:val="00BE07AB"/>
    <w:rsid w:val="00BE6F50"/>
    <w:rsid w:val="00C05CDF"/>
    <w:rsid w:val="00C27502"/>
    <w:rsid w:val="00C433BC"/>
    <w:rsid w:val="00C530EE"/>
    <w:rsid w:val="00C568A3"/>
    <w:rsid w:val="00CC7156"/>
    <w:rsid w:val="00D000F3"/>
    <w:rsid w:val="00D02258"/>
    <w:rsid w:val="00D05670"/>
    <w:rsid w:val="00D15EA7"/>
    <w:rsid w:val="00D31216"/>
    <w:rsid w:val="00D43676"/>
    <w:rsid w:val="00D43B27"/>
    <w:rsid w:val="00D43B9B"/>
    <w:rsid w:val="00D57674"/>
    <w:rsid w:val="00D66857"/>
    <w:rsid w:val="00D853C4"/>
    <w:rsid w:val="00DC1AC7"/>
    <w:rsid w:val="00DC63D1"/>
    <w:rsid w:val="00DD05DD"/>
    <w:rsid w:val="00DD33C7"/>
    <w:rsid w:val="00DE1EE0"/>
    <w:rsid w:val="00DE5891"/>
    <w:rsid w:val="00E03609"/>
    <w:rsid w:val="00E30C9F"/>
    <w:rsid w:val="00E54D34"/>
    <w:rsid w:val="00E5660B"/>
    <w:rsid w:val="00E767E2"/>
    <w:rsid w:val="00EC56C0"/>
    <w:rsid w:val="00EE39E2"/>
    <w:rsid w:val="00EE53B7"/>
    <w:rsid w:val="00EF1EAE"/>
    <w:rsid w:val="00F1330C"/>
    <w:rsid w:val="00F14CF6"/>
    <w:rsid w:val="00F32C14"/>
    <w:rsid w:val="00F63982"/>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10</cp:revision>
  <cp:lastPrinted>2014-08-19T20:31:00Z</cp:lastPrinted>
  <dcterms:created xsi:type="dcterms:W3CDTF">2015-07-06T16:08:00Z</dcterms:created>
  <dcterms:modified xsi:type="dcterms:W3CDTF">2015-08-17T14:31:00Z</dcterms:modified>
</cp:coreProperties>
</file>