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Default="00063F17" w:rsidP="00F16C63">
      <w:pPr>
        <w:jc w:val="center"/>
        <w:rPr>
          <w:color w:val="E36C0A" w:themeColor="accent6" w:themeShade="BF"/>
          <w:sz w:val="32"/>
        </w:rPr>
      </w:pPr>
    </w:p>
    <w:p w14:paraId="5F5D4868" w14:textId="2AAC3CD8"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CTSE 5010/6010/6016 Fall 2016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2801927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B51D01" w:rsidRPr="00EF2FB8">
        <w:rPr>
          <w:color w:val="1F497D" w:themeColor="text2"/>
        </w:rPr>
        <w:t>L</w:t>
      </w:r>
      <w:r w:rsidR="001718CF">
        <w:rPr>
          <w:color w:val="1F497D" w:themeColor="text2"/>
        </w:rPr>
        <w:t xml:space="preserve">anguage </w:t>
      </w:r>
      <w:r w:rsidR="00F03A98">
        <w:rPr>
          <w:color w:val="1F497D" w:themeColor="text2"/>
        </w:rPr>
        <w:t xml:space="preserve">Study for Teachers; 3 </w:t>
      </w:r>
      <w:proofErr w:type="spellStart"/>
      <w:r w:rsidR="00F03A98">
        <w:rPr>
          <w:color w:val="1F497D" w:themeColor="text2"/>
        </w:rPr>
        <w:t>hrs</w:t>
      </w:r>
      <w:proofErr w:type="spellEnd"/>
    </w:p>
    <w:p w14:paraId="0300A51C" w14:textId="77777777" w:rsidR="00F03A98" w:rsidRDefault="00F03A98" w:rsidP="00F03A98">
      <w:pPr>
        <w:ind w:left="2880" w:hanging="2880"/>
        <w:rPr>
          <w:color w:val="1F497D" w:themeColor="text2"/>
        </w:rPr>
      </w:pPr>
      <w:r>
        <w:rPr>
          <w:color w:val="1F497D" w:themeColor="text2"/>
        </w:rPr>
        <w:t>Room and Schedule: HC 2461; T R 11 a.m. – 12:15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Phone Numb</w:t>
      </w:r>
      <w:bookmarkStart w:id="0" w:name="_GoBack"/>
      <w:bookmarkEnd w:id="0"/>
      <w:r>
        <w:rPr>
          <w:color w:val="1F497D" w:themeColor="text2"/>
        </w:rPr>
        <w:t xml:space="preserve">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3296EA46" w14:textId="429AA74E" w:rsidR="00F16C63" w:rsidRPr="004470E7" w:rsidRDefault="000D1F10" w:rsidP="00D06A60">
      <w:pPr>
        <w:rPr>
          <w:color w:val="1F497D" w:themeColor="text2"/>
        </w:rPr>
      </w:pPr>
      <w:r>
        <w:rPr>
          <w:color w:val="1F497D" w:themeColor="text2"/>
        </w:rPr>
        <w:t>Office Hours</w:t>
      </w:r>
      <w:r w:rsidR="008A3EA3">
        <w:rPr>
          <w:color w:val="1F497D" w:themeColor="text2"/>
        </w:rPr>
        <w:t xml:space="preserve">: </w:t>
      </w:r>
      <w:r w:rsidR="00F03A98">
        <w:rPr>
          <w:color w:val="1F497D" w:themeColor="text2"/>
        </w:rPr>
        <w:t>Tuesdays 1 – 2 p.m.; Thursdays 1 – 4 p.m.</w:t>
      </w:r>
    </w:p>
    <w:p w14:paraId="5D29FE4F" w14:textId="77777777" w:rsidR="004F5963" w:rsidRDefault="004F5963" w:rsidP="004F5963">
      <w:pPr>
        <w:autoSpaceDE w:val="0"/>
        <w:autoSpaceDN w:val="0"/>
        <w:adjustRightInd w:val="0"/>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0F105760" w:rsidR="00F03A98"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The focus of this course is the syntactic and semantic concepts of the English language with the ELA classroom as a frame of reference. We will compare and contrast grammatical concepts and attitudes about usage as presented in traditional school grammar books with concepts and attitudes derived from 20</w:t>
      </w:r>
      <w:r>
        <w:rPr>
          <w:sz w:val="22"/>
          <w:vertAlign w:val="superscript"/>
        </w:rPr>
        <w:t>th</w:t>
      </w:r>
      <w:r>
        <w:rPr>
          <w:sz w:val="22"/>
        </w:rPr>
        <w:t xml:space="preserve"> century linguistics.  One purpose of such comparison is to help pre-service teachers bridge the gap between entrenched ideas about language and ideas derived from a scientific study of language. The course is designed as an active learning course. As such, it is imperative that students are prepared to collaborate in the construction of knowledge.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DF6E4AC" w14:textId="5D5362B8" w:rsidR="00B52636" w:rsidRDefault="00B52636" w:rsidP="00F03A98">
      <w:pPr>
        <w:widowControl w:val="0"/>
        <w:autoSpaceDE w:val="0"/>
        <w:autoSpaceDN w:val="0"/>
        <w:adjustRightInd w:val="0"/>
      </w:pPr>
      <w:proofErr w:type="spellStart"/>
      <w:r w:rsidRPr="00B52636">
        <w:t>Vitto</w:t>
      </w:r>
      <w:proofErr w:type="spellEnd"/>
      <w:r w:rsidRPr="00B52636">
        <w:t xml:space="preserve">, C. (2006). </w:t>
      </w:r>
      <w:r>
        <w:t>Grammar by diagram: Understanding English grammar through traditional sentence diagramming</w:t>
      </w:r>
      <w:r>
        <w:rPr>
          <w:i/>
        </w:rPr>
        <w:t>.</w:t>
      </w:r>
      <w:r>
        <w:t xml:space="preserve"> Ontario, Canada: </w:t>
      </w:r>
      <w:proofErr w:type="spellStart"/>
      <w:r>
        <w:t>Braodview</w:t>
      </w:r>
      <w:proofErr w:type="spellEnd"/>
      <w:r>
        <w:t xml:space="preserve"> Press. ISBN 1-55111-778-9</w:t>
      </w:r>
    </w:p>
    <w:p w14:paraId="60DBF095" w14:textId="63AF761F" w:rsidR="00F03A98" w:rsidRPr="00B52636" w:rsidRDefault="00B52636" w:rsidP="00F03A98">
      <w:pPr>
        <w:widowControl w:val="0"/>
        <w:autoSpaceDE w:val="0"/>
        <w:autoSpaceDN w:val="0"/>
        <w:adjustRightInd w:val="0"/>
      </w:pPr>
      <w:r>
        <w:rPr>
          <w:i/>
        </w:rPr>
        <w:t xml:space="preserve"> </w:t>
      </w:r>
    </w:p>
    <w:p w14:paraId="0D7F7919" w14:textId="3553DC51" w:rsidR="00B52636" w:rsidRDefault="00B52636" w:rsidP="00B52636">
      <w:pPr>
        <w:widowControl w:val="0"/>
        <w:autoSpaceDE w:val="0"/>
        <w:autoSpaceDN w:val="0"/>
        <w:adjustRightInd w:val="0"/>
      </w:pPr>
      <w:proofErr w:type="spellStart"/>
      <w:r w:rsidRPr="00B52636">
        <w:t>Vitto</w:t>
      </w:r>
      <w:proofErr w:type="spellEnd"/>
      <w:r w:rsidRPr="00B52636">
        <w:t xml:space="preserve">, C. (2006). </w:t>
      </w:r>
      <w:r>
        <w:t>Grammar by diagram: Understanding English grammar through traditional sentence diagramming.  Workbook</w:t>
      </w:r>
      <w:r>
        <w:rPr>
          <w:i/>
        </w:rPr>
        <w:t>.</w:t>
      </w:r>
      <w:r>
        <w:t xml:space="preserve"> Ontario, Canada: </w:t>
      </w:r>
      <w:proofErr w:type="spellStart"/>
      <w:r>
        <w:t>Braodview</w:t>
      </w:r>
      <w:proofErr w:type="spellEnd"/>
      <w:r>
        <w:t xml:space="preserve"> Press. </w:t>
      </w:r>
      <w:r>
        <w:rPr>
          <w:i/>
        </w:rPr>
        <w:t xml:space="preserve"> </w:t>
      </w:r>
      <w:r>
        <w:t>ISBN 978-1-55111-901-4</w:t>
      </w:r>
    </w:p>
    <w:p w14:paraId="483BB167" w14:textId="77777777" w:rsidR="00816B46" w:rsidRDefault="00816B46" w:rsidP="00B52636">
      <w:pPr>
        <w:widowControl w:val="0"/>
        <w:autoSpaceDE w:val="0"/>
        <w:autoSpaceDN w:val="0"/>
        <w:adjustRightInd w:val="0"/>
      </w:pPr>
    </w:p>
    <w:p w14:paraId="351196B5" w14:textId="7776BC09" w:rsidR="00816B46" w:rsidRDefault="00816B46" w:rsidP="00B52636">
      <w:pPr>
        <w:widowControl w:val="0"/>
        <w:autoSpaceDE w:val="0"/>
        <w:autoSpaceDN w:val="0"/>
        <w:adjustRightInd w:val="0"/>
      </w:pPr>
      <w:r>
        <w:t>Graduate level only:</w:t>
      </w:r>
    </w:p>
    <w:p w14:paraId="7ECF72DE" w14:textId="77777777" w:rsidR="00816B46" w:rsidRDefault="00816B46" w:rsidP="00B52636">
      <w:pPr>
        <w:widowControl w:val="0"/>
        <w:autoSpaceDE w:val="0"/>
        <w:autoSpaceDN w:val="0"/>
        <w:adjustRightInd w:val="0"/>
      </w:pPr>
    </w:p>
    <w:p w14:paraId="21189C2F" w14:textId="0B4FF812" w:rsidR="00816B46" w:rsidRPr="00B52636" w:rsidRDefault="00D942D9" w:rsidP="00B52636">
      <w:pPr>
        <w:widowControl w:val="0"/>
        <w:autoSpaceDE w:val="0"/>
        <w:autoSpaceDN w:val="0"/>
        <w:adjustRightInd w:val="0"/>
      </w:pPr>
      <w:proofErr w:type="spellStart"/>
      <w:r>
        <w:t>Folse</w:t>
      </w:r>
      <w:proofErr w:type="spellEnd"/>
      <w:r>
        <w:t>, K. (2009). Keys to teaching grammar to English language learners: A practical handbook.  Ann Arbor, MI: University of Michigan Press.</w:t>
      </w:r>
    </w:p>
    <w:p w14:paraId="302CFABC" w14:textId="77777777" w:rsidR="00F03A98" w:rsidRDefault="00F03A98" w:rsidP="000D1F10">
      <w:pPr>
        <w:widowControl w:val="0"/>
        <w:autoSpaceDE w:val="0"/>
        <w:autoSpaceDN w:val="0"/>
        <w:adjustRightInd w:val="0"/>
        <w:spacing w:after="240"/>
        <w:rPr>
          <w:b/>
          <w:bCs/>
          <w:u w:val="single"/>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06D0E9E1" w14:textId="77777777" w:rsidR="00F03A98"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A05315">
        <w:rPr>
          <w:color w:val="000000"/>
        </w:rPr>
        <w:t>Upon completion of this course, students will be able to:</w:t>
      </w:r>
      <w:r w:rsidRPr="00B301B9">
        <w:rPr>
          <w:sz w:val="22"/>
        </w:rPr>
        <w:t xml:space="preserve"> </w:t>
      </w:r>
    </w:p>
    <w:p w14:paraId="17A90162" w14:textId="77777777" w:rsidR="00F03A98"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9A6B942" w14:textId="77777777" w:rsidR="00F03A98" w:rsidRPr="00B301B9"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 xml:space="preserve">1.  Demonstrate knowledge of language including history and grammatical systems, acquisition and development; standard American English, to include clarity of enunciation and expression; and regional and ethnic dialects as expressions of cultural diversity in America.  </w:t>
      </w:r>
      <w:r>
        <w:rPr>
          <w:b/>
          <w:sz w:val="22"/>
        </w:rPr>
        <w:t>ELA (1)(a)1</w:t>
      </w:r>
    </w:p>
    <w:p w14:paraId="1C1DFCB5"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p>
    <w:p w14:paraId="45747C87"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lastRenderedPageBreak/>
        <w:t xml:space="preserve">2.  Review the classification system of traditional Latinate (school) grammar, become familiar with concepts from linguistics, particularly those from </w:t>
      </w:r>
      <w:proofErr w:type="spellStart"/>
      <w:r>
        <w:rPr>
          <w:sz w:val="22"/>
        </w:rPr>
        <w:t>structuralist</w:t>
      </w:r>
      <w:proofErr w:type="spellEnd"/>
      <w:r>
        <w:rPr>
          <w:sz w:val="22"/>
        </w:rPr>
        <w:t xml:space="preserve"> and transformational-generative grammars, and analyze English sentence structure using the analytic tools derived from these various grammatical systems.  </w:t>
      </w:r>
      <w:r>
        <w:rPr>
          <w:b/>
          <w:sz w:val="22"/>
        </w:rPr>
        <w:t>ELA(1)(a)1</w:t>
      </w:r>
    </w:p>
    <w:p w14:paraId="20DA198B"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outlineLvl w:val="0"/>
        <w:rPr>
          <w:b/>
          <w:sz w:val="22"/>
        </w:rPr>
      </w:pPr>
    </w:p>
    <w:p w14:paraId="6A129C72"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r>
        <w:rPr>
          <w:sz w:val="22"/>
        </w:rPr>
        <w:t>3.</w:t>
      </w:r>
      <w:r>
        <w:rPr>
          <w:sz w:val="22"/>
        </w:rPr>
        <w:tab/>
        <w:t xml:space="preserve">Become familiar with changes English has undergone, particularly in its structure and word stock, and with the effects of such change on communication in modern and contemporary English.  </w:t>
      </w:r>
      <w:r>
        <w:rPr>
          <w:b/>
          <w:sz w:val="22"/>
        </w:rPr>
        <w:t>ELA(1)(a)1</w:t>
      </w:r>
      <w:r>
        <w:rPr>
          <w:sz w:val="22"/>
        </w:rPr>
        <w:t xml:space="preserve"> </w:t>
      </w:r>
    </w:p>
    <w:p w14:paraId="6708AF08"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sz w:val="22"/>
        </w:rPr>
      </w:pPr>
    </w:p>
    <w:p w14:paraId="532FBC24"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4.</w:t>
      </w:r>
      <w:r>
        <w:rPr>
          <w:sz w:val="22"/>
        </w:rPr>
        <w:tab/>
        <w:t>Become familiar with how native speakers acquire grammatical competence, with the role error plays in acquisition, and with how prose written by children and adolescents (or those inexperienced with writing at any educational level) differs grammatically (i.e., structurally) from that written by adults who are accomplished in writing</w:t>
      </w:r>
      <w:r>
        <w:rPr>
          <w:b/>
          <w:sz w:val="22"/>
        </w:rPr>
        <w:t>.  ELA(1)(a)1; PS(2)(a)1(iv)</w:t>
      </w:r>
    </w:p>
    <w:p w14:paraId="6951A30B"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sz w:val="22"/>
        </w:rPr>
      </w:pPr>
    </w:p>
    <w:p w14:paraId="7BE8C166"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5.</w:t>
      </w:r>
      <w:r>
        <w:rPr>
          <w:sz w:val="22"/>
        </w:rPr>
        <w:tab/>
        <w:t xml:space="preserve">Explore issues concerning usage (e.g., standardization versus diversity), and become familiar with various perspectives on usage in English and their historical influences (e.g., 18th century prescriptive traditions in contrast to 20th century descriptive linguistic practices; a two-valued orientation versus a multi-valued orientation), and develop an informed position concerning usage, subject to change as new information becomes available.  </w:t>
      </w:r>
      <w:r>
        <w:rPr>
          <w:b/>
          <w:sz w:val="22"/>
        </w:rPr>
        <w:t>ELA(1)(a)1; PS(2)(f)1(I)</w:t>
      </w:r>
    </w:p>
    <w:p w14:paraId="2B504F2E"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b/>
          <w:sz w:val="22"/>
        </w:rPr>
      </w:pPr>
    </w:p>
    <w:p w14:paraId="42FA6B8E"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6.</w:t>
      </w:r>
      <w:r>
        <w:rPr>
          <w:sz w:val="22"/>
        </w:rPr>
        <w:tab/>
        <w:t xml:space="preserve">Become familiar with dialectical variations (e.g., regional, cultural, ethnic, and gender variations in English), and develop an informed position concerning dialects of English, subject to change as new information becomes available.  </w:t>
      </w:r>
      <w:r>
        <w:rPr>
          <w:b/>
          <w:sz w:val="22"/>
        </w:rPr>
        <w:t>ELA(1)(a)1; PS(2)(f)1(ii)</w:t>
      </w:r>
    </w:p>
    <w:p w14:paraId="1BFD0A3E"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sz w:val="22"/>
        </w:rPr>
      </w:pPr>
    </w:p>
    <w:p w14:paraId="557EB654"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7.</w:t>
      </w:r>
      <w:r>
        <w:rPr>
          <w:sz w:val="22"/>
        </w:rPr>
        <w:tab/>
        <w:t xml:space="preserve">Become familiar with the nature of language as a symbol system, including how symbols, linguistic and nonlinguistic, acquire meaning and how readers, viewers, and listeners are affected by and make meaning from symbols used in context.  </w:t>
      </w:r>
      <w:r>
        <w:rPr>
          <w:b/>
          <w:sz w:val="22"/>
        </w:rPr>
        <w:t>ELA(1)(a)6</w:t>
      </w:r>
    </w:p>
    <w:p w14:paraId="79258B21"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sz w:val="22"/>
        </w:rPr>
      </w:pPr>
    </w:p>
    <w:p w14:paraId="3057704B"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8.</w:t>
      </w:r>
      <w:r>
        <w:rPr>
          <w:sz w:val="22"/>
        </w:rPr>
        <w:tab/>
        <w:t xml:space="preserve">Distinguish between informative and affective uses of language, and become familiar with how language can be used to obscure meaning (e.g., doublespeak) or alienate people (e.g., jargon) and with how language can be used to resolve conflicts, particularly those that typically arise in middle school and high school classrooms.  </w:t>
      </w:r>
      <w:r>
        <w:rPr>
          <w:b/>
          <w:sz w:val="22"/>
        </w:rPr>
        <w:t xml:space="preserve">ELA(1)(a)6 </w:t>
      </w:r>
    </w:p>
    <w:p w14:paraId="257BB81A"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sz w:val="22"/>
        </w:rPr>
      </w:pPr>
    </w:p>
    <w:p w14:paraId="16528288" w14:textId="77777777" w:rsidR="00F03A98" w:rsidRDefault="00F03A98" w:rsidP="00F03A9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2"/>
        </w:rPr>
      </w:pPr>
      <w:r>
        <w:rPr>
          <w:sz w:val="22"/>
        </w:rPr>
        <w:t xml:space="preserve">9.  Explore the impact of communication media upon society.  </w:t>
      </w:r>
      <w:r>
        <w:rPr>
          <w:b/>
          <w:sz w:val="22"/>
        </w:rPr>
        <w:t>ELA(1)(a)6</w:t>
      </w:r>
    </w:p>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DC83ECB" w14:textId="77777777" w:rsidR="00F03A98" w:rsidRPr="00B70474" w:rsidRDefault="00F03A98" w:rsidP="00F03A98">
      <w:r>
        <w:rPr>
          <w:b/>
        </w:rPr>
        <w:t>Attendance and Participation</w:t>
      </w:r>
      <w:r>
        <w:t xml:space="preserve"> </w:t>
      </w:r>
      <w:r>
        <w:rPr>
          <w:i/>
        </w:rPr>
        <w:t>(15 @ 10 points each = 150</w:t>
      </w:r>
      <w:r w:rsidRPr="00C139FA">
        <w:rPr>
          <w:i/>
        </w:rPr>
        <w:t xml:space="preserve"> pts.)</w:t>
      </w:r>
      <w:r>
        <w:rPr>
          <w:i/>
        </w:rPr>
        <w:t xml:space="preserve"> </w:t>
      </w:r>
    </w:p>
    <w:p w14:paraId="449B9740" w14:textId="41855AD2" w:rsidR="00F03A98" w:rsidRDefault="00F03A98" w:rsidP="00F03A98">
      <w:pPr>
        <w:rPr>
          <w:b/>
          <w:bCs/>
        </w:rPr>
      </w:pPr>
      <w:r>
        <w:rPr>
          <w:b/>
          <w:bCs/>
        </w:rPr>
        <w:t xml:space="preserve">Quizzes </w:t>
      </w:r>
      <w:r w:rsidR="00AF259B">
        <w:rPr>
          <w:bCs/>
          <w:i/>
        </w:rPr>
        <w:t>(6 @ 25 pts each = 15</w:t>
      </w:r>
      <w:r w:rsidRPr="00B60D87">
        <w:rPr>
          <w:bCs/>
          <w:i/>
        </w:rPr>
        <w:t>0 pts</w:t>
      </w:r>
      <w:r>
        <w:rPr>
          <w:bCs/>
          <w:i/>
        </w:rPr>
        <w:t>.</w:t>
      </w:r>
      <w:r w:rsidRPr="00B60D87">
        <w:rPr>
          <w:bCs/>
          <w:i/>
        </w:rPr>
        <w:t>)</w:t>
      </w:r>
    </w:p>
    <w:p w14:paraId="2C8DC0EF" w14:textId="05B2E64E" w:rsidR="00F03A98" w:rsidRPr="00275DC5" w:rsidRDefault="00F03A98" w:rsidP="00F03A98">
      <w:pPr>
        <w:rPr>
          <w:i/>
        </w:rPr>
      </w:pPr>
      <w:r>
        <w:rPr>
          <w:b/>
          <w:bCs/>
        </w:rPr>
        <w:t xml:space="preserve">Short Story Analysis </w:t>
      </w:r>
      <w:r w:rsidRPr="00275DC5">
        <w:rPr>
          <w:bCs/>
          <w:i/>
        </w:rPr>
        <w:t>(100 pts.)</w:t>
      </w:r>
      <w:r>
        <w:t xml:space="preserve">  </w:t>
      </w:r>
      <w:r w:rsidRPr="00275DC5">
        <w:rPr>
          <w:i/>
        </w:rPr>
        <w:t xml:space="preserve">Students will choose an appropriate short story to use for grammatical analysis. Work will be submitted </w:t>
      </w:r>
      <w:r>
        <w:rPr>
          <w:i/>
        </w:rPr>
        <w:t>in two parts</w:t>
      </w:r>
      <w:r w:rsidRPr="00275DC5">
        <w:rPr>
          <w:i/>
        </w:rPr>
        <w:t xml:space="preserve">. </w:t>
      </w:r>
    </w:p>
    <w:p w14:paraId="159D7EA2" w14:textId="07F90CEE" w:rsidR="00F03A98" w:rsidRPr="009A6E29" w:rsidRDefault="00F03A98" w:rsidP="00F03A98">
      <w:r>
        <w:rPr>
          <w:b/>
          <w:bCs/>
        </w:rPr>
        <w:t xml:space="preserve">Grammar Tests </w:t>
      </w:r>
      <w:r w:rsidRPr="00225A0A">
        <w:rPr>
          <w:bCs/>
          <w:i/>
        </w:rPr>
        <w:t xml:space="preserve">(3 scheduled @ </w:t>
      </w:r>
      <w:r>
        <w:rPr>
          <w:bCs/>
          <w:i/>
        </w:rPr>
        <w:t>100</w:t>
      </w:r>
      <w:r w:rsidRPr="00225A0A">
        <w:rPr>
          <w:bCs/>
          <w:i/>
        </w:rPr>
        <w:t xml:space="preserve"> pts. each = </w:t>
      </w:r>
      <w:r>
        <w:rPr>
          <w:bCs/>
          <w:i/>
        </w:rPr>
        <w:t>300</w:t>
      </w:r>
      <w:r w:rsidRPr="00225A0A">
        <w:rPr>
          <w:bCs/>
          <w:i/>
        </w:rPr>
        <w:t xml:space="preserve"> pts.)</w:t>
      </w:r>
      <w:r>
        <w:rPr>
          <w:i/>
        </w:rPr>
        <w:t xml:space="preserve"> Tests will be given as scheduled on course syllabus and will address the preceding weeks’ material.</w:t>
      </w:r>
    </w:p>
    <w:p w14:paraId="36E775F4" w14:textId="593E4794" w:rsidR="00F03A98" w:rsidRPr="00C51B8E" w:rsidRDefault="00F03A98" w:rsidP="00F03A98">
      <w:pPr>
        <w:rPr>
          <w:b/>
        </w:rPr>
      </w:pPr>
      <w:r>
        <w:rPr>
          <w:b/>
        </w:rPr>
        <w:t>Grammar Game Creation</w:t>
      </w:r>
      <w:r w:rsidRPr="00C51B8E">
        <w:rPr>
          <w:b/>
        </w:rPr>
        <w:t xml:space="preserve"> </w:t>
      </w:r>
      <w:r w:rsidRPr="00C51B8E">
        <w:rPr>
          <w:i/>
        </w:rPr>
        <w:t>(</w:t>
      </w:r>
      <w:r w:rsidR="00AF259B">
        <w:rPr>
          <w:i/>
        </w:rPr>
        <w:t>10</w:t>
      </w:r>
      <w:r>
        <w:rPr>
          <w:i/>
        </w:rPr>
        <w:t>0</w:t>
      </w:r>
      <w:r w:rsidRPr="00C51B8E">
        <w:rPr>
          <w:i/>
        </w:rPr>
        <w:t xml:space="preserve"> pts.)</w:t>
      </w:r>
      <w:r>
        <w:rPr>
          <w:i/>
        </w:rPr>
        <w:t xml:space="preserve"> Students will work in groups to prepare a grammar game suitable for high-school aged students based on course concepts.</w:t>
      </w:r>
    </w:p>
    <w:p w14:paraId="1901C9D5" w14:textId="25AB3818" w:rsidR="00F03A98" w:rsidRPr="00EE210D" w:rsidRDefault="00F03A98" w:rsidP="00F03A98">
      <w:pPr>
        <w:rPr>
          <w:i/>
        </w:rPr>
      </w:pPr>
      <w:r>
        <w:rPr>
          <w:b/>
          <w:bCs/>
        </w:rPr>
        <w:t>FINAL EXAM: TBA</w:t>
      </w:r>
      <w:r>
        <w:rPr>
          <w:bCs/>
          <w:i/>
        </w:rPr>
        <w:t xml:space="preserve"> 200 points</w:t>
      </w:r>
    </w:p>
    <w:p w14:paraId="2C6CA8A0" w14:textId="77777777" w:rsidR="00C77A4F" w:rsidRPr="00DF2F29" w:rsidRDefault="00C77A4F" w:rsidP="00C77A4F">
      <w:pPr>
        <w:ind w:left="720"/>
        <w:rPr>
          <w:sz w:val="22"/>
          <w:szCs w:val="22"/>
        </w:rPr>
      </w:pPr>
    </w:p>
    <w:p w14:paraId="5F8DD106" w14:textId="46286D1C" w:rsidR="00C77A4F" w:rsidRDefault="00C77A4F" w:rsidP="00C77A4F">
      <w:pPr>
        <w:ind w:left="720"/>
        <w:rPr>
          <w:sz w:val="22"/>
          <w:szCs w:val="22"/>
        </w:rPr>
      </w:pPr>
      <w:r w:rsidRPr="00DF2F29">
        <w:rPr>
          <w:sz w:val="22"/>
          <w:szCs w:val="22"/>
          <w:u w:val="single"/>
        </w:rPr>
        <w:t>Attendance and Participation</w:t>
      </w:r>
      <w:r w:rsidRPr="00DF2F29">
        <w:rPr>
          <w:sz w:val="22"/>
          <w:szCs w:val="22"/>
        </w:rPr>
        <w:t xml:space="preserve">: Class content and processes related to </w:t>
      </w:r>
      <w:r w:rsidR="00AE14BA">
        <w:rPr>
          <w:sz w:val="22"/>
          <w:szCs w:val="22"/>
        </w:rPr>
        <w:t>English grammar and issues of language</w:t>
      </w:r>
      <w:r w:rsidRPr="00DF2F29">
        <w:rPr>
          <w:sz w:val="22"/>
          <w:szCs w:val="22"/>
        </w:rPr>
        <w:t xml:space="preserve"> are based on social interaction, applications of cooperative learning act</w:t>
      </w:r>
      <w:r w:rsidR="00AE14BA">
        <w:rPr>
          <w:sz w:val="22"/>
          <w:szCs w:val="22"/>
        </w:rPr>
        <w:t>ivities, shared discussions</w:t>
      </w:r>
      <w:r w:rsidRPr="00DF2F29">
        <w:rPr>
          <w:sz w:val="22"/>
          <w:szCs w:val="22"/>
        </w:rPr>
        <w:t xml:space="preserve">, and collaboration. Due to the participatory nature of learning experiences in this class, students are expected to have an </w:t>
      </w:r>
      <w:r w:rsidR="00665582" w:rsidRPr="00665582">
        <w:rPr>
          <w:i/>
          <w:sz w:val="22"/>
          <w:szCs w:val="22"/>
        </w:rPr>
        <w:t>active</w:t>
      </w:r>
      <w:r w:rsidRPr="00DF2F29">
        <w:rPr>
          <w:sz w:val="22"/>
          <w:szCs w:val="22"/>
        </w:rPr>
        <w:t xml:space="preserve"> presence and adhere to all course requirements explained in class policies.</w:t>
      </w:r>
    </w:p>
    <w:p w14:paraId="34ECA8CE" w14:textId="77777777" w:rsidR="006A0151" w:rsidRDefault="006A0151" w:rsidP="00C77A4F">
      <w:pPr>
        <w:ind w:left="720"/>
        <w:rPr>
          <w:sz w:val="22"/>
          <w:szCs w:val="22"/>
        </w:rPr>
      </w:pPr>
    </w:p>
    <w:p w14:paraId="7614C46B" w14:textId="56875D8B" w:rsidR="006A0151" w:rsidRPr="00DF2F29" w:rsidRDefault="006A0151" w:rsidP="00C77A4F">
      <w:pPr>
        <w:ind w:left="720"/>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 xml:space="preserve">sday. Discussion </w:t>
      </w:r>
      <w:r w:rsidR="00E372BA">
        <w:rPr>
          <w:rFonts w:ascii="Times" w:hAnsi="Times"/>
          <w:sz w:val="22"/>
        </w:rPr>
        <w:t>b</w:t>
      </w:r>
      <w:r>
        <w:rPr>
          <w:rFonts w:ascii="Times" w:hAnsi="Times"/>
          <w:sz w:val="22"/>
        </w:rPr>
        <w:t xml:space="preserve">oard postings will </w:t>
      </w:r>
      <w:r w:rsidR="00E372BA" w:rsidRPr="00E372BA">
        <w:rPr>
          <w:rFonts w:ascii="Times" w:hAnsi="Times"/>
          <w:i/>
          <w:sz w:val="22"/>
        </w:rPr>
        <w:t>not</w:t>
      </w:r>
      <w:r>
        <w:rPr>
          <w:rFonts w:ascii="Times" w:hAnsi="Times"/>
          <w:sz w:val="22"/>
        </w:rPr>
        <w:t xml:space="preserve"> be accepted late.</w:t>
      </w:r>
      <w:r w:rsidR="00551DA2">
        <w:rPr>
          <w:rFonts w:ascii="Times" w:hAnsi="Times"/>
          <w:sz w:val="22"/>
        </w:rPr>
        <w:t xml:space="preserve"> </w:t>
      </w:r>
    </w:p>
    <w:p w14:paraId="5E98B748" w14:textId="77777777" w:rsidR="00C77A4F" w:rsidRPr="00DF2F29" w:rsidRDefault="00C77A4F" w:rsidP="00C77A4F">
      <w:pPr>
        <w:rPr>
          <w:sz w:val="22"/>
          <w:szCs w:val="22"/>
          <w:u w:val="single"/>
        </w:rPr>
      </w:pPr>
    </w:p>
    <w:p w14:paraId="23BC38C6" w14:textId="592E7E55"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AE14BA">
        <w:rPr>
          <w:sz w:val="22"/>
          <w:szCs w:val="22"/>
        </w:rPr>
        <w:t>required textbook and workbook</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2F30ABE9" w14:textId="0EC82FEF" w:rsidR="00AE14BA" w:rsidRPr="00007ED8" w:rsidRDefault="00AE14BA" w:rsidP="00007ED8">
      <w:pPr>
        <w:ind w:left="720"/>
        <w:rPr>
          <w:color w:val="000000"/>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Pr="00AE14BA">
        <w:rPr>
          <w:color w:val="000000"/>
          <w:sz w:val="22"/>
          <w:szCs w:val="22"/>
        </w:rPr>
        <w:t xml:space="preserve">Graduate students fulfill all undergraduate requirements, plus a) prepare an online presentation about a language related issue, and </w:t>
      </w:r>
      <w:r w:rsidR="00B52636">
        <w:rPr>
          <w:color w:val="000000"/>
          <w:sz w:val="22"/>
          <w:szCs w:val="22"/>
        </w:rPr>
        <w:t>b)</w:t>
      </w:r>
      <w:r w:rsidRPr="00AE14BA">
        <w:rPr>
          <w:color w:val="000000"/>
          <w:sz w:val="22"/>
          <w:szCs w:val="22"/>
        </w:rPr>
        <w:t xml:space="preserve"> create a Grammar Key Resource for ELLs.  Consultations with instructor will </w:t>
      </w:r>
      <w:r w:rsidR="00B52636">
        <w:rPr>
          <w:color w:val="000000"/>
          <w:sz w:val="22"/>
          <w:szCs w:val="22"/>
        </w:rPr>
        <w:t xml:space="preserve">be held to discuss </w:t>
      </w:r>
      <w:r w:rsidRPr="00AE14BA">
        <w:rPr>
          <w:color w:val="000000"/>
          <w:sz w:val="22"/>
          <w:szCs w:val="22"/>
        </w:rPr>
        <w:t>each requirement.</w:t>
      </w:r>
      <w:r w:rsidRPr="00F7661F">
        <w:rPr>
          <w:color w:val="000000"/>
        </w:rPr>
        <w:t xml:space="preserve"> </w:t>
      </w:r>
    </w:p>
    <w:p w14:paraId="5B6C6C24" w14:textId="697D919E" w:rsidR="00244067" w:rsidRPr="00DF2F29" w:rsidRDefault="00244067" w:rsidP="00C77A4F">
      <w:pPr>
        <w:ind w:left="720"/>
        <w:rPr>
          <w:sz w:val="22"/>
          <w:szCs w:val="22"/>
        </w:rPr>
      </w:pPr>
    </w:p>
    <w:p w14:paraId="50A4C13D" w14:textId="138CB7EF" w:rsidR="00C77A4F" w:rsidRPr="00AE14BA" w:rsidRDefault="00C77A4F" w:rsidP="00B52636">
      <w:pPr>
        <w:spacing w:after="200"/>
        <w:ind w:firstLine="720"/>
        <w:rPr>
          <w:sz w:val="22"/>
          <w:szCs w:val="22"/>
          <w:u w:val="single"/>
        </w:rPr>
      </w:pPr>
      <w:r w:rsidRPr="00AE14BA">
        <w:rPr>
          <w:sz w:val="22"/>
          <w:szCs w:val="22"/>
          <w:u w:val="single"/>
        </w:rPr>
        <w:t>Grading and Evaluation:</w:t>
      </w:r>
    </w:p>
    <w:p w14:paraId="05789D56" w14:textId="77777777" w:rsidR="00AE14BA" w:rsidRDefault="006F4A17" w:rsidP="00AE14BA">
      <w:pPr>
        <w:ind w:firstLine="720"/>
        <w:rPr>
          <w:rFonts w:eastAsiaTheme="minorEastAsia"/>
          <w:sz w:val="22"/>
          <w:szCs w:val="22"/>
          <w:lang w:eastAsia="ja-JP"/>
        </w:rPr>
      </w:pPr>
      <w:r w:rsidRPr="006F4A17">
        <w:rPr>
          <w:rFonts w:eastAsiaTheme="minorEastAsia"/>
          <w:sz w:val="22"/>
          <w:szCs w:val="22"/>
          <w:lang w:eastAsia="ja-JP"/>
        </w:rPr>
        <w:t xml:space="preserve">Late assignments will result in a 10% grade deduction per weekday, to a maximum 30% lost points. </w:t>
      </w:r>
    </w:p>
    <w:p w14:paraId="381B011F" w14:textId="77777777" w:rsidR="00AE14BA" w:rsidRDefault="006F4A17" w:rsidP="00AE14BA">
      <w:pPr>
        <w:ind w:firstLine="720"/>
        <w:rPr>
          <w:rFonts w:eastAsiaTheme="minorEastAsia"/>
          <w:sz w:val="22"/>
          <w:szCs w:val="22"/>
          <w:lang w:eastAsia="ja-JP"/>
        </w:rPr>
      </w:pPr>
      <w:r w:rsidRPr="006F4A17">
        <w:rPr>
          <w:rFonts w:eastAsiaTheme="minorEastAsia"/>
          <w:sz w:val="22"/>
          <w:szCs w:val="22"/>
          <w:lang w:eastAsia="ja-JP"/>
        </w:rPr>
        <w:t>The grading scale will be:  </w:t>
      </w:r>
    </w:p>
    <w:p w14:paraId="57EE18A1" w14:textId="18E63631" w:rsidR="00AE14BA" w:rsidRPr="00B37328" w:rsidRDefault="00AE14BA" w:rsidP="00AE14BA">
      <w:pPr>
        <w:ind w:firstLine="720"/>
        <w:rPr>
          <w:b/>
        </w:rPr>
      </w:pPr>
      <w:r>
        <w:rPr>
          <w:b/>
        </w:rPr>
        <w:t>A   = 1000-900 points or 100 – 90 average</w:t>
      </w:r>
      <w:r w:rsidRPr="00B37328">
        <w:rPr>
          <w:b/>
        </w:rPr>
        <w:t xml:space="preserve">               </w:t>
      </w:r>
    </w:p>
    <w:p w14:paraId="6433B972" w14:textId="52B9B437" w:rsidR="00AE14BA" w:rsidRPr="00B37328" w:rsidRDefault="00AE14BA" w:rsidP="00AE14BA">
      <w:pPr>
        <w:ind w:firstLine="720"/>
        <w:rPr>
          <w:b/>
        </w:rPr>
      </w:pPr>
      <w:r>
        <w:rPr>
          <w:b/>
        </w:rPr>
        <w:t xml:space="preserve">B   = </w:t>
      </w:r>
      <w:proofErr w:type="gramStart"/>
      <w:r>
        <w:rPr>
          <w:b/>
        </w:rPr>
        <w:t>899  -</w:t>
      </w:r>
      <w:proofErr w:type="gramEnd"/>
      <w:r>
        <w:rPr>
          <w:b/>
        </w:rPr>
        <w:t>800 points or 89 – 80 average</w:t>
      </w:r>
      <w:r w:rsidRPr="00B37328">
        <w:rPr>
          <w:b/>
        </w:rPr>
        <w:t xml:space="preserve">         </w:t>
      </w:r>
    </w:p>
    <w:p w14:paraId="2F5E25E7" w14:textId="191DE6B0" w:rsidR="00AE14BA" w:rsidRPr="00B37328" w:rsidRDefault="00AE14BA" w:rsidP="00AE14BA">
      <w:pPr>
        <w:ind w:firstLine="720"/>
        <w:rPr>
          <w:b/>
        </w:rPr>
      </w:pPr>
      <w:r>
        <w:rPr>
          <w:b/>
        </w:rPr>
        <w:t xml:space="preserve">C   = </w:t>
      </w:r>
      <w:proofErr w:type="gramStart"/>
      <w:r>
        <w:rPr>
          <w:b/>
        </w:rPr>
        <w:t>799  -</w:t>
      </w:r>
      <w:proofErr w:type="gramEnd"/>
      <w:r>
        <w:rPr>
          <w:b/>
        </w:rPr>
        <w:t>700 points or 79 – 70 average</w:t>
      </w:r>
      <w:r w:rsidRPr="00B37328">
        <w:rPr>
          <w:b/>
        </w:rPr>
        <w:t xml:space="preserve">              </w:t>
      </w:r>
    </w:p>
    <w:p w14:paraId="49E0E071" w14:textId="008DDF4D" w:rsidR="00AE14BA" w:rsidRPr="00B37328" w:rsidRDefault="00AE14BA" w:rsidP="00AE14BA">
      <w:pPr>
        <w:ind w:firstLine="720"/>
        <w:rPr>
          <w:b/>
        </w:rPr>
      </w:pPr>
      <w:r w:rsidRPr="00B37328">
        <w:rPr>
          <w:b/>
        </w:rPr>
        <w:t xml:space="preserve">D   = </w:t>
      </w:r>
      <w:proofErr w:type="gramStart"/>
      <w:r>
        <w:rPr>
          <w:b/>
        </w:rPr>
        <w:t>699  -</w:t>
      </w:r>
      <w:proofErr w:type="gramEnd"/>
      <w:r>
        <w:rPr>
          <w:b/>
        </w:rPr>
        <w:t>600 points or 69 – 60 average</w:t>
      </w:r>
      <w:r w:rsidRPr="00B37328">
        <w:rPr>
          <w:b/>
        </w:rPr>
        <w:t xml:space="preserve">                 </w:t>
      </w:r>
    </w:p>
    <w:p w14:paraId="1756CEF5" w14:textId="5DBC4791" w:rsidR="00E372BA" w:rsidRDefault="00AE14BA" w:rsidP="00AE14BA">
      <w:pPr>
        <w:ind w:firstLine="720"/>
        <w:rPr>
          <w:b/>
        </w:rPr>
      </w:pPr>
      <w:r w:rsidRPr="00B37328">
        <w:rPr>
          <w:b/>
        </w:rPr>
        <w:t xml:space="preserve">F   </w:t>
      </w:r>
      <w:proofErr w:type="gramStart"/>
      <w:r w:rsidRPr="00B37328">
        <w:rPr>
          <w:b/>
        </w:rPr>
        <w:t xml:space="preserve">=  </w:t>
      </w:r>
      <w:r>
        <w:rPr>
          <w:b/>
        </w:rPr>
        <w:t>599</w:t>
      </w:r>
      <w:proofErr w:type="gramEnd"/>
      <w:r w:rsidRPr="00B37328">
        <w:rPr>
          <w:b/>
        </w:rPr>
        <w:t xml:space="preserve"> or below</w:t>
      </w:r>
      <w:r>
        <w:rPr>
          <w:b/>
        </w:rPr>
        <w:t xml:space="preserve"> points or 59 or below average</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E14BA" w:rsidRDefault="00AE14BA" w:rsidP="00AE14BA">
      <w:pPr>
        <w:pStyle w:val="ListParagraph"/>
        <w:numPr>
          <w:ilvl w:val="0"/>
          <w:numId w:val="44"/>
        </w:numPr>
        <w:autoSpaceDE w:val="0"/>
        <w:autoSpaceDN w:val="0"/>
        <w:adjustRightInd w:val="0"/>
        <w:spacing w:line="276" w:lineRule="auto"/>
        <w:rPr>
          <w:rFonts w:cs="Arial"/>
          <w:i/>
          <w:sz w:val="22"/>
          <w:szCs w:val="22"/>
        </w:rPr>
      </w:pPr>
      <w:r w:rsidRPr="00AE14BA">
        <w:rPr>
          <w:b/>
          <w:sz w:val="22"/>
          <w:szCs w:val="22"/>
          <w:u w:val="single"/>
        </w:rPr>
        <w:t>Attendance/Absences</w:t>
      </w:r>
      <w:r w:rsidRPr="00AE14BA">
        <w:rPr>
          <w:b/>
          <w:sz w:val="22"/>
          <w:szCs w:val="22"/>
        </w:rPr>
        <w:t>:</w:t>
      </w:r>
      <w:r w:rsidRPr="00AE14BA">
        <w:rPr>
          <w:sz w:val="22"/>
          <w:szCs w:val="22"/>
        </w:rPr>
        <w:t xml:space="preserve">  </w:t>
      </w:r>
      <w:r w:rsidRPr="00AE14BA">
        <w:rPr>
          <w:rFonts w:cs="Arial"/>
          <w:b/>
          <w:bCs/>
          <w:sz w:val="22"/>
          <w:szCs w:val="22"/>
        </w:rPr>
        <w:t>Excused Absences</w:t>
      </w:r>
      <w:r w:rsidRPr="00AE14BA">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2CD775D9" w14:textId="77777777" w:rsidR="00AE14BA" w:rsidRPr="00AE14BA" w:rsidRDefault="00AE14BA" w:rsidP="00AE14BA">
      <w:pPr>
        <w:pStyle w:val="ListParagraph"/>
        <w:numPr>
          <w:ilvl w:val="0"/>
          <w:numId w:val="44"/>
        </w:numPr>
        <w:autoSpaceDE w:val="0"/>
        <w:autoSpaceDN w:val="0"/>
        <w:adjustRightInd w:val="0"/>
        <w:spacing w:line="276" w:lineRule="auto"/>
        <w:rPr>
          <w:rFonts w:cs="Arial"/>
          <w:sz w:val="22"/>
          <w:szCs w:val="22"/>
        </w:rPr>
      </w:pPr>
      <w:r w:rsidRPr="00AE14BA">
        <w:rPr>
          <w:rFonts w:cs="Arial"/>
          <w:b/>
          <w:bCs/>
          <w:sz w:val="22"/>
          <w:szCs w:val="22"/>
          <w:u w:val="single"/>
        </w:rPr>
        <w:t>Make-Up Policy</w:t>
      </w:r>
      <w:r w:rsidRPr="00AE14BA">
        <w:rPr>
          <w:rFonts w:cs="Arial"/>
          <w:b/>
          <w:bCs/>
          <w:sz w:val="22"/>
          <w:szCs w:val="22"/>
        </w:rPr>
        <w:t xml:space="preserve">: </w:t>
      </w:r>
      <w:r w:rsidRPr="00AE14BA">
        <w:rPr>
          <w:rFonts w:cs="Arial"/>
          <w:bCs/>
          <w:sz w:val="22"/>
          <w:szCs w:val="22"/>
        </w:rPr>
        <w:t>Arrangement</w:t>
      </w:r>
      <w:r w:rsidRPr="00AE14BA">
        <w:rPr>
          <w:rFonts w:cs="Arial"/>
          <w:bCs/>
          <w:color w:val="000000" w:themeColor="text1"/>
          <w:sz w:val="22"/>
          <w:szCs w:val="22"/>
        </w:rPr>
        <w:t>s</w:t>
      </w:r>
      <w:r w:rsidRPr="00AE14BA">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60D0CC0A" w14:textId="77777777" w:rsidR="00AE14BA" w:rsidRPr="00521B84" w:rsidRDefault="00AE14BA" w:rsidP="00AE14BA">
      <w:pPr>
        <w:pStyle w:val="ListParagraph"/>
        <w:numPr>
          <w:ilvl w:val="0"/>
          <w:numId w:val="44"/>
        </w:numPr>
        <w:autoSpaceDE w:val="0"/>
        <w:autoSpaceDN w:val="0"/>
        <w:adjustRightInd w:val="0"/>
        <w:spacing w:line="276" w:lineRule="auto"/>
        <w:rPr>
          <w:rFonts w:cs="Arial"/>
        </w:rPr>
      </w:pPr>
      <w:r w:rsidRPr="00AE14BA">
        <w:rPr>
          <w:rFonts w:cs="Arial"/>
          <w:b/>
          <w:bCs/>
          <w:sz w:val="22"/>
          <w:szCs w:val="22"/>
          <w:u w:val="single"/>
        </w:rPr>
        <w:t>Late Assignments</w:t>
      </w:r>
      <w:r w:rsidRPr="00AE14BA">
        <w:rPr>
          <w:rFonts w:cs="Arial"/>
          <w:b/>
          <w:bCs/>
          <w:sz w:val="22"/>
          <w:szCs w:val="22"/>
        </w:rPr>
        <w:t>:</w:t>
      </w:r>
      <w:r w:rsidRPr="00AE14BA">
        <w:rPr>
          <w:rFonts w:cs="Arial"/>
          <w:sz w:val="22"/>
          <w:szCs w:val="22"/>
        </w:rPr>
        <w:t xml:space="preserve"> </w:t>
      </w:r>
      <w:r w:rsidRPr="00AE14BA">
        <w:rPr>
          <w:sz w:val="22"/>
          <w:szCs w:val="22"/>
        </w:rPr>
        <w:t>Late assignments lose 10% credit per unexcused day late to a maximum of 30% lost credit.</w:t>
      </w:r>
      <w:r w:rsidRPr="00521B84">
        <w:t xml:space="preserve">  </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w:t>
      </w:r>
      <w:r w:rsidRPr="007713FC">
        <w:rPr>
          <w:rFonts w:ascii="Times" w:hAnsi="Times"/>
          <w:sz w:val="22"/>
          <w:szCs w:val="22"/>
        </w:rPr>
        <w:lastRenderedPageBreak/>
        <w:t>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36B8FB6" w14:textId="77777777" w:rsidR="00B52636" w:rsidRDefault="00B52636">
      <w:pPr>
        <w:spacing w:after="200"/>
        <w:rPr>
          <w:rFonts w:ascii="Times" w:hAnsi="Times"/>
          <w:b/>
          <w:sz w:val="22"/>
          <w:szCs w:val="22"/>
          <w:u w:val="single"/>
        </w:rPr>
      </w:pPr>
      <w:r>
        <w:rPr>
          <w:rFonts w:ascii="Times" w:hAnsi="Times"/>
          <w:b/>
          <w:sz w:val="22"/>
          <w:szCs w:val="22"/>
          <w:u w:val="single"/>
        </w:rPr>
        <w:br w:type="page"/>
      </w:r>
    </w:p>
    <w:p w14:paraId="2EAD7529" w14:textId="1878F56A" w:rsidR="00EC5FBA" w:rsidRDefault="00D94360" w:rsidP="005766AE">
      <w:pPr>
        <w:rPr>
          <w:rFonts w:ascii="Times" w:hAnsi="Times"/>
          <w:sz w:val="22"/>
          <w:szCs w:val="22"/>
        </w:rPr>
      </w:pPr>
      <w:r w:rsidRPr="00EC5FBA">
        <w:rPr>
          <w:rFonts w:ascii="Times" w:hAnsi="Times"/>
          <w:b/>
          <w:sz w:val="22"/>
          <w:szCs w:val="22"/>
          <w:u w:val="single"/>
        </w:rPr>
        <w:lastRenderedPageBreak/>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D814869" w14:textId="77777777" w:rsidR="00B52636" w:rsidRDefault="000B31CD" w:rsidP="00B52636">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13C3C93A" w:rsidR="000B31CD" w:rsidRPr="00B52636" w:rsidRDefault="000B31CD" w:rsidP="00B52636">
      <w:pPr>
        <w:spacing w:after="200"/>
        <w:ind w:left="720"/>
        <w:rPr>
          <w:rFonts w:ascii="Times" w:hAnsi="Times"/>
          <w:b/>
          <w:sz w:val="22"/>
          <w:szCs w:val="22"/>
          <w:u w:val="single"/>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44ECAB1C" w14:textId="77777777" w:rsidR="00AE14BA" w:rsidRDefault="00AE14BA" w:rsidP="00AE14BA">
      <w:pPr>
        <w:tabs>
          <w:tab w:val="left" w:pos="720"/>
        </w:tabs>
        <w:rPr>
          <w:sz w:val="22"/>
          <w:szCs w:val="22"/>
        </w:rPr>
      </w:pPr>
      <w:r w:rsidRPr="00AE14BA">
        <w:rPr>
          <w:b/>
          <w:sz w:val="22"/>
          <w:szCs w:val="22"/>
          <w:u w:val="single"/>
        </w:rPr>
        <w:t>Distance Learning Students</w:t>
      </w:r>
      <w:r w:rsidRPr="00AE14BA">
        <w:rPr>
          <w:sz w:val="22"/>
          <w:szCs w:val="22"/>
        </w:rPr>
        <w:t xml:space="preserve">: </w:t>
      </w:r>
    </w:p>
    <w:p w14:paraId="7FA3AB39" w14:textId="7B589371" w:rsidR="00AE14BA" w:rsidRPr="00AE14BA" w:rsidRDefault="00AE14BA" w:rsidP="00AE14BA">
      <w:pPr>
        <w:tabs>
          <w:tab w:val="left" w:pos="720"/>
        </w:tabs>
        <w:ind w:left="720"/>
        <w:rPr>
          <w:sz w:val="22"/>
          <w:szCs w:val="22"/>
        </w:rPr>
      </w:pPr>
      <w:r w:rsidRPr="00AE14BA">
        <w:rPr>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626"/>
        <w:gridCol w:w="2804"/>
        <w:gridCol w:w="1686"/>
        <w:gridCol w:w="4626"/>
      </w:tblGrid>
      <w:tr w:rsidR="001838DA" w14:paraId="166D4AFA" w14:textId="77777777" w:rsidTr="00AF259B">
        <w:trPr>
          <w:cnfStyle w:val="100000000000" w:firstRow="1" w:lastRow="0" w:firstColumn="0" w:lastColumn="0" w:oddVBand="0" w:evenVBand="0" w:oddHBand="0" w:evenHBand="0" w:firstRowFirstColumn="0" w:firstRowLastColumn="0" w:lastRowFirstColumn="0" w:lastRowLastColumn="0"/>
          <w:cantSplit/>
          <w:trHeight w:val="327"/>
        </w:trPr>
        <w:tc>
          <w:tcPr>
            <w:tcW w:w="75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C75886" w:rsidRPr="00C85390" w:rsidRDefault="00C75886" w:rsidP="00D65D98">
            <w:pPr>
              <w:rPr>
                <w:color w:val="000000" w:themeColor="text1"/>
              </w:rPr>
            </w:pPr>
            <w:r w:rsidRPr="00C85390">
              <w:rPr>
                <w:color w:val="000000" w:themeColor="text1"/>
              </w:rPr>
              <w:t xml:space="preserve">Week </w:t>
            </w:r>
          </w:p>
        </w:tc>
        <w:tc>
          <w:tcPr>
            <w:tcW w:w="130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C75886" w:rsidRPr="00C85390" w:rsidRDefault="00C75886" w:rsidP="00D65D98">
            <w:pPr>
              <w:rPr>
                <w:color w:val="000000" w:themeColor="text1"/>
              </w:rPr>
            </w:pPr>
            <w:r w:rsidRPr="00C85390">
              <w:rPr>
                <w:color w:val="000000" w:themeColor="text1"/>
              </w:rPr>
              <w:t>Topics</w:t>
            </w:r>
          </w:p>
        </w:tc>
        <w:tc>
          <w:tcPr>
            <w:tcW w:w="78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7777777" w:rsidR="00C75886" w:rsidRPr="00C85390" w:rsidRDefault="00C75886" w:rsidP="00D65D98">
            <w:pPr>
              <w:rPr>
                <w:color w:val="000000" w:themeColor="text1"/>
              </w:rPr>
            </w:pPr>
            <w:r w:rsidRPr="00C85390">
              <w:rPr>
                <w:color w:val="000000" w:themeColor="text1"/>
              </w:rPr>
              <w:t xml:space="preserve">Reading </w:t>
            </w:r>
          </w:p>
          <w:p w14:paraId="3E087D11" w14:textId="2BDC7A4E" w:rsidR="00C75886" w:rsidRPr="00C85390" w:rsidRDefault="00C75886" w:rsidP="00D65D98">
            <w:pPr>
              <w:rPr>
                <w:color w:val="000000" w:themeColor="text1"/>
              </w:rPr>
            </w:pPr>
          </w:p>
        </w:tc>
        <w:tc>
          <w:tcPr>
            <w:tcW w:w="215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C75886" w:rsidRPr="00C85390" w:rsidRDefault="00C75886" w:rsidP="00D65D98">
            <w:pPr>
              <w:rPr>
                <w:color w:val="000000" w:themeColor="text1"/>
              </w:rPr>
            </w:pPr>
            <w:r w:rsidRPr="00C85390">
              <w:rPr>
                <w:color w:val="000000" w:themeColor="text1"/>
              </w:rPr>
              <w:t>Assignments</w:t>
            </w:r>
          </w:p>
        </w:tc>
      </w:tr>
      <w:tr w:rsidR="001838DA" w14:paraId="02438114" w14:textId="77777777" w:rsidTr="00AF259B">
        <w:trPr>
          <w:cantSplit/>
          <w:trHeight w:val="849"/>
        </w:trPr>
        <w:tc>
          <w:tcPr>
            <w:tcW w:w="757" w:type="pct"/>
            <w:tcBorders>
              <w:top w:val="single" w:sz="6" w:space="0" w:color="17365D" w:themeColor="text2" w:themeShade="BF"/>
            </w:tcBorders>
            <w:noWrap/>
          </w:tcPr>
          <w:p w14:paraId="71CA7C96" w14:textId="2339338B" w:rsidR="00C75886" w:rsidRPr="00C85390" w:rsidRDefault="00C75886" w:rsidP="00D65D98">
            <w:pPr>
              <w:rPr>
                <w:color w:val="000000" w:themeColor="text1"/>
              </w:rPr>
            </w:pPr>
            <w:r>
              <w:rPr>
                <w:b/>
              </w:rPr>
              <w:t xml:space="preserve">1:  </w:t>
            </w:r>
            <w:r w:rsidR="001838DA">
              <w:rPr>
                <w:b/>
              </w:rPr>
              <w:t>8/16, 8/18</w:t>
            </w:r>
          </w:p>
          <w:p w14:paraId="001A7F35" w14:textId="77777777" w:rsidR="00C75886" w:rsidRPr="00C85390" w:rsidRDefault="00C75886" w:rsidP="00D65D98">
            <w:pPr>
              <w:rPr>
                <w:color w:val="000000" w:themeColor="text1"/>
              </w:rPr>
            </w:pPr>
          </w:p>
          <w:p w14:paraId="300D428B" w14:textId="393AFE99" w:rsidR="00C75886" w:rsidRPr="00C85390" w:rsidRDefault="00C75886" w:rsidP="00D65D98">
            <w:pPr>
              <w:rPr>
                <w:color w:val="000000" w:themeColor="text1"/>
              </w:rPr>
            </w:pPr>
          </w:p>
        </w:tc>
        <w:tc>
          <w:tcPr>
            <w:tcW w:w="1305" w:type="pct"/>
            <w:tcBorders>
              <w:top w:val="single" w:sz="6" w:space="0" w:color="17365D" w:themeColor="text2" w:themeShade="BF"/>
            </w:tcBorders>
          </w:tcPr>
          <w:p w14:paraId="330C542F" w14:textId="084E1177" w:rsidR="00C75886" w:rsidRDefault="00C75886" w:rsidP="002445CD">
            <w:pPr>
              <w:rPr>
                <w:b/>
              </w:rPr>
            </w:pPr>
            <w:r>
              <w:rPr>
                <w:b/>
              </w:rPr>
              <w:t>Introduction</w:t>
            </w:r>
            <w:r w:rsidR="001838DA">
              <w:rPr>
                <w:b/>
              </w:rPr>
              <w:t xml:space="preserve"> &amp; </w:t>
            </w:r>
            <w:r>
              <w:rPr>
                <w:b/>
              </w:rPr>
              <w:t>Syllabus</w:t>
            </w:r>
          </w:p>
          <w:p w14:paraId="09FFB370" w14:textId="3600C8BD" w:rsidR="00C75886" w:rsidRDefault="00C75886" w:rsidP="002445CD">
            <w:pPr>
              <w:rPr>
                <w:b/>
              </w:rPr>
            </w:pPr>
            <w:r>
              <w:rPr>
                <w:b/>
              </w:rPr>
              <w:t>Parts of Speech</w:t>
            </w:r>
            <w:r w:rsidR="001838DA">
              <w:rPr>
                <w:b/>
              </w:rPr>
              <w:t xml:space="preserve"> </w:t>
            </w:r>
            <w:proofErr w:type="spellStart"/>
            <w:r w:rsidR="001838DA">
              <w:rPr>
                <w:b/>
              </w:rPr>
              <w:t>Reivew</w:t>
            </w:r>
            <w:proofErr w:type="spellEnd"/>
          </w:p>
          <w:p w14:paraId="07BE9D06" w14:textId="03EE0F05" w:rsidR="00C75886" w:rsidRPr="00A3094D" w:rsidRDefault="00C75886" w:rsidP="00512043">
            <w:pPr>
              <w:rPr>
                <w:color w:val="000000" w:themeColor="text1"/>
                <w:sz w:val="20"/>
                <w:szCs w:val="20"/>
              </w:rPr>
            </w:pPr>
            <w:r>
              <w:rPr>
                <w:b/>
              </w:rPr>
              <w:t>Pre-test</w:t>
            </w:r>
          </w:p>
        </w:tc>
        <w:tc>
          <w:tcPr>
            <w:tcW w:w="785" w:type="pct"/>
            <w:tcBorders>
              <w:top w:val="single" w:sz="6" w:space="0" w:color="17365D" w:themeColor="text2" w:themeShade="BF"/>
            </w:tcBorders>
          </w:tcPr>
          <w:p w14:paraId="369AB071" w14:textId="68A53CE5" w:rsidR="00C75886" w:rsidRPr="00C85390" w:rsidRDefault="00C75886" w:rsidP="00512043">
            <w:pPr>
              <w:pStyle w:val="DecimalAligned"/>
              <w:spacing w:after="0" w:line="240" w:lineRule="auto"/>
              <w:contextualSpacing/>
              <w:rPr>
                <w:color w:val="000000" w:themeColor="text1"/>
                <w:sz w:val="20"/>
                <w:szCs w:val="20"/>
              </w:rPr>
            </w:pPr>
            <w:r>
              <w:rPr>
                <w:rFonts w:ascii="Times New Roman" w:hAnsi="Times New Roman"/>
                <w:b/>
              </w:rPr>
              <w:t>Syllabus</w:t>
            </w:r>
            <w:r w:rsidRPr="00C85390">
              <w:rPr>
                <w:color w:val="000000" w:themeColor="text1"/>
                <w:sz w:val="20"/>
                <w:szCs w:val="20"/>
              </w:rPr>
              <w:t xml:space="preserve"> </w:t>
            </w:r>
          </w:p>
        </w:tc>
        <w:tc>
          <w:tcPr>
            <w:tcW w:w="2153" w:type="pct"/>
            <w:tcBorders>
              <w:top w:val="single" w:sz="6" w:space="0" w:color="17365D" w:themeColor="text2" w:themeShade="BF"/>
            </w:tcBorders>
          </w:tcPr>
          <w:p w14:paraId="1210847A" w14:textId="6332315D" w:rsidR="00C75886" w:rsidRDefault="00A3094D" w:rsidP="00512043">
            <w:pPr>
              <w:pStyle w:val="DecimalAligned"/>
              <w:spacing w:after="0" w:line="240" w:lineRule="auto"/>
              <w:rPr>
                <w:rFonts w:ascii="Times New Roman" w:hAnsi="Times New Roman"/>
                <w:b/>
              </w:rPr>
            </w:pPr>
            <w:r>
              <w:rPr>
                <w:rFonts w:ascii="Times New Roman" w:hAnsi="Times New Roman"/>
                <w:b/>
              </w:rPr>
              <w:t xml:space="preserve">Parts of Speech Poster </w:t>
            </w:r>
            <w:r w:rsidR="001838DA">
              <w:rPr>
                <w:rFonts w:ascii="Times New Roman" w:hAnsi="Times New Roman"/>
                <w:b/>
              </w:rPr>
              <w:t>(in class)</w:t>
            </w:r>
          </w:p>
          <w:p w14:paraId="51CBE7A4" w14:textId="253B67DE" w:rsidR="001838DA" w:rsidRDefault="001838DA" w:rsidP="00512043">
            <w:pPr>
              <w:pStyle w:val="DecimalAligned"/>
              <w:spacing w:after="0" w:line="240" w:lineRule="auto"/>
              <w:rPr>
                <w:rFonts w:ascii="Times New Roman" w:hAnsi="Times New Roman"/>
                <w:b/>
              </w:rPr>
            </w:pPr>
            <w:r>
              <w:rPr>
                <w:rFonts w:ascii="Times New Roman" w:hAnsi="Times New Roman"/>
                <w:b/>
              </w:rPr>
              <w:t>Choose Short Story</w:t>
            </w:r>
          </w:p>
          <w:p w14:paraId="179CB1E7" w14:textId="1723B614" w:rsidR="00A3094D" w:rsidRDefault="00A3094D" w:rsidP="00512043">
            <w:pPr>
              <w:pStyle w:val="DecimalAligned"/>
              <w:spacing w:after="0" w:line="240" w:lineRule="auto"/>
              <w:rPr>
                <w:color w:val="000000" w:themeColor="text1"/>
                <w:sz w:val="20"/>
                <w:szCs w:val="20"/>
              </w:rPr>
            </w:pPr>
            <w:r>
              <w:rPr>
                <w:rFonts w:ascii="Times New Roman" w:hAnsi="Times New Roman"/>
                <w:b/>
              </w:rPr>
              <w:t>Pre Test</w:t>
            </w:r>
            <w:r w:rsidR="00AF259B">
              <w:rPr>
                <w:rFonts w:ascii="Times New Roman" w:hAnsi="Times New Roman"/>
                <w:b/>
              </w:rPr>
              <w:t xml:space="preserve"> (8/18)</w:t>
            </w:r>
          </w:p>
          <w:p w14:paraId="7D478712" w14:textId="652A94D0" w:rsidR="00C75886" w:rsidRPr="00C85390" w:rsidRDefault="00C75886" w:rsidP="00A3094D">
            <w:pPr>
              <w:pStyle w:val="DecimalAligned"/>
              <w:spacing w:after="0" w:line="240" w:lineRule="auto"/>
              <w:rPr>
                <w:color w:val="000000" w:themeColor="text1"/>
                <w:sz w:val="20"/>
                <w:szCs w:val="20"/>
              </w:rPr>
            </w:pPr>
          </w:p>
        </w:tc>
      </w:tr>
      <w:tr w:rsidR="001838DA" w14:paraId="4D6F5971" w14:textId="77777777" w:rsidTr="00AF259B">
        <w:trPr>
          <w:cantSplit/>
          <w:trHeight w:val="557"/>
        </w:trPr>
        <w:tc>
          <w:tcPr>
            <w:tcW w:w="757" w:type="pct"/>
            <w:noWrap/>
          </w:tcPr>
          <w:p w14:paraId="541089FD" w14:textId="647B2440" w:rsidR="00C75886" w:rsidRPr="00C85390" w:rsidRDefault="00C75886" w:rsidP="001838DA">
            <w:pPr>
              <w:rPr>
                <w:color w:val="000000" w:themeColor="text1"/>
              </w:rPr>
            </w:pPr>
            <w:r>
              <w:rPr>
                <w:b/>
              </w:rPr>
              <w:t xml:space="preserve">2: </w:t>
            </w:r>
            <w:r w:rsidR="001838DA">
              <w:rPr>
                <w:b/>
              </w:rPr>
              <w:t>8/23, 8/25</w:t>
            </w:r>
          </w:p>
        </w:tc>
        <w:tc>
          <w:tcPr>
            <w:tcW w:w="1305" w:type="pct"/>
          </w:tcPr>
          <w:p w14:paraId="198A9F9B" w14:textId="185E72F8" w:rsidR="00C75886" w:rsidRPr="00C85390" w:rsidRDefault="00C75886" w:rsidP="00A3094D">
            <w:pPr>
              <w:pStyle w:val="DecimalAligned"/>
              <w:spacing w:line="240" w:lineRule="auto"/>
              <w:rPr>
                <w:color w:val="000000" w:themeColor="text1"/>
                <w:sz w:val="20"/>
                <w:szCs w:val="20"/>
              </w:rPr>
            </w:pPr>
            <w:r w:rsidRPr="00C85390">
              <w:rPr>
                <w:color w:val="000000" w:themeColor="text1"/>
                <w:sz w:val="20"/>
                <w:szCs w:val="20"/>
              </w:rPr>
              <w:t xml:space="preserve"> </w:t>
            </w:r>
            <w:r w:rsidR="00A3094D">
              <w:rPr>
                <w:rFonts w:ascii="Times New Roman" w:hAnsi="Times New Roman"/>
                <w:b/>
              </w:rPr>
              <w:t xml:space="preserve">Sentence Patterns I - V </w:t>
            </w:r>
          </w:p>
        </w:tc>
        <w:tc>
          <w:tcPr>
            <w:tcW w:w="785" w:type="pct"/>
          </w:tcPr>
          <w:p w14:paraId="23FB19CE" w14:textId="77777777" w:rsidR="00A3094D" w:rsidRDefault="00A3094D" w:rsidP="00C75886">
            <w:pPr>
              <w:pStyle w:val="DecimalAligned"/>
              <w:spacing w:line="240" w:lineRule="auto"/>
              <w:contextualSpacing/>
              <w:rPr>
                <w:rFonts w:ascii="Times New Roman" w:hAnsi="Times New Roman"/>
                <w:b/>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1</w:t>
            </w:r>
          </w:p>
          <w:p w14:paraId="53B3D446" w14:textId="316D888F" w:rsidR="00C75886" w:rsidRPr="00C85390" w:rsidRDefault="00C75886" w:rsidP="00C75886">
            <w:pPr>
              <w:pStyle w:val="DecimalAligned"/>
              <w:spacing w:line="240" w:lineRule="auto"/>
              <w:contextualSpacing/>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2 </w:t>
            </w:r>
          </w:p>
        </w:tc>
        <w:tc>
          <w:tcPr>
            <w:tcW w:w="2153" w:type="pct"/>
          </w:tcPr>
          <w:p w14:paraId="15198ABC" w14:textId="0407D732" w:rsidR="00C75886" w:rsidRPr="00C85390" w:rsidRDefault="00AF259B" w:rsidP="00AF259B">
            <w:pPr>
              <w:pStyle w:val="DecimalAligned"/>
              <w:spacing w:after="0" w:line="240" w:lineRule="auto"/>
              <w:rPr>
                <w:color w:val="000000" w:themeColor="text1"/>
                <w:sz w:val="20"/>
                <w:szCs w:val="20"/>
              </w:rPr>
            </w:pPr>
            <w:r>
              <w:rPr>
                <w:rFonts w:ascii="Times New Roman" w:hAnsi="Times New Roman"/>
                <w:b/>
              </w:rPr>
              <w:t xml:space="preserve">Quiz 1: </w:t>
            </w:r>
            <w:r w:rsidR="00A3094D">
              <w:rPr>
                <w:rFonts w:ascii="Times New Roman" w:hAnsi="Times New Roman"/>
                <w:b/>
              </w:rPr>
              <w:t xml:space="preserve">Parts of Speech </w:t>
            </w:r>
            <w:r>
              <w:rPr>
                <w:rFonts w:ascii="Times New Roman" w:hAnsi="Times New Roman"/>
                <w:b/>
              </w:rPr>
              <w:t>(8/25)</w:t>
            </w:r>
          </w:p>
        </w:tc>
      </w:tr>
      <w:tr w:rsidR="001838DA" w14:paraId="04B77A0D" w14:textId="77777777" w:rsidTr="00AF259B">
        <w:trPr>
          <w:cantSplit/>
          <w:trHeight w:val="557"/>
        </w:trPr>
        <w:tc>
          <w:tcPr>
            <w:tcW w:w="757" w:type="pct"/>
            <w:noWrap/>
          </w:tcPr>
          <w:p w14:paraId="00D67033" w14:textId="632A9366" w:rsidR="00C75886" w:rsidRPr="00C85390" w:rsidRDefault="00C75886" w:rsidP="00D65D98">
            <w:pPr>
              <w:rPr>
                <w:color w:val="000000" w:themeColor="text1"/>
              </w:rPr>
            </w:pPr>
            <w:r>
              <w:rPr>
                <w:b/>
              </w:rPr>
              <w:t xml:space="preserve">3: </w:t>
            </w:r>
            <w:r w:rsidR="001838DA">
              <w:rPr>
                <w:b/>
              </w:rPr>
              <w:t>8/30, 9/</w:t>
            </w:r>
            <w:r>
              <w:rPr>
                <w:b/>
              </w:rPr>
              <w:t>1</w:t>
            </w:r>
          </w:p>
          <w:p w14:paraId="2D01C0B0" w14:textId="274618BD" w:rsidR="00C75886" w:rsidRPr="00C85390" w:rsidRDefault="00C75886" w:rsidP="00D65D98">
            <w:pPr>
              <w:rPr>
                <w:color w:val="000000" w:themeColor="text1"/>
              </w:rPr>
            </w:pPr>
          </w:p>
        </w:tc>
        <w:tc>
          <w:tcPr>
            <w:tcW w:w="1305" w:type="pct"/>
          </w:tcPr>
          <w:p w14:paraId="3749E04D" w14:textId="2E86C987" w:rsidR="00C75886" w:rsidRPr="00C85390" w:rsidRDefault="00A3094D" w:rsidP="000336F1">
            <w:pPr>
              <w:pStyle w:val="DecimalAligned"/>
              <w:spacing w:line="240" w:lineRule="auto"/>
              <w:rPr>
                <w:color w:val="000000" w:themeColor="text1"/>
                <w:sz w:val="20"/>
                <w:szCs w:val="20"/>
              </w:rPr>
            </w:pPr>
            <w:r>
              <w:rPr>
                <w:rFonts w:ascii="Times New Roman" w:hAnsi="Times New Roman"/>
                <w:b/>
              </w:rPr>
              <w:t>Sentence Patterns VI - X</w:t>
            </w:r>
          </w:p>
        </w:tc>
        <w:tc>
          <w:tcPr>
            <w:tcW w:w="785" w:type="pct"/>
          </w:tcPr>
          <w:p w14:paraId="5D5A9E72" w14:textId="787D67D5" w:rsidR="00C75886" w:rsidRDefault="00C75886" w:rsidP="00C75886">
            <w:pPr>
              <w:rPr>
                <w:b/>
              </w:rPr>
            </w:pPr>
            <w:proofErr w:type="spellStart"/>
            <w:r>
              <w:rPr>
                <w:b/>
              </w:rPr>
              <w:t>Vitto</w:t>
            </w:r>
            <w:proofErr w:type="spellEnd"/>
            <w:r>
              <w:rPr>
                <w:b/>
              </w:rPr>
              <w:t xml:space="preserve">, </w:t>
            </w:r>
            <w:proofErr w:type="spellStart"/>
            <w:r>
              <w:rPr>
                <w:b/>
              </w:rPr>
              <w:t>ch</w:t>
            </w:r>
            <w:proofErr w:type="spellEnd"/>
            <w:r>
              <w:rPr>
                <w:b/>
              </w:rPr>
              <w:t xml:space="preserve"> 3 </w:t>
            </w:r>
          </w:p>
          <w:p w14:paraId="2545F24C" w14:textId="58702359" w:rsidR="00C75886" w:rsidRPr="00C85390" w:rsidRDefault="00C75886" w:rsidP="000336F1">
            <w:pPr>
              <w:pStyle w:val="DecimalAligned"/>
              <w:contextualSpacing/>
              <w:rPr>
                <w:color w:val="000000" w:themeColor="text1"/>
                <w:sz w:val="20"/>
                <w:szCs w:val="20"/>
              </w:rPr>
            </w:pPr>
          </w:p>
        </w:tc>
        <w:tc>
          <w:tcPr>
            <w:tcW w:w="2153" w:type="pct"/>
          </w:tcPr>
          <w:p w14:paraId="076D0F8D" w14:textId="4AC9E219" w:rsidR="00C75886" w:rsidRPr="00C85390" w:rsidRDefault="00AF259B" w:rsidP="00AF259B">
            <w:pPr>
              <w:pStyle w:val="DecimalAligned"/>
              <w:rPr>
                <w:color w:val="000000" w:themeColor="text1"/>
                <w:sz w:val="20"/>
                <w:szCs w:val="20"/>
              </w:rPr>
            </w:pPr>
            <w:r>
              <w:rPr>
                <w:rFonts w:ascii="Times New Roman" w:hAnsi="Times New Roman"/>
                <w:b/>
              </w:rPr>
              <w:t xml:space="preserve">Quiz 2: </w:t>
            </w:r>
            <w:r w:rsidR="00A3094D">
              <w:rPr>
                <w:rFonts w:ascii="Times New Roman" w:hAnsi="Times New Roman"/>
                <w:b/>
              </w:rPr>
              <w:t xml:space="preserve">Sentence Patterns </w:t>
            </w:r>
            <w:r>
              <w:rPr>
                <w:rFonts w:ascii="Times New Roman" w:hAnsi="Times New Roman"/>
                <w:b/>
              </w:rPr>
              <w:t>(9/1)</w:t>
            </w:r>
          </w:p>
        </w:tc>
      </w:tr>
      <w:tr w:rsidR="001838DA" w14:paraId="49702C1B" w14:textId="77777777" w:rsidTr="00AF259B">
        <w:trPr>
          <w:cantSplit/>
          <w:trHeight w:val="791"/>
        </w:trPr>
        <w:tc>
          <w:tcPr>
            <w:tcW w:w="757" w:type="pct"/>
            <w:noWrap/>
          </w:tcPr>
          <w:p w14:paraId="0EAB6319" w14:textId="65114962" w:rsidR="00C75886" w:rsidRPr="00C85390" w:rsidRDefault="00C75886" w:rsidP="001838DA">
            <w:pPr>
              <w:rPr>
                <w:color w:val="000000" w:themeColor="text1"/>
              </w:rPr>
            </w:pPr>
            <w:r>
              <w:rPr>
                <w:b/>
              </w:rPr>
              <w:t xml:space="preserve">4: </w:t>
            </w:r>
            <w:r w:rsidR="001838DA">
              <w:rPr>
                <w:b/>
              </w:rPr>
              <w:t>9/6, 9/8</w:t>
            </w:r>
          </w:p>
        </w:tc>
        <w:tc>
          <w:tcPr>
            <w:tcW w:w="1305" w:type="pct"/>
          </w:tcPr>
          <w:p w14:paraId="6005819C" w14:textId="3D24ADD5" w:rsidR="00C75886" w:rsidRPr="00C85390" w:rsidRDefault="00A3094D" w:rsidP="000336F1">
            <w:pPr>
              <w:pStyle w:val="DecimalAligned"/>
              <w:rPr>
                <w:color w:val="000000" w:themeColor="text1"/>
                <w:sz w:val="20"/>
                <w:szCs w:val="20"/>
              </w:rPr>
            </w:pPr>
            <w:r>
              <w:rPr>
                <w:rFonts w:ascii="Times New Roman" w:hAnsi="Times New Roman"/>
                <w:b/>
              </w:rPr>
              <w:t>More Sentence Pattern Practice* or alternate topic</w:t>
            </w:r>
          </w:p>
        </w:tc>
        <w:tc>
          <w:tcPr>
            <w:tcW w:w="785" w:type="pct"/>
          </w:tcPr>
          <w:p w14:paraId="634612E4" w14:textId="6EC9AF31" w:rsidR="00C75886" w:rsidRPr="00C85390" w:rsidRDefault="00C75886" w:rsidP="00C75886">
            <w:pPr>
              <w:rPr>
                <w:color w:val="000000" w:themeColor="text1"/>
                <w:sz w:val="20"/>
                <w:szCs w:val="20"/>
              </w:rPr>
            </w:pPr>
          </w:p>
        </w:tc>
        <w:tc>
          <w:tcPr>
            <w:tcW w:w="2153" w:type="pct"/>
          </w:tcPr>
          <w:p w14:paraId="126E78CB" w14:textId="29572FE3" w:rsidR="00C75886" w:rsidRPr="00C85390" w:rsidRDefault="00205C00" w:rsidP="00A3094D">
            <w:pPr>
              <w:pStyle w:val="DecimalAligned"/>
              <w:spacing w:after="0" w:line="240" w:lineRule="auto"/>
              <w:rPr>
                <w:color w:val="000000" w:themeColor="text1"/>
                <w:sz w:val="20"/>
                <w:szCs w:val="20"/>
              </w:rPr>
            </w:pPr>
            <w:r>
              <w:rPr>
                <w:rFonts w:ascii="Times New Roman" w:hAnsi="Times New Roman"/>
                <w:b/>
              </w:rPr>
              <w:t>Short Story Analysis Part 1</w:t>
            </w:r>
            <w:r w:rsidR="00AF259B">
              <w:rPr>
                <w:rFonts w:ascii="Times New Roman" w:hAnsi="Times New Roman"/>
                <w:b/>
              </w:rPr>
              <w:t xml:space="preserve"> (DUE 9/11)</w:t>
            </w:r>
          </w:p>
        </w:tc>
      </w:tr>
      <w:tr w:rsidR="001838DA" w:rsidRPr="00F8796E" w14:paraId="6939B397" w14:textId="77777777" w:rsidTr="00AF259B">
        <w:trPr>
          <w:cantSplit/>
          <w:trHeight w:val="872"/>
        </w:trPr>
        <w:tc>
          <w:tcPr>
            <w:tcW w:w="757" w:type="pct"/>
            <w:noWrap/>
          </w:tcPr>
          <w:p w14:paraId="115E6B8F" w14:textId="633911A9" w:rsidR="00C75886" w:rsidRPr="00C85390" w:rsidRDefault="00C75886" w:rsidP="00D65D98">
            <w:pPr>
              <w:rPr>
                <w:color w:val="000000" w:themeColor="text1"/>
              </w:rPr>
            </w:pPr>
            <w:r>
              <w:rPr>
                <w:b/>
              </w:rPr>
              <w:t xml:space="preserve">5:  </w:t>
            </w:r>
            <w:r w:rsidR="001838DA">
              <w:rPr>
                <w:b/>
              </w:rPr>
              <w:t>9/13, 9/15</w:t>
            </w:r>
            <w:r>
              <w:rPr>
                <w:color w:val="000000" w:themeColor="text1"/>
              </w:rPr>
              <w:t xml:space="preserve"> </w:t>
            </w:r>
          </w:p>
          <w:p w14:paraId="6E50F675" w14:textId="77777777" w:rsidR="00C75886" w:rsidRPr="00C85390" w:rsidRDefault="00C75886" w:rsidP="00D65D98">
            <w:pPr>
              <w:rPr>
                <w:color w:val="000000" w:themeColor="text1"/>
              </w:rPr>
            </w:pPr>
          </w:p>
          <w:p w14:paraId="40780880" w14:textId="472FC661" w:rsidR="00C75886" w:rsidRPr="00C85390" w:rsidRDefault="00C75886" w:rsidP="00D65D98">
            <w:pPr>
              <w:rPr>
                <w:color w:val="000000" w:themeColor="text1"/>
              </w:rPr>
            </w:pPr>
          </w:p>
        </w:tc>
        <w:tc>
          <w:tcPr>
            <w:tcW w:w="1305" w:type="pct"/>
          </w:tcPr>
          <w:p w14:paraId="57EAF38F" w14:textId="42E02EFF" w:rsidR="00C75886" w:rsidRPr="00C85390" w:rsidRDefault="00A3094D" w:rsidP="000336F1">
            <w:pPr>
              <w:pStyle w:val="DecimalAligned"/>
              <w:rPr>
                <w:color w:val="000000" w:themeColor="text1"/>
                <w:sz w:val="20"/>
                <w:szCs w:val="20"/>
              </w:rPr>
            </w:pPr>
            <w:r>
              <w:rPr>
                <w:rFonts w:ascii="Times New Roman" w:hAnsi="Times New Roman"/>
                <w:b/>
              </w:rPr>
              <w:t>The Verb Expansion Rule (reading to be provided)</w:t>
            </w:r>
          </w:p>
        </w:tc>
        <w:tc>
          <w:tcPr>
            <w:tcW w:w="785" w:type="pct"/>
          </w:tcPr>
          <w:p w14:paraId="6B8EA5B7" w14:textId="477D8321" w:rsidR="00C75886" w:rsidRPr="00C85390" w:rsidRDefault="00C75886" w:rsidP="009C675B">
            <w:pPr>
              <w:pStyle w:val="DecimalAligned"/>
              <w:contextualSpacing/>
              <w:rPr>
                <w:color w:val="000000" w:themeColor="text1"/>
                <w:sz w:val="20"/>
                <w:szCs w:val="20"/>
              </w:rPr>
            </w:pPr>
          </w:p>
        </w:tc>
        <w:tc>
          <w:tcPr>
            <w:tcW w:w="2153" w:type="pct"/>
          </w:tcPr>
          <w:p w14:paraId="5A78457B" w14:textId="4AB6474D" w:rsidR="00C75886" w:rsidRPr="00C85390" w:rsidRDefault="00AF259B" w:rsidP="00AF259B">
            <w:pPr>
              <w:pStyle w:val="DecimalAligned"/>
              <w:spacing w:after="0"/>
              <w:rPr>
                <w:color w:val="000000" w:themeColor="text1"/>
                <w:sz w:val="20"/>
                <w:szCs w:val="20"/>
              </w:rPr>
            </w:pPr>
            <w:r>
              <w:rPr>
                <w:rFonts w:ascii="Times New Roman" w:hAnsi="Times New Roman"/>
                <w:b/>
              </w:rPr>
              <w:t xml:space="preserve">Quiz 3: </w:t>
            </w:r>
            <w:r w:rsidR="00A3094D">
              <w:rPr>
                <w:rFonts w:ascii="Times New Roman" w:hAnsi="Times New Roman"/>
                <w:b/>
              </w:rPr>
              <w:t xml:space="preserve">Verb Expansion Rule </w:t>
            </w:r>
            <w:r>
              <w:rPr>
                <w:rFonts w:ascii="Times New Roman" w:hAnsi="Times New Roman"/>
                <w:b/>
              </w:rPr>
              <w:t>(9/15)</w:t>
            </w:r>
          </w:p>
        </w:tc>
      </w:tr>
      <w:tr w:rsidR="001838DA" w:rsidRPr="00F8796E" w14:paraId="21011731" w14:textId="77777777" w:rsidTr="00AF259B">
        <w:trPr>
          <w:cantSplit/>
          <w:trHeight w:val="557"/>
        </w:trPr>
        <w:tc>
          <w:tcPr>
            <w:tcW w:w="757" w:type="pct"/>
            <w:noWrap/>
          </w:tcPr>
          <w:p w14:paraId="4AF4F2F1" w14:textId="1F67712A" w:rsidR="00C75886" w:rsidRPr="00C85390" w:rsidRDefault="00C75886" w:rsidP="00D65D98">
            <w:pPr>
              <w:rPr>
                <w:color w:val="000000" w:themeColor="text1"/>
              </w:rPr>
            </w:pPr>
            <w:r>
              <w:rPr>
                <w:b/>
              </w:rPr>
              <w:t xml:space="preserve">6:  </w:t>
            </w:r>
            <w:r w:rsidR="001838DA">
              <w:rPr>
                <w:b/>
              </w:rPr>
              <w:t>9/20, 9/22</w:t>
            </w:r>
          </w:p>
          <w:p w14:paraId="4682C93C" w14:textId="3FE57A80" w:rsidR="00C75886" w:rsidRPr="00C85390" w:rsidRDefault="00C75886" w:rsidP="00D65D98">
            <w:pPr>
              <w:rPr>
                <w:color w:val="000000" w:themeColor="text1"/>
              </w:rPr>
            </w:pPr>
          </w:p>
        </w:tc>
        <w:tc>
          <w:tcPr>
            <w:tcW w:w="1305" w:type="pct"/>
          </w:tcPr>
          <w:p w14:paraId="226EEC73" w14:textId="6423493A" w:rsidR="00C75886" w:rsidRPr="00C85390" w:rsidRDefault="00C75886" w:rsidP="002445CD">
            <w:pPr>
              <w:pStyle w:val="DecimalAligned"/>
              <w:spacing w:line="240" w:lineRule="auto"/>
              <w:rPr>
                <w:color w:val="000000" w:themeColor="text1"/>
                <w:sz w:val="20"/>
                <w:szCs w:val="20"/>
              </w:rPr>
            </w:pPr>
          </w:p>
        </w:tc>
        <w:tc>
          <w:tcPr>
            <w:tcW w:w="785" w:type="pct"/>
          </w:tcPr>
          <w:p w14:paraId="6BDCDF14" w14:textId="09ACBD20" w:rsidR="00C75886" w:rsidRPr="00C85390" w:rsidRDefault="00C75886" w:rsidP="009D6D31">
            <w:pPr>
              <w:pStyle w:val="DecimalAligned"/>
              <w:contextualSpacing/>
              <w:rPr>
                <w:color w:val="000000" w:themeColor="text1"/>
                <w:sz w:val="20"/>
                <w:szCs w:val="20"/>
              </w:rPr>
            </w:pPr>
          </w:p>
        </w:tc>
        <w:tc>
          <w:tcPr>
            <w:tcW w:w="2153" w:type="pct"/>
          </w:tcPr>
          <w:p w14:paraId="1366FA01" w14:textId="45F7F699" w:rsidR="00C75886" w:rsidRPr="00AF259B" w:rsidRDefault="00A3094D" w:rsidP="00AF259B">
            <w:pPr>
              <w:rPr>
                <w:b/>
              </w:rPr>
            </w:pPr>
            <w:r>
              <w:rPr>
                <w:b/>
              </w:rPr>
              <w:t>Grad Level Review 1 (9/20)</w:t>
            </w:r>
            <w:r w:rsidR="00AF259B">
              <w:rPr>
                <w:b/>
              </w:rPr>
              <w:t xml:space="preserve"> </w:t>
            </w:r>
            <w:r>
              <w:rPr>
                <w:b/>
              </w:rPr>
              <w:t>TEST 1 (9/22)</w:t>
            </w:r>
          </w:p>
        </w:tc>
      </w:tr>
      <w:tr w:rsidR="001838DA" w:rsidRPr="00F8796E" w14:paraId="0391BEB0" w14:textId="77777777" w:rsidTr="00AF259B">
        <w:trPr>
          <w:cantSplit/>
          <w:trHeight w:val="530"/>
        </w:trPr>
        <w:tc>
          <w:tcPr>
            <w:tcW w:w="757" w:type="pct"/>
            <w:noWrap/>
          </w:tcPr>
          <w:p w14:paraId="1EFD9A78" w14:textId="5E6D19E5" w:rsidR="00C75886" w:rsidRPr="00C85390" w:rsidRDefault="00C75886" w:rsidP="001838DA">
            <w:pPr>
              <w:rPr>
                <w:color w:val="000000" w:themeColor="text1"/>
              </w:rPr>
            </w:pPr>
            <w:r>
              <w:rPr>
                <w:b/>
              </w:rPr>
              <w:t xml:space="preserve">7:  </w:t>
            </w:r>
            <w:r w:rsidR="001838DA">
              <w:rPr>
                <w:b/>
              </w:rPr>
              <w:t>9/27, 9/29</w:t>
            </w:r>
          </w:p>
        </w:tc>
        <w:tc>
          <w:tcPr>
            <w:tcW w:w="1305" w:type="pct"/>
          </w:tcPr>
          <w:p w14:paraId="021BBD79" w14:textId="380FE23A" w:rsidR="00C75886" w:rsidRPr="00C85390" w:rsidRDefault="00A3094D" w:rsidP="002E3580">
            <w:pPr>
              <w:pStyle w:val="DecimalAligned"/>
              <w:tabs>
                <w:tab w:val="left" w:pos="1122"/>
              </w:tabs>
              <w:spacing w:line="240" w:lineRule="auto"/>
              <w:rPr>
                <w:color w:val="000000" w:themeColor="text1"/>
                <w:sz w:val="20"/>
                <w:szCs w:val="20"/>
              </w:rPr>
            </w:pPr>
            <w:r>
              <w:rPr>
                <w:rFonts w:ascii="Times New Roman" w:hAnsi="Times New Roman"/>
                <w:b/>
              </w:rPr>
              <w:t>Combining and Expanding Patterns Part 1</w:t>
            </w:r>
          </w:p>
        </w:tc>
        <w:tc>
          <w:tcPr>
            <w:tcW w:w="785" w:type="pct"/>
          </w:tcPr>
          <w:p w14:paraId="2C1D1292" w14:textId="0C886838" w:rsidR="00C75886" w:rsidRPr="00C85390" w:rsidRDefault="00A3094D" w:rsidP="00A3094D">
            <w:pPr>
              <w:pStyle w:val="DecimalAligned"/>
              <w:contextualSpacing/>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5 </w:t>
            </w:r>
          </w:p>
        </w:tc>
        <w:tc>
          <w:tcPr>
            <w:tcW w:w="2153" w:type="pct"/>
          </w:tcPr>
          <w:p w14:paraId="725E44E0" w14:textId="5466A7AE" w:rsidR="00C75886" w:rsidRPr="00C85390" w:rsidRDefault="00C75886" w:rsidP="002E3580">
            <w:pPr>
              <w:pStyle w:val="DecimalAligned"/>
              <w:spacing w:after="0" w:line="240" w:lineRule="auto"/>
              <w:rPr>
                <w:color w:val="000000" w:themeColor="text1"/>
                <w:sz w:val="20"/>
                <w:szCs w:val="20"/>
              </w:rPr>
            </w:pPr>
          </w:p>
        </w:tc>
      </w:tr>
      <w:tr w:rsidR="001838DA" w14:paraId="56646286" w14:textId="77777777" w:rsidTr="00AF259B">
        <w:trPr>
          <w:cantSplit/>
          <w:trHeight w:val="620"/>
        </w:trPr>
        <w:tc>
          <w:tcPr>
            <w:tcW w:w="757" w:type="pct"/>
            <w:noWrap/>
          </w:tcPr>
          <w:p w14:paraId="6E2DE52B" w14:textId="1A874487" w:rsidR="00C75886" w:rsidRPr="00C85390" w:rsidRDefault="00C75886" w:rsidP="00D65D98">
            <w:pPr>
              <w:rPr>
                <w:color w:val="000000" w:themeColor="text1"/>
              </w:rPr>
            </w:pPr>
            <w:r>
              <w:rPr>
                <w:b/>
              </w:rPr>
              <w:t xml:space="preserve">8: </w:t>
            </w:r>
            <w:r w:rsidR="001838DA">
              <w:rPr>
                <w:b/>
              </w:rPr>
              <w:t>10/4, 10/6</w:t>
            </w:r>
          </w:p>
          <w:p w14:paraId="71BD95B5" w14:textId="77777777" w:rsidR="00C75886" w:rsidRPr="00C85390" w:rsidRDefault="00C75886" w:rsidP="00D65D98">
            <w:pPr>
              <w:rPr>
                <w:color w:val="000000" w:themeColor="text1"/>
              </w:rPr>
            </w:pPr>
          </w:p>
          <w:p w14:paraId="3ADC5247" w14:textId="0EDA482A" w:rsidR="00C75886" w:rsidRPr="00C85390" w:rsidRDefault="00C75886" w:rsidP="00D65D98">
            <w:pPr>
              <w:rPr>
                <w:color w:val="000000" w:themeColor="text1"/>
              </w:rPr>
            </w:pPr>
          </w:p>
        </w:tc>
        <w:tc>
          <w:tcPr>
            <w:tcW w:w="1305" w:type="pct"/>
          </w:tcPr>
          <w:p w14:paraId="314D39EC" w14:textId="766D943D" w:rsidR="00C75886" w:rsidRPr="00C85390" w:rsidRDefault="00A3094D" w:rsidP="002E3580">
            <w:pPr>
              <w:pStyle w:val="DecimalAligned"/>
              <w:spacing w:line="240" w:lineRule="auto"/>
              <w:rPr>
                <w:color w:val="000000" w:themeColor="text1"/>
                <w:sz w:val="20"/>
                <w:szCs w:val="20"/>
              </w:rPr>
            </w:pPr>
            <w:r>
              <w:rPr>
                <w:rFonts w:ascii="Times New Roman" w:hAnsi="Times New Roman"/>
                <w:b/>
              </w:rPr>
              <w:t>Combining and Expanding Patterns Part 2</w:t>
            </w:r>
          </w:p>
        </w:tc>
        <w:tc>
          <w:tcPr>
            <w:tcW w:w="785" w:type="pct"/>
          </w:tcPr>
          <w:p w14:paraId="30113E09" w14:textId="78E5F296" w:rsidR="00C75886" w:rsidRPr="00C85390" w:rsidRDefault="00A3094D" w:rsidP="00A3094D">
            <w:pPr>
              <w:pStyle w:val="DecimalAligned"/>
              <w:spacing w:line="240" w:lineRule="auto"/>
              <w:contextualSpacing/>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6 </w:t>
            </w:r>
          </w:p>
        </w:tc>
        <w:tc>
          <w:tcPr>
            <w:tcW w:w="2153" w:type="pct"/>
          </w:tcPr>
          <w:p w14:paraId="7362B7F6" w14:textId="64DCD0E8" w:rsidR="00C75886" w:rsidRPr="00C85390" w:rsidRDefault="00C75886" w:rsidP="002E3580">
            <w:pPr>
              <w:pStyle w:val="DecimalAligned"/>
              <w:spacing w:after="0" w:line="240" w:lineRule="auto"/>
              <w:rPr>
                <w:color w:val="000000" w:themeColor="text1"/>
                <w:sz w:val="20"/>
                <w:szCs w:val="20"/>
              </w:rPr>
            </w:pPr>
          </w:p>
          <w:p w14:paraId="2085AAF3" w14:textId="4B8A4E3F" w:rsidR="00C75886" w:rsidRPr="00C85390" w:rsidRDefault="00C75886" w:rsidP="00D65D98">
            <w:pPr>
              <w:pStyle w:val="DecimalAligned"/>
              <w:rPr>
                <w:color w:val="000000" w:themeColor="text1"/>
                <w:sz w:val="20"/>
                <w:szCs w:val="20"/>
              </w:rPr>
            </w:pPr>
          </w:p>
        </w:tc>
      </w:tr>
      <w:tr w:rsidR="001838DA" w:rsidRPr="000860E5" w14:paraId="470E5B8D" w14:textId="77777777" w:rsidTr="00AF259B">
        <w:trPr>
          <w:cantSplit/>
          <w:trHeight w:val="773"/>
        </w:trPr>
        <w:tc>
          <w:tcPr>
            <w:tcW w:w="757" w:type="pct"/>
            <w:noWrap/>
          </w:tcPr>
          <w:p w14:paraId="6E27A154" w14:textId="525CBCD1" w:rsidR="00C75886" w:rsidRPr="00AF259B" w:rsidRDefault="00C75886" w:rsidP="00007ED8">
            <w:pPr>
              <w:rPr>
                <w:b/>
                <w:sz w:val="18"/>
                <w:szCs w:val="18"/>
              </w:rPr>
            </w:pPr>
            <w:r>
              <w:rPr>
                <w:b/>
              </w:rPr>
              <w:t xml:space="preserve">9:  </w:t>
            </w:r>
            <w:r w:rsidR="001838DA" w:rsidRPr="00AF259B">
              <w:rPr>
                <w:b/>
                <w:sz w:val="18"/>
                <w:szCs w:val="18"/>
              </w:rPr>
              <w:t>10/11, 10/13</w:t>
            </w:r>
          </w:p>
          <w:p w14:paraId="52A05426" w14:textId="31E30AF2" w:rsidR="00C75886" w:rsidRPr="00C85390" w:rsidRDefault="00C75886" w:rsidP="00D12DB5">
            <w:pPr>
              <w:rPr>
                <w:color w:val="000000" w:themeColor="text1"/>
              </w:rPr>
            </w:pPr>
          </w:p>
        </w:tc>
        <w:tc>
          <w:tcPr>
            <w:tcW w:w="1305" w:type="pct"/>
          </w:tcPr>
          <w:p w14:paraId="1EC74F4A" w14:textId="128F539E" w:rsidR="00C75886" w:rsidRDefault="00A3094D" w:rsidP="002E3580">
            <w:pPr>
              <w:pStyle w:val="DecimalAligned"/>
              <w:spacing w:after="0"/>
              <w:rPr>
                <w:color w:val="000000" w:themeColor="text1"/>
                <w:sz w:val="20"/>
                <w:szCs w:val="20"/>
              </w:rPr>
            </w:pPr>
            <w:r>
              <w:rPr>
                <w:rFonts w:ascii="Times New Roman" w:hAnsi="Times New Roman"/>
                <w:b/>
              </w:rPr>
              <w:t>Combining and Expanding Patterns Part 3</w:t>
            </w:r>
          </w:p>
          <w:p w14:paraId="6BC92153" w14:textId="35E2CE6D" w:rsidR="00C75886" w:rsidRPr="00C85390" w:rsidRDefault="00C75886" w:rsidP="00551DA2">
            <w:pPr>
              <w:pStyle w:val="DecimalAligned"/>
              <w:spacing w:after="0"/>
              <w:rPr>
                <w:color w:val="000000" w:themeColor="text1"/>
                <w:sz w:val="20"/>
                <w:szCs w:val="20"/>
              </w:rPr>
            </w:pPr>
          </w:p>
        </w:tc>
        <w:tc>
          <w:tcPr>
            <w:tcW w:w="785" w:type="pct"/>
          </w:tcPr>
          <w:p w14:paraId="1E106B8F" w14:textId="1F879969" w:rsidR="00C75886" w:rsidRPr="00C85390" w:rsidRDefault="00A3094D" w:rsidP="00551DA2">
            <w:pPr>
              <w:pStyle w:val="DecimalAligned"/>
              <w:contextualSpacing/>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7</w:t>
            </w:r>
          </w:p>
        </w:tc>
        <w:tc>
          <w:tcPr>
            <w:tcW w:w="2153" w:type="pct"/>
          </w:tcPr>
          <w:p w14:paraId="76FB10E8" w14:textId="70177C49" w:rsidR="00C75886" w:rsidRPr="00C85390" w:rsidRDefault="00C75886" w:rsidP="00AF259B">
            <w:pPr>
              <w:pStyle w:val="DecimalAligned"/>
              <w:spacing w:after="0" w:line="240" w:lineRule="auto"/>
              <w:rPr>
                <w:color w:val="000000" w:themeColor="text1"/>
                <w:sz w:val="20"/>
                <w:szCs w:val="20"/>
              </w:rPr>
            </w:pPr>
            <w:r w:rsidRPr="00C85390">
              <w:rPr>
                <w:color w:val="000000" w:themeColor="text1"/>
                <w:sz w:val="20"/>
                <w:szCs w:val="20"/>
              </w:rPr>
              <w:t xml:space="preserve"> </w:t>
            </w:r>
            <w:r w:rsidR="00AF259B">
              <w:rPr>
                <w:rFonts w:ascii="Times New Roman" w:hAnsi="Times New Roman"/>
                <w:b/>
              </w:rPr>
              <w:t xml:space="preserve">Quiz 4: </w:t>
            </w:r>
            <w:r w:rsidR="001838DA">
              <w:rPr>
                <w:rFonts w:ascii="Times New Roman" w:hAnsi="Times New Roman"/>
                <w:b/>
              </w:rPr>
              <w:t>Combining/</w:t>
            </w:r>
            <w:r w:rsidR="00205C00">
              <w:rPr>
                <w:rFonts w:ascii="Times New Roman" w:hAnsi="Times New Roman"/>
                <w:b/>
              </w:rPr>
              <w:t>Expanding Patterns (10/13)</w:t>
            </w:r>
          </w:p>
        </w:tc>
      </w:tr>
      <w:tr w:rsidR="001838DA" w:rsidRPr="000860E5" w14:paraId="51ED10DF" w14:textId="77777777" w:rsidTr="00AF259B">
        <w:trPr>
          <w:cantSplit/>
          <w:trHeight w:val="611"/>
        </w:trPr>
        <w:tc>
          <w:tcPr>
            <w:tcW w:w="757" w:type="pct"/>
            <w:noWrap/>
          </w:tcPr>
          <w:p w14:paraId="70824AF3" w14:textId="4AC48C98" w:rsidR="00C75886" w:rsidRDefault="00C75886" w:rsidP="001838DA">
            <w:pPr>
              <w:rPr>
                <w:color w:val="000000" w:themeColor="text1"/>
              </w:rPr>
            </w:pPr>
            <w:r>
              <w:rPr>
                <w:b/>
              </w:rPr>
              <w:t xml:space="preserve">10: </w:t>
            </w:r>
            <w:r w:rsidR="001838DA" w:rsidRPr="00AF259B">
              <w:rPr>
                <w:b/>
                <w:sz w:val="18"/>
                <w:szCs w:val="18"/>
              </w:rPr>
              <w:t>10/18, 10/20</w:t>
            </w:r>
          </w:p>
        </w:tc>
        <w:tc>
          <w:tcPr>
            <w:tcW w:w="1305" w:type="pct"/>
          </w:tcPr>
          <w:p w14:paraId="5182436A" w14:textId="77777777" w:rsidR="00C75886" w:rsidRPr="00C85390" w:rsidRDefault="00C75886" w:rsidP="005A66E5">
            <w:pPr>
              <w:pStyle w:val="DecimalAligned"/>
              <w:spacing w:after="0"/>
              <w:rPr>
                <w:color w:val="000000" w:themeColor="text1"/>
                <w:sz w:val="20"/>
                <w:szCs w:val="20"/>
              </w:rPr>
            </w:pPr>
          </w:p>
        </w:tc>
        <w:tc>
          <w:tcPr>
            <w:tcW w:w="785" w:type="pct"/>
          </w:tcPr>
          <w:p w14:paraId="0D610C28" w14:textId="18EC31BC" w:rsidR="00C75886" w:rsidRPr="00C85390" w:rsidRDefault="00C75886" w:rsidP="00551DA2">
            <w:pPr>
              <w:pStyle w:val="DecimalAligned"/>
              <w:spacing w:after="0"/>
              <w:rPr>
                <w:color w:val="000000" w:themeColor="text1"/>
                <w:sz w:val="20"/>
                <w:szCs w:val="20"/>
              </w:rPr>
            </w:pPr>
          </w:p>
        </w:tc>
        <w:tc>
          <w:tcPr>
            <w:tcW w:w="2153" w:type="pct"/>
          </w:tcPr>
          <w:p w14:paraId="450DA2AE" w14:textId="77ED9929" w:rsidR="00205C00" w:rsidRPr="00AF259B" w:rsidRDefault="001838DA" w:rsidP="00205C00">
            <w:pPr>
              <w:rPr>
                <w:b/>
              </w:rPr>
            </w:pPr>
            <w:r>
              <w:rPr>
                <w:b/>
              </w:rPr>
              <w:t>Graduate:</w:t>
            </w:r>
            <w:r w:rsidR="00205C00">
              <w:rPr>
                <w:b/>
              </w:rPr>
              <w:t xml:space="preserve"> Language Issue </w:t>
            </w:r>
            <w:r>
              <w:rPr>
                <w:b/>
              </w:rPr>
              <w:t xml:space="preserve">Presentations </w:t>
            </w:r>
            <w:r w:rsidR="00205C00">
              <w:rPr>
                <w:b/>
              </w:rPr>
              <w:t>Undergrad</w:t>
            </w:r>
            <w:r>
              <w:rPr>
                <w:b/>
              </w:rPr>
              <w:t>uate:</w:t>
            </w:r>
            <w:r w:rsidR="00205C00">
              <w:rPr>
                <w:b/>
              </w:rPr>
              <w:t xml:space="preserve"> Extra Credit Opportunity </w:t>
            </w:r>
          </w:p>
          <w:p w14:paraId="5F1C1B6B" w14:textId="240C7209" w:rsidR="00C75886" w:rsidRPr="00C85390" w:rsidRDefault="00C75886" w:rsidP="00A3094D">
            <w:pPr>
              <w:pStyle w:val="DecimalAligned"/>
              <w:spacing w:after="0"/>
              <w:rPr>
                <w:color w:val="000000" w:themeColor="text1"/>
                <w:sz w:val="20"/>
                <w:szCs w:val="20"/>
              </w:rPr>
            </w:pPr>
          </w:p>
        </w:tc>
      </w:tr>
      <w:tr w:rsidR="001838DA" w:rsidRPr="000860E5" w14:paraId="7D30BAE5" w14:textId="77777777" w:rsidTr="00AF259B">
        <w:trPr>
          <w:cantSplit/>
          <w:trHeight w:val="557"/>
        </w:trPr>
        <w:tc>
          <w:tcPr>
            <w:tcW w:w="757" w:type="pct"/>
            <w:noWrap/>
          </w:tcPr>
          <w:p w14:paraId="2301444F" w14:textId="715287EB" w:rsidR="00C75886" w:rsidRDefault="00C75886" w:rsidP="001838DA">
            <w:pPr>
              <w:rPr>
                <w:color w:val="000000" w:themeColor="text1"/>
              </w:rPr>
            </w:pPr>
            <w:r>
              <w:rPr>
                <w:b/>
              </w:rPr>
              <w:t xml:space="preserve">11:  </w:t>
            </w:r>
            <w:r w:rsidR="001838DA" w:rsidRPr="00AF259B">
              <w:rPr>
                <w:b/>
                <w:sz w:val="18"/>
                <w:szCs w:val="18"/>
              </w:rPr>
              <w:t>10/25, 10/27</w:t>
            </w:r>
          </w:p>
        </w:tc>
        <w:tc>
          <w:tcPr>
            <w:tcW w:w="1305" w:type="pct"/>
          </w:tcPr>
          <w:p w14:paraId="02A6618C" w14:textId="57091259" w:rsidR="00C75886" w:rsidRPr="00C85390" w:rsidRDefault="00C75886" w:rsidP="005A66E5">
            <w:pPr>
              <w:pStyle w:val="DecimalAligned"/>
              <w:spacing w:after="0"/>
              <w:rPr>
                <w:color w:val="000000" w:themeColor="text1"/>
                <w:sz w:val="20"/>
                <w:szCs w:val="20"/>
              </w:rPr>
            </w:pPr>
          </w:p>
        </w:tc>
        <w:tc>
          <w:tcPr>
            <w:tcW w:w="785" w:type="pct"/>
          </w:tcPr>
          <w:p w14:paraId="43F8D8FA" w14:textId="1211C051" w:rsidR="00C75886" w:rsidRPr="00C85390" w:rsidRDefault="00C75886" w:rsidP="00926709">
            <w:pPr>
              <w:pStyle w:val="DecimalAligned"/>
              <w:spacing w:after="0"/>
              <w:rPr>
                <w:color w:val="000000" w:themeColor="text1"/>
                <w:sz w:val="20"/>
                <w:szCs w:val="20"/>
              </w:rPr>
            </w:pPr>
          </w:p>
        </w:tc>
        <w:tc>
          <w:tcPr>
            <w:tcW w:w="2153" w:type="pct"/>
          </w:tcPr>
          <w:p w14:paraId="3CA8D39A" w14:textId="09155271" w:rsidR="00C75886" w:rsidRPr="001838DA" w:rsidRDefault="00205C00" w:rsidP="001838DA">
            <w:pPr>
              <w:rPr>
                <w:b/>
              </w:rPr>
            </w:pPr>
            <w:r>
              <w:rPr>
                <w:b/>
              </w:rPr>
              <w:t>Grad Level Review 2 (10/18)</w:t>
            </w:r>
            <w:r w:rsidR="001838DA">
              <w:rPr>
                <w:b/>
              </w:rPr>
              <w:t xml:space="preserve"> </w:t>
            </w:r>
            <w:r>
              <w:rPr>
                <w:b/>
              </w:rPr>
              <w:t>TEST 2 (10/20)</w:t>
            </w:r>
          </w:p>
        </w:tc>
      </w:tr>
      <w:tr w:rsidR="001838DA" w:rsidRPr="000860E5" w14:paraId="701A34AB" w14:textId="77777777" w:rsidTr="00AF259B">
        <w:trPr>
          <w:cantSplit/>
          <w:trHeight w:val="602"/>
        </w:trPr>
        <w:tc>
          <w:tcPr>
            <w:tcW w:w="757" w:type="pct"/>
            <w:noWrap/>
          </w:tcPr>
          <w:p w14:paraId="4B809A1C" w14:textId="0635475F" w:rsidR="00C75886" w:rsidRDefault="00C75886" w:rsidP="001838DA">
            <w:pPr>
              <w:rPr>
                <w:b/>
              </w:rPr>
            </w:pPr>
            <w:r>
              <w:rPr>
                <w:b/>
              </w:rPr>
              <w:t xml:space="preserve">12: </w:t>
            </w:r>
            <w:r w:rsidR="001838DA">
              <w:rPr>
                <w:b/>
              </w:rPr>
              <w:t>11/1, 11/3</w:t>
            </w:r>
          </w:p>
        </w:tc>
        <w:tc>
          <w:tcPr>
            <w:tcW w:w="1305" w:type="pct"/>
          </w:tcPr>
          <w:p w14:paraId="1FA4EFB4" w14:textId="4E0B53C7" w:rsidR="00C75886" w:rsidRDefault="00205C00" w:rsidP="005A66E5">
            <w:pPr>
              <w:pStyle w:val="DecimalAligned"/>
              <w:spacing w:after="0"/>
              <w:rPr>
                <w:color w:val="000000" w:themeColor="text1"/>
                <w:sz w:val="20"/>
                <w:szCs w:val="20"/>
              </w:rPr>
            </w:pPr>
            <w:r>
              <w:rPr>
                <w:rFonts w:ascii="Times New Roman" w:hAnsi="Times New Roman"/>
                <w:b/>
              </w:rPr>
              <w:t xml:space="preserve">Verbs and </w:t>
            </w:r>
            <w:proofErr w:type="spellStart"/>
            <w:r>
              <w:rPr>
                <w:rFonts w:ascii="Times New Roman" w:hAnsi="Times New Roman"/>
                <w:b/>
              </w:rPr>
              <w:t>Verbals</w:t>
            </w:r>
            <w:proofErr w:type="spellEnd"/>
          </w:p>
        </w:tc>
        <w:tc>
          <w:tcPr>
            <w:tcW w:w="785" w:type="pct"/>
          </w:tcPr>
          <w:p w14:paraId="158C8377" w14:textId="0ABFAE10" w:rsidR="00C75886" w:rsidRPr="00C85390" w:rsidRDefault="00205C00" w:rsidP="00205C00">
            <w:pPr>
              <w:pStyle w:val="DecimalAligned"/>
              <w:spacing w:after="0"/>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w:t>
            </w:r>
            <w:r w:rsidR="001838DA">
              <w:rPr>
                <w:rFonts w:ascii="Times New Roman" w:hAnsi="Times New Roman"/>
                <w:b/>
              </w:rPr>
              <w:t xml:space="preserve">9 - </w:t>
            </w:r>
            <w:r>
              <w:rPr>
                <w:rFonts w:ascii="Times New Roman" w:hAnsi="Times New Roman"/>
                <w:b/>
              </w:rPr>
              <w:t>10</w:t>
            </w:r>
            <w:r w:rsidR="00C75886">
              <w:rPr>
                <w:rFonts w:ascii="Times New Roman" w:hAnsi="Times New Roman"/>
                <w:b/>
              </w:rPr>
              <w:t xml:space="preserve"> </w:t>
            </w:r>
          </w:p>
        </w:tc>
        <w:tc>
          <w:tcPr>
            <w:tcW w:w="2153" w:type="pct"/>
          </w:tcPr>
          <w:p w14:paraId="4A9C331D" w14:textId="59331456" w:rsidR="00C75886" w:rsidRPr="00C85390" w:rsidRDefault="00CB33BC" w:rsidP="00CB33BC">
            <w:pPr>
              <w:pStyle w:val="DecimalAligned"/>
              <w:rPr>
                <w:color w:val="000000" w:themeColor="text1"/>
                <w:sz w:val="20"/>
                <w:szCs w:val="20"/>
              </w:rPr>
            </w:pPr>
            <w:r>
              <w:rPr>
                <w:rFonts w:ascii="Times New Roman" w:hAnsi="Times New Roman"/>
                <w:b/>
              </w:rPr>
              <w:t xml:space="preserve">Quiz 5: Verbs and </w:t>
            </w:r>
            <w:proofErr w:type="spellStart"/>
            <w:r>
              <w:rPr>
                <w:rFonts w:ascii="Times New Roman" w:hAnsi="Times New Roman"/>
                <w:b/>
              </w:rPr>
              <w:t>Verbals</w:t>
            </w:r>
            <w:proofErr w:type="spellEnd"/>
            <w:r>
              <w:rPr>
                <w:rFonts w:ascii="Times New Roman" w:hAnsi="Times New Roman"/>
                <w:b/>
              </w:rPr>
              <w:t xml:space="preserve"> (11/3)</w:t>
            </w:r>
          </w:p>
        </w:tc>
      </w:tr>
      <w:tr w:rsidR="001838DA" w:rsidRPr="000860E5" w14:paraId="6166665E" w14:textId="77777777" w:rsidTr="00AF259B">
        <w:trPr>
          <w:cantSplit/>
          <w:trHeight w:val="611"/>
        </w:trPr>
        <w:tc>
          <w:tcPr>
            <w:tcW w:w="757" w:type="pct"/>
            <w:noWrap/>
          </w:tcPr>
          <w:p w14:paraId="3285C244" w14:textId="44FFCADF" w:rsidR="00C75886" w:rsidRDefault="00C75886" w:rsidP="001838DA">
            <w:pPr>
              <w:rPr>
                <w:b/>
              </w:rPr>
            </w:pPr>
            <w:r>
              <w:rPr>
                <w:b/>
              </w:rPr>
              <w:t xml:space="preserve">13: </w:t>
            </w:r>
            <w:r w:rsidR="001838DA">
              <w:rPr>
                <w:b/>
              </w:rPr>
              <w:t>11/8, 11/10</w:t>
            </w:r>
          </w:p>
        </w:tc>
        <w:tc>
          <w:tcPr>
            <w:tcW w:w="1305" w:type="pct"/>
          </w:tcPr>
          <w:p w14:paraId="507A6A2B" w14:textId="1CC1B01D" w:rsidR="00C75886" w:rsidRDefault="00205C00" w:rsidP="005A66E5">
            <w:pPr>
              <w:pStyle w:val="DecimalAligned"/>
              <w:spacing w:after="0"/>
              <w:rPr>
                <w:color w:val="000000" w:themeColor="text1"/>
                <w:sz w:val="20"/>
                <w:szCs w:val="20"/>
              </w:rPr>
            </w:pPr>
            <w:r>
              <w:rPr>
                <w:rFonts w:ascii="Times New Roman" w:hAnsi="Times New Roman"/>
                <w:b/>
              </w:rPr>
              <w:t>Sentence Transformations</w:t>
            </w:r>
          </w:p>
        </w:tc>
        <w:tc>
          <w:tcPr>
            <w:tcW w:w="785" w:type="pct"/>
          </w:tcPr>
          <w:p w14:paraId="0347C7B2" w14:textId="59B8AC95" w:rsidR="00C75886" w:rsidRPr="00C85390" w:rsidRDefault="00C75886" w:rsidP="00205C00">
            <w:pPr>
              <w:pStyle w:val="DecimalAligned"/>
              <w:spacing w:after="0"/>
              <w:rPr>
                <w:color w:val="000000" w:themeColor="text1"/>
                <w:sz w:val="20"/>
                <w:szCs w:val="20"/>
              </w:rPr>
            </w:pPr>
            <w:proofErr w:type="spellStart"/>
            <w:r>
              <w:rPr>
                <w:rFonts w:ascii="Times New Roman" w:hAnsi="Times New Roman"/>
                <w:b/>
              </w:rPr>
              <w:t>Vitto</w:t>
            </w:r>
            <w:proofErr w:type="spellEnd"/>
            <w:r>
              <w:rPr>
                <w:rFonts w:ascii="Times New Roman" w:hAnsi="Times New Roman"/>
                <w:b/>
              </w:rPr>
              <w:t xml:space="preserve">, </w:t>
            </w:r>
            <w:proofErr w:type="spellStart"/>
            <w:r>
              <w:rPr>
                <w:rFonts w:ascii="Times New Roman" w:hAnsi="Times New Roman"/>
                <w:b/>
              </w:rPr>
              <w:t>ch</w:t>
            </w:r>
            <w:proofErr w:type="spellEnd"/>
            <w:r>
              <w:rPr>
                <w:rFonts w:ascii="Times New Roman" w:hAnsi="Times New Roman"/>
                <w:b/>
              </w:rPr>
              <w:t xml:space="preserve"> 13 </w:t>
            </w:r>
          </w:p>
        </w:tc>
        <w:tc>
          <w:tcPr>
            <w:tcW w:w="2153" w:type="pct"/>
          </w:tcPr>
          <w:p w14:paraId="73C4A37F" w14:textId="607A8A9E" w:rsidR="00C75886" w:rsidRPr="00C85390" w:rsidRDefault="00CB33BC" w:rsidP="00CB33BC">
            <w:pPr>
              <w:pStyle w:val="DecimalAligned"/>
              <w:rPr>
                <w:color w:val="000000" w:themeColor="text1"/>
                <w:sz w:val="20"/>
                <w:szCs w:val="20"/>
              </w:rPr>
            </w:pPr>
            <w:r>
              <w:rPr>
                <w:rFonts w:ascii="Times New Roman" w:hAnsi="Times New Roman"/>
                <w:b/>
              </w:rPr>
              <w:t>Quiz 6: Sentence Transformations (11/10)</w:t>
            </w:r>
          </w:p>
        </w:tc>
      </w:tr>
      <w:tr w:rsidR="001838DA" w:rsidRPr="000860E5" w14:paraId="4817B3A4" w14:textId="77777777" w:rsidTr="00AF259B">
        <w:trPr>
          <w:cantSplit/>
          <w:trHeight w:val="512"/>
        </w:trPr>
        <w:tc>
          <w:tcPr>
            <w:tcW w:w="757" w:type="pct"/>
            <w:noWrap/>
          </w:tcPr>
          <w:p w14:paraId="68986642" w14:textId="2416B22B" w:rsidR="00C75886" w:rsidRDefault="00C75886" w:rsidP="001838DA">
            <w:pPr>
              <w:rPr>
                <w:b/>
              </w:rPr>
            </w:pPr>
            <w:r>
              <w:rPr>
                <w:b/>
              </w:rPr>
              <w:t xml:space="preserve">14: </w:t>
            </w:r>
            <w:r w:rsidR="001838DA" w:rsidRPr="00AF259B">
              <w:rPr>
                <w:b/>
                <w:sz w:val="18"/>
                <w:szCs w:val="18"/>
              </w:rPr>
              <w:t>11/15, 11/17</w:t>
            </w:r>
          </w:p>
        </w:tc>
        <w:tc>
          <w:tcPr>
            <w:tcW w:w="1305" w:type="pct"/>
          </w:tcPr>
          <w:p w14:paraId="3997D914" w14:textId="77777777" w:rsidR="00C75886" w:rsidRDefault="00C75886" w:rsidP="005A66E5">
            <w:pPr>
              <w:pStyle w:val="DecimalAligned"/>
              <w:spacing w:after="0"/>
              <w:rPr>
                <w:color w:val="000000" w:themeColor="text1"/>
                <w:sz w:val="20"/>
                <w:szCs w:val="20"/>
              </w:rPr>
            </w:pPr>
          </w:p>
        </w:tc>
        <w:tc>
          <w:tcPr>
            <w:tcW w:w="785" w:type="pct"/>
          </w:tcPr>
          <w:p w14:paraId="116FABB6" w14:textId="77777777" w:rsidR="00C75886" w:rsidRPr="00C85390" w:rsidRDefault="00C75886" w:rsidP="00926709">
            <w:pPr>
              <w:pStyle w:val="DecimalAligned"/>
              <w:spacing w:after="0"/>
              <w:rPr>
                <w:color w:val="000000" w:themeColor="text1"/>
                <w:sz w:val="20"/>
                <w:szCs w:val="20"/>
              </w:rPr>
            </w:pPr>
          </w:p>
        </w:tc>
        <w:tc>
          <w:tcPr>
            <w:tcW w:w="2153" w:type="pct"/>
          </w:tcPr>
          <w:p w14:paraId="041B179F" w14:textId="6087E0C6" w:rsidR="00C75886" w:rsidRPr="001838DA" w:rsidRDefault="00205C00" w:rsidP="001838DA">
            <w:pPr>
              <w:rPr>
                <w:b/>
              </w:rPr>
            </w:pPr>
            <w:r>
              <w:rPr>
                <w:b/>
              </w:rPr>
              <w:t>Grad Level Review 3 (11/15)</w:t>
            </w:r>
            <w:r w:rsidR="001838DA">
              <w:rPr>
                <w:b/>
              </w:rPr>
              <w:t xml:space="preserve"> </w:t>
            </w:r>
            <w:r>
              <w:rPr>
                <w:b/>
              </w:rPr>
              <w:t>TEST 3 (11/17)</w:t>
            </w:r>
          </w:p>
        </w:tc>
      </w:tr>
      <w:tr w:rsidR="00AF259B" w:rsidRPr="000860E5" w14:paraId="72C71E5F" w14:textId="77777777" w:rsidTr="00AF259B">
        <w:trPr>
          <w:cantSplit/>
          <w:trHeight w:val="494"/>
        </w:trPr>
        <w:tc>
          <w:tcPr>
            <w:tcW w:w="757" w:type="pct"/>
            <w:shd w:val="clear" w:color="auto" w:fill="D9D9D9" w:themeFill="background1" w:themeFillShade="D9"/>
            <w:noWrap/>
          </w:tcPr>
          <w:p w14:paraId="17F5D0A6" w14:textId="55134564" w:rsidR="00C75886" w:rsidRDefault="001838DA" w:rsidP="001838DA">
            <w:pPr>
              <w:rPr>
                <w:b/>
              </w:rPr>
            </w:pPr>
            <w:r>
              <w:rPr>
                <w:b/>
              </w:rPr>
              <w:t>11/21, 11/25</w:t>
            </w:r>
          </w:p>
        </w:tc>
        <w:tc>
          <w:tcPr>
            <w:tcW w:w="1305" w:type="pct"/>
            <w:shd w:val="clear" w:color="auto" w:fill="D9D9D9" w:themeFill="background1" w:themeFillShade="D9"/>
          </w:tcPr>
          <w:p w14:paraId="4C5234B7" w14:textId="1A1F8A9A" w:rsidR="00C75886" w:rsidRDefault="00AF259B" w:rsidP="005A66E5">
            <w:pPr>
              <w:pStyle w:val="DecimalAligned"/>
              <w:spacing w:after="0"/>
              <w:rPr>
                <w:color w:val="000000" w:themeColor="text1"/>
                <w:sz w:val="20"/>
                <w:szCs w:val="20"/>
              </w:rPr>
            </w:pPr>
            <w:r>
              <w:rPr>
                <w:rFonts w:ascii="Times New Roman" w:hAnsi="Times New Roman"/>
                <w:b/>
              </w:rPr>
              <w:t>BREAK</w:t>
            </w:r>
          </w:p>
        </w:tc>
        <w:tc>
          <w:tcPr>
            <w:tcW w:w="785" w:type="pct"/>
            <w:shd w:val="clear" w:color="auto" w:fill="D9D9D9" w:themeFill="background1" w:themeFillShade="D9"/>
          </w:tcPr>
          <w:p w14:paraId="08BD241B" w14:textId="0A3FCF68" w:rsidR="00C75886" w:rsidRPr="00C85390" w:rsidRDefault="00AF259B" w:rsidP="00926709">
            <w:pPr>
              <w:pStyle w:val="DecimalAligned"/>
              <w:spacing w:after="0"/>
              <w:rPr>
                <w:color w:val="000000" w:themeColor="text1"/>
                <w:sz w:val="20"/>
                <w:szCs w:val="20"/>
              </w:rPr>
            </w:pPr>
            <w:r>
              <w:rPr>
                <w:rFonts w:ascii="Times New Roman" w:hAnsi="Times New Roman"/>
                <w:b/>
              </w:rPr>
              <w:t>BREAK</w:t>
            </w:r>
          </w:p>
        </w:tc>
        <w:tc>
          <w:tcPr>
            <w:tcW w:w="2153" w:type="pct"/>
            <w:shd w:val="clear" w:color="auto" w:fill="D9D9D9" w:themeFill="background1" w:themeFillShade="D9"/>
          </w:tcPr>
          <w:p w14:paraId="5B1EC832" w14:textId="41D4ADFE" w:rsidR="00C75886" w:rsidRPr="00C85390" w:rsidRDefault="00AF259B" w:rsidP="00D65D98">
            <w:pPr>
              <w:pStyle w:val="DecimalAligned"/>
              <w:rPr>
                <w:color w:val="000000" w:themeColor="text1"/>
                <w:sz w:val="20"/>
                <w:szCs w:val="20"/>
              </w:rPr>
            </w:pPr>
            <w:r>
              <w:rPr>
                <w:rFonts w:ascii="Times New Roman" w:hAnsi="Times New Roman"/>
                <w:b/>
              </w:rPr>
              <w:t>BREAK</w:t>
            </w:r>
          </w:p>
        </w:tc>
      </w:tr>
      <w:tr w:rsidR="001838DA" w:rsidRPr="000860E5" w14:paraId="6B876D63" w14:textId="77777777" w:rsidTr="00AF259B">
        <w:trPr>
          <w:cantSplit/>
          <w:trHeight w:val="449"/>
        </w:trPr>
        <w:tc>
          <w:tcPr>
            <w:tcW w:w="757" w:type="pct"/>
            <w:noWrap/>
          </w:tcPr>
          <w:p w14:paraId="50EC3709" w14:textId="15BDD758" w:rsidR="00C75886" w:rsidRDefault="00C75886" w:rsidP="001838DA">
            <w:pPr>
              <w:rPr>
                <w:b/>
              </w:rPr>
            </w:pPr>
            <w:r>
              <w:rPr>
                <w:b/>
              </w:rPr>
              <w:t xml:space="preserve">15:  </w:t>
            </w:r>
            <w:r w:rsidR="001838DA" w:rsidRPr="00AF259B">
              <w:rPr>
                <w:b/>
                <w:sz w:val="18"/>
                <w:szCs w:val="18"/>
              </w:rPr>
              <w:t>11/29, 12/1</w:t>
            </w:r>
          </w:p>
        </w:tc>
        <w:tc>
          <w:tcPr>
            <w:tcW w:w="1305" w:type="pct"/>
          </w:tcPr>
          <w:p w14:paraId="1108415E" w14:textId="7C98B248" w:rsidR="00C75886" w:rsidRDefault="00205C00" w:rsidP="005A66E5">
            <w:pPr>
              <w:pStyle w:val="DecimalAligned"/>
              <w:spacing w:after="0"/>
              <w:rPr>
                <w:color w:val="000000" w:themeColor="text1"/>
                <w:sz w:val="20"/>
                <w:szCs w:val="20"/>
              </w:rPr>
            </w:pPr>
            <w:r>
              <w:rPr>
                <w:rFonts w:ascii="Times New Roman" w:hAnsi="Times New Roman"/>
                <w:b/>
              </w:rPr>
              <w:t>Grammar Game Events</w:t>
            </w:r>
          </w:p>
        </w:tc>
        <w:tc>
          <w:tcPr>
            <w:tcW w:w="785" w:type="pct"/>
          </w:tcPr>
          <w:p w14:paraId="04C0789C" w14:textId="3849E91F" w:rsidR="00C75886" w:rsidRPr="00C85390" w:rsidRDefault="00C75886" w:rsidP="00926709">
            <w:pPr>
              <w:pStyle w:val="DecimalAligned"/>
              <w:spacing w:after="0"/>
              <w:rPr>
                <w:color w:val="000000" w:themeColor="text1"/>
                <w:sz w:val="20"/>
                <w:szCs w:val="20"/>
              </w:rPr>
            </w:pPr>
          </w:p>
        </w:tc>
        <w:tc>
          <w:tcPr>
            <w:tcW w:w="2153" w:type="pct"/>
          </w:tcPr>
          <w:p w14:paraId="66DFBAC2" w14:textId="5AA4AD46" w:rsidR="00C75886" w:rsidRPr="00C85390" w:rsidRDefault="00205C00" w:rsidP="00D65D98">
            <w:pPr>
              <w:pStyle w:val="DecimalAligned"/>
              <w:rPr>
                <w:color w:val="000000" w:themeColor="text1"/>
                <w:sz w:val="20"/>
                <w:szCs w:val="20"/>
              </w:rPr>
            </w:pPr>
            <w:r>
              <w:rPr>
                <w:rFonts w:ascii="Times New Roman" w:hAnsi="Times New Roman"/>
                <w:b/>
              </w:rPr>
              <w:t>Grammar Game Events</w:t>
            </w:r>
          </w:p>
        </w:tc>
      </w:tr>
      <w:tr w:rsidR="001838DA" w:rsidRPr="000860E5" w14:paraId="2E5298A7" w14:textId="77777777" w:rsidTr="00AF259B">
        <w:trPr>
          <w:cantSplit/>
          <w:trHeight w:val="548"/>
        </w:trPr>
        <w:tc>
          <w:tcPr>
            <w:tcW w:w="757" w:type="pct"/>
            <w:noWrap/>
          </w:tcPr>
          <w:p w14:paraId="798DA246" w14:textId="31B710B7" w:rsidR="00C75886" w:rsidRDefault="00C75886" w:rsidP="00D12DB5">
            <w:pPr>
              <w:rPr>
                <w:b/>
              </w:rPr>
            </w:pPr>
            <w:r>
              <w:rPr>
                <w:b/>
              </w:rPr>
              <w:t>FINAL EXAM</w:t>
            </w:r>
          </w:p>
        </w:tc>
        <w:tc>
          <w:tcPr>
            <w:tcW w:w="1305" w:type="pct"/>
          </w:tcPr>
          <w:p w14:paraId="36C8A900" w14:textId="41192477" w:rsidR="00205C00" w:rsidRDefault="00205C00" w:rsidP="00205C00">
            <w:pPr>
              <w:rPr>
                <w:color w:val="000000" w:themeColor="text1"/>
                <w:sz w:val="20"/>
                <w:szCs w:val="20"/>
              </w:rPr>
            </w:pPr>
            <w:r>
              <w:rPr>
                <w:b/>
              </w:rPr>
              <w:t xml:space="preserve">TBA </w:t>
            </w:r>
          </w:p>
          <w:p w14:paraId="4997620C" w14:textId="22ABB981" w:rsidR="00C75886" w:rsidRDefault="00C75886" w:rsidP="00205C00">
            <w:pPr>
              <w:pStyle w:val="DecimalAligned"/>
              <w:spacing w:after="0"/>
              <w:rPr>
                <w:color w:val="000000" w:themeColor="text1"/>
                <w:sz w:val="20"/>
                <w:szCs w:val="20"/>
              </w:rPr>
            </w:pPr>
          </w:p>
        </w:tc>
        <w:tc>
          <w:tcPr>
            <w:tcW w:w="785" w:type="pct"/>
          </w:tcPr>
          <w:p w14:paraId="4F9941B2" w14:textId="77777777" w:rsidR="00C75886" w:rsidRPr="00C85390" w:rsidRDefault="00C75886" w:rsidP="00926709">
            <w:pPr>
              <w:pStyle w:val="DecimalAligned"/>
              <w:spacing w:after="0"/>
              <w:rPr>
                <w:color w:val="000000" w:themeColor="text1"/>
                <w:sz w:val="20"/>
                <w:szCs w:val="20"/>
              </w:rPr>
            </w:pPr>
          </w:p>
        </w:tc>
        <w:tc>
          <w:tcPr>
            <w:tcW w:w="2153" w:type="pct"/>
          </w:tcPr>
          <w:p w14:paraId="457A339D" w14:textId="77777777" w:rsidR="00C75886" w:rsidRPr="00C85390" w:rsidRDefault="00C75886" w:rsidP="00D65D98">
            <w:pPr>
              <w:pStyle w:val="DecimalAligned"/>
              <w:rPr>
                <w:color w:val="000000" w:themeColor="text1"/>
                <w:sz w:val="20"/>
                <w:szCs w:val="20"/>
              </w:rPr>
            </w:pPr>
          </w:p>
        </w:tc>
      </w:tr>
      <w:tr w:rsidR="001838DA" w14:paraId="5063A1D1" w14:textId="77777777" w:rsidTr="00AF259B">
        <w:trPr>
          <w:cnfStyle w:val="010000000000" w:firstRow="0" w:lastRow="1" w:firstColumn="0" w:lastColumn="0" w:oddVBand="0" w:evenVBand="0" w:oddHBand="0" w:evenHBand="0" w:firstRowFirstColumn="0" w:firstRowLastColumn="0" w:lastRowFirstColumn="0" w:lastRowLastColumn="0"/>
          <w:trHeight w:val="505"/>
        </w:trPr>
        <w:tc>
          <w:tcPr>
            <w:tcW w:w="757" w:type="pct"/>
            <w:noWrap/>
          </w:tcPr>
          <w:p w14:paraId="1FE15E8B" w14:textId="77777777" w:rsidR="00C75886" w:rsidRPr="00C85390" w:rsidRDefault="00C75886" w:rsidP="00D65D98">
            <w:pPr>
              <w:rPr>
                <w:color w:val="000000" w:themeColor="text1"/>
              </w:rPr>
            </w:pPr>
          </w:p>
        </w:tc>
        <w:tc>
          <w:tcPr>
            <w:tcW w:w="1305" w:type="pct"/>
          </w:tcPr>
          <w:p w14:paraId="23F4C607" w14:textId="77777777" w:rsidR="00C75886" w:rsidRPr="00C85390" w:rsidRDefault="00C75886" w:rsidP="00D65D98">
            <w:pPr>
              <w:pStyle w:val="DecimalAligned"/>
              <w:rPr>
                <w:color w:val="000000" w:themeColor="text1"/>
              </w:rPr>
            </w:pPr>
          </w:p>
        </w:tc>
        <w:tc>
          <w:tcPr>
            <w:tcW w:w="785" w:type="pct"/>
          </w:tcPr>
          <w:p w14:paraId="005DB19F" w14:textId="77777777" w:rsidR="00C75886" w:rsidRPr="00C85390" w:rsidRDefault="00C75886" w:rsidP="00D65D98">
            <w:pPr>
              <w:pStyle w:val="DecimalAligned"/>
              <w:rPr>
                <w:color w:val="000000" w:themeColor="text1"/>
              </w:rPr>
            </w:pPr>
          </w:p>
        </w:tc>
        <w:tc>
          <w:tcPr>
            <w:tcW w:w="2153" w:type="pct"/>
          </w:tcPr>
          <w:p w14:paraId="2573C148" w14:textId="77777777" w:rsidR="00C75886" w:rsidRPr="00C85390" w:rsidRDefault="00C75886"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sectPr w:rsidR="004D3A72" w:rsidSect="00102B32">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D6FB" w14:textId="77777777" w:rsidR="00D17A37" w:rsidRDefault="00D17A37" w:rsidP="0032232D">
      <w:r>
        <w:separator/>
      </w:r>
    </w:p>
  </w:endnote>
  <w:endnote w:type="continuationSeparator" w:id="0">
    <w:p w14:paraId="06882BB8" w14:textId="77777777" w:rsidR="00D17A37" w:rsidRDefault="00D17A3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6C60F6">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3293" w14:textId="77777777" w:rsidR="00D17A37" w:rsidRDefault="00D17A37" w:rsidP="0032232D">
      <w:r>
        <w:separator/>
      </w:r>
    </w:p>
  </w:footnote>
  <w:footnote w:type="continuationSeparator" w:id="0">
    <w:p w14:paraId="6D9C7A9A" w14:textId="77777777" w:rsidR="00D17A37" w:rsidRDefault="00D17A37"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7"/>
  </w:num>
  <w:num w:numId="9">
    <w:abstractNumId w:val="10"/>
  </w:num>
  <w:num w:numId="10">
    <w:abstractNumId w:val="12"/>
  </w:num>
  <w:num w:numId="11">
    <w:abstractNumId w:val="41"/>
  </w:num>
  <w:num w:numId="12">
    <w:abstractNumId w:val="36"/>
  </w:num>
  <w:num w:numId="13">
    <w:abstractNumId w:val="24"/>
  </w:num>
  <w:num w:numId="14">
    <w:abstractNumId w:val="35"/>
  </w:num>
  <w:num w:numId="15">
    <w:abstractNumId w:val="8"/>
  </w:num>
  <w:num w:numId="16">
    <w:abstractNumId w:val="27"/>
  </w:num>
  <w:num w:numId="17">
    <w:abstractNumId w:val="14"/>
  </w:num>
  <w:num w:numId="18">
    <w:abstractNumId w:val="11"/>
  </w:num>
  <w:num w:numId="19">
    <w:abstractNumId w:val="30"/>
  </w:num>
  <w:num w:numId="20">
    <w:abstractNumId w:val="39"/>
  </w:num>
  <w:num w:numId="21">
    <w:abstractNumId w:val="22"/>
  </w:num>
  <w:num w:numId="22">
    <w:abstractNumId w:val="33"/>
  </w:num>
  <w:num w:numId="23">
    <w:abstractNumId w:val="38"/>
  </w:num>
  <w:num w:numId="24">
    <w:abstractNumId w:val="43"/>
  </w:num>
  <w:num w:numId="25">
    <w:abstractNumId w:val="42"/>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40"/>
  </w:num>
  <w:num w:numId="42">
    <w:abstractNumId w:val="2"/>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7ED8"/>
    <w:rsid w:val="0002042B"/>
    <w:rsid w:val="0002205B"/>
    <w:rsid w:val="000249EB"/>
    <w:rsid w:val="000336F1"/>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E64F5"/>
    <w:rsid w:val="000F29F6"/>
    <w:rsid w:val="00102B32"/>
    <w:rsid w:val="00104010"/>
    <w:rsid w:val="00115FC4"/>
    <w:rsid w:val="00124172"/>
    <w:rsid w:val="00136B26"/>
    <w:rsid w:val="00154041"/>
    <w:rsid w:val="001555CE"/>
    <w:rsid w:val="00157E0A"/>
    <w:rsid w:val="001678DE"/>
    <w:rsid w:val="001718CF"/>
    <w:rsid w:val="001745B9"/>
    <w:rsid w:val="0017518D"/>
    <w:rsid w:val="001838DA"/>
    <w:rsid w:val="001A4123"/>
    <w:rsid w:val="001B616E"/>
    <w:rsid w:val="001C21EC"/>
    <w:rsid w:val="001C438C"/>
    <w:rsid w:val="00205C00"/>
    <w:rsid w:val="00215962"/>
    <w:rsid w:val="00220169"/>
    <w:rsid w:val="00222BE8"/>
    <w:rsid w:val="00230F73"/>
    <w:rsid w:val="002332E1"/>
    <w:rsid w:val="00244067"/>
    <w:rsid w:val="00244102"/>
    <w:rsid w:val="002445CD"/>
    <w:rsid w:val="002676E6"/>
    <w:rsid w:val="002A357E"/>
    <w:rsid w:val="002C0927"/>
    <w:rsid w:val="002D3F2D"/>
    <w:rsid w:val="002E3580"/>
    <w:rsid w:val="002E359E"/>
    <w:rsid w:val="002F2011"/>
    <w:rsid w:val="002F330A"/>
    <w:rsid w:val="002F5589"/>
    <w:rsid w:val="00307D00"/>
    <w:rsid w:val="003131BC"/>
    <w:rsid w:val="0032232D"/>
    <w:rsid w:val="0032667C"/>
    <w:rsid w:val="00332BB4"/>
    <w:rsid w:val="00344B27"/>
    <w:rsid w:val="0035229B"/>
    <w:rsid w:val="00353CA1"/>
    <w:rsid w:val="00363349"/>
    <w:rsid w:val="00367279"/>
    <w:rsid w:val="003810CD"/>
    <w:rsid w:val="00382E63"/>
    <w:rsid w:val="0039058D"/>
    <w:rsid w:val="003A5AF9"/>
    <w:rsid w:val="003B1E8B"/>
    <w:rsid w:val="003C3A0E"/>
    <w:rsid w:val="003D0921"/>
    <w:rsid w:val="003D3349"/>
    <w:rsid w:val="003E30E3"/>
    <w:rsid w:val="00400B4B"/>
    <w:rsid w:val="00420844"/>
    <w:rsid w:val="0043474D"/>
    <w:rsid w:val="004470E7"/>
    <w:rsid w:val="004A089C"/>
    <w:rsid w:val="004A1E63"/>
    <w:rsid w:val="004D231A"/>
    <w:rsid w:val="004D3368"/>
    <w:rsid w:val="004D3A72"/>
    <w:rsid w:val="004F1ED2"/>
    <w:rsid w:val="004F2D10"/>
    <w:rsid w:val="004F3724"/>
    <w:rsid w:val="004F5963"/>
    <w:rsid w:val="0051036F"/>
    <w:rsid w:val="00512043"/>
    <w:rsid w:val="00513890"/>
    <w:rsid w:val="0052209F"/>
    <w:rsid w:val="00545DB4"/>
    <w:rsid w:val="00551DA2"/>
    <w:rsid w:val="00565B70"/>
    <w:rsid w:val="00573961"/>
    <w:rsid w:val="005766AE"/>
    <w:rsid w:val="005932A7"/>
    <w:rsid w:val="005A66E5"/>
    <w:rsid w:val="005A7233"/>
    <w:rsid w:val="005B12EB"/>
    <w:rsid w:val="005B59AF"/>
    <w:rsid w:val="005D49F2"/>
    <w:rsid w:val="005E0F16"/>
    <w:rsid w:val="005E377C"/>
    <w:rsid w:val="005E5CBA"/>
    <w:rsid w:val="005E6523"/>
    <w:rsid w:val="005F286C"/>
    <w:rsid w:val="00617961"/>
    <w:rsid w:val="006376E9"/>
    <w:rsid w:val="0064030F"/>
    <w:rsid w:val="00640E4F"/>
    <w:rsid w:val="00644D69"/>
    <w:rsid w:val="0064596C"/>
    <w:rsid w:val="00646775"/>
    <w:rsid w:val="00656A55"/>
    <w:rsid w:val="00665582"/>
    <w:rsid w:val="00665594"/>
    <w:rsid w:val="006719E0"/>
    <w:rsid w:val="00686F69"/>
    <w:rsid w:val="00690682"/>
    <w:rsid w:val="006A0151"/>
    <w:rsid w:val="006A0E0B"/>
    <w:rsid w:val="006C2C5F"/>
    <w:rsid w:val="006C33F0"/>
    <w:rsid w:val="006C60F6"/>
    <w:rsid w:val="006D0225"/>
    <w:rsid w:val="006F285E"/>
    <w:rsid w:val="006F40F5"/>
    <w:rsid w:val="006F4A17"/>
    <w:rsid w:val="007412BB"/>
    <w:rsid w:val="00743982"/>
    <w:rsid w:val="007478BC"/>
    <w:rsid w:val="00770E8F"/>
    <w:rsid w:val="007713FC"/>
    <w:rsid w:val="00780619"/>
    <w:rsid w:val="00787FAD"/>
    <w:rsid w:val="00791BE7"/>
    <w:rsid w:val="00795B90"/>
    <w:rsid w:val="007B3C2C"/>
    <w:rsid w:val="007C2AF6"/>
    <w:rsid w:val="007C2DA2"/>
    <w:rsid w:val="007C442D"/>
    <w:rsid w:val="007D271D"/>
    <w:rsid w:val="007D65A8"/>
    <w:rsid w:val="007E07B1"/>
    <w:rsid w:val="007F3E7B"/>
    <w:rsid w:val="00802BC1"/>
    <w:rsid w:val="0080736B"/>
    <w:rsid w:val="00813F7C"/>
    <w:rsid w:val="00816B46"/>
    <w:rsid w:val="00830667"/>
    <w:rsid w:val="00836762"/>
    <w:rsid w:val="008379B8"/>
    <w:rsid w:val="0087174F"/>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93225"/>
    <w:rsid w:val="009C675B"/>
    <w:rsid w:val="009C7D24"/>
    <w:rsid w:val="009D650F"/>
    <w:rsid w:val="009D6D31"/>
    <w:rsid w:val="009D7F27"/>
    <w:rsid w:val="009F013B"/>
    <w:rsid w:val="00A03821"/>
    <w:rsid w:val="00A04513"/>
    <w:rsid w:val="00A104F7"/>
    <w:rsid w:val="00A3094D"/>
    <w:rsid w:val="00A6311A"/>
    <w:rsid w:val="00A70AF3"/>
    <w:rsid w:val="00A91046"/>
    <w:rsid w:val="00A97281"/>
    <w:rsid w:val="00AB3559"/>
    <w:rsid w:val="00AB63A1"/>
    <w:rsid w:val="00AC1A0B"/>
    <w:rsid w:val="00AE14BA"/>
    <w:rsid w:val="00AE4232"/>
    <w:rsid w:val="00AF0EAC"/>
    <w:rsid w:val="00AF1F8A"/>
    <w:rsid w:val="00AF259B"/>
    <w:rsid w:val="00AF599C"/>
    <w:rsid w:val="00B03629"/>
    <w:rsid w:val="00B2480B"/>
    <w:rsid w:val="00B51D01"/>
    <w:rsid w:val="00B52636"/>
    <w:rsid w:val="00B63CAB"/>
    <w:rsid w:val="00B6767A"/>
    <w:rsid w:val="00B705D4"/>
    <w:rsid w:val="00B90A19"/>
    <w:rsid w:val="00B93E8D"/>
    <w:rsid w:val="00BB3863"/>
    <w:rsid w:val="00BC2E78"/>
    <w:rsid w:val="00BD14C6"/>
    <w:rsid w:val="00BE0202"/>
    <w:rsid w:val="00BE2FD0"/>
    <w:rsid w:val="00C12F41"/>
    <w:rsid w:val="00C3300C"/>
    <w:rsid w:val="00C4445F"/>
    <w:rsid w:val="00C62A26"/>
    <w:rsid w:val="00C63B79"/>
    <w:rsid w:val="00C75886"/>
    <w:rsid w:val="00C77A4F"/>
    <w:rsid w:val="00C81C92"/>
    <w:rsid w:val="00C85390"/>
    <w:rsid w:val="00C96CE8"/>
    <w:rsid w:val="00CA5304"/>
    <w:rsid w:val="00CB33BC"/>
    <w:rsid w:val="00CC1FF5"/>
    <w:rsid w:val="00CC315D"/>
    <w:rsid w:val="00CE29E7"/>
    <w:rsid w:val="00CE346D"/>
    <w:rsid w:val="00CE772B"/>
    <w:rsid w:val="00CF1D5B"/>
    <w:rsid w:val="00CF579B"/>
    <w:rsid w:val="00CF57B6"/>
    <w:rsid w:val="00CF6D10"/>
    <w:rsid w:val="00CF7AD9"/>
    <w:rsid w:val="00D009EF"/>
    <w:rsid w:val="00D06A60"/>
    <w:rsid w:val="00D12DB5"/>
    <w:rsid w:val="00D17A37"/>
    <w:rsid w:val="00D275EB"/>
    <w:rsid w:val="00D42C3E"/>
    <w:rsid w:val="00D56F1D"/>
    <w:rsid w:val="00D613DA"/>
    <w:rsid w:val="00D65CCE"/>
    <w:rsid w:val="00D65D98"/>
    <w:rsid w:val="00D6777A"/>
    <w:rsid w:val="00D72575"/>
    <w:rsid w:val="00D922F4"/>
    <w:rsid w:val="00D942D9"/>
    <w:rsid w:val="00D94360"/>
    <w:rsid w:val="00DA0246"/>
    <w:rsid w:val="00DD00D1"/>
    <w:rsid w:val="00DE0FB5"/>
    <w:rsid w:val="00DF253D"/>
    <w:rsid w:val="00DF68DD"/>
    <w:rsid w:val="00E26F92"/>
    <w:rsid w:val="00E32033"/>
    <w:rsid w:val="00E372BA"/>
    <w:rsid w:val="00E57BCE"/>
    <w:rsid w:val="00E67F3D"/>
    <w:rsid w:val="00E81F12"/>
    <w:rsid w:val="00E93297"/>
    <w:rsid w:val="00EA09FD"/>
    <w:rsid w:val="00EA2E2C"/>
    <w:rsid w:val="00EA36BB"/>
    <w:rsid w:val="00EC1C88"/>
    <w:rsid w:val="00EC5FBA"/>
    <w:rsid w:val="00ED463E"/>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C22B3"/>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lh0069@auburn.edu"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292F6-8C46-C143-92ED-FAEF781C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1967</Words>
  <Characters>11154</Characters>
  <Application>Microsoft Macintosh Word</Application>
  <DocSecurity>0</DocSecurity>
  <Lines>293</Lines>
  <Paragraphs>160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cp:revision>
  <cp:lastPrinted>2016-05-17T19:29:00Z</cp:lastPrinted>
  <dcterms:created xsi:type="dcterms:W3CDTF">2016-08-15T20:52:00Z</dcterms:created>
  <dcterms:modified xsi:type="dcterms:W3CDTF">2016-08-17T15:11:00Z</dcterms:modified>
</cp:coreProperties>
</file>