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77777777"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RSED 3000</w:t>
      </w:r>
      <w:r>
        <w:rPr>
          <w:bCs/>
        </w:rPr>
        <w:t>, Fall 2019</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41072B65" w:rsidR="00182FF8" w:rsidRPr="00592BEB" w:rsidRDefault="00182FF8" w:rsidP="00182FF8">
      <w:pPr>
        <w:tabs>
          <w:tab w:val="left" w:pos="720"/>
          <w:tab w:val="left" w:pos="1440"/>
          <w:tab w:val="left" w:pos="2160"/>
          <w:tab w:val="left" w:pos="2340"/>
        </w:tabs>
        <w:ind w:left="2592" w:hanging="2592"/>
        <w:rPr>
          <w:b/>
        </w:rPr>
      </w:pPr>
      <w:r>
        <w:rPr>
          <w:bCs/>
        </w:rPr>
        <w:tab/>
      </w:r>
      <w:r w:rsidRPr="00825878">
        <w:rPr>
          <w:b/>
        </w:rPr>
        <w:t>Instructor</w:t>
      </w:r>
      <w:r w:rsidRPr="00592BEB">
        <w:rPr>
          <w:b/>
        </w:rPr>
        <w:t>:</w:t>
      </w:r>
      <w:r w:rsidR="00825878">
        <w:rPr>
          <w:b/>
        </w:rPr>
        <w:t>Ja’Lia Taylor</w:t>
      </w:r>
    </w:p>
    <w:p w14:paraId="707E726F" w14:textId="1AC086B5" w:rsidR="00182FF8" w:rsidRPr="00592BEB" w:rsidRDefault="00182FF8" w:rsidP="00182FF8">
      <w:pPr>
        <w:tabs>
          <w:tab w:val="left" w:pos="720"/>
          <w:tab w:val="left" w:pos="1440"/>
          <w:tab w:val="left" w:pos="2160"/>
          <w:tab w:val="left" w:pos="2340"/>
        </w:tabs>
        <w:ind w:left="2592" w:hanging="2592"/>
        <w:rPr>
          <w:b/>
        </w:rPr>
      </w:pPr>
      <w:r w:rsidRPr="00592BEB">
        <w:rPr>
          <w:b/>
        </w:rPr>
        <w:tab/>
      </w:r>
      <w:r w:rsidRPr="0038725D">
        <w:rPr>
          <w:b/>
        </w:rPr>
        <w:t>Office Address</w:t>
      </w:r>
      <w:r w:rsidRPr="00592BEB">
        <w:rPr>
          <w:b/>
        </w:rPr>
        <w:t>:</w:t>
      </w:r>
      <w:r w:rsidR="00825878">
        <w:rPr>
          <w:b/>
        </w:rPr>
        <w:t xml:space="preserve"> Student Center Involvement Suites Graduate School Office</w:t>
      </w:r>
    </w:p>
    <w:p w14:paraId="3DF8F0A7" w14:textId="78706BCC" w:rsidR="00182FF8" w:rsidRPr="00592BEB" w:rsidRDefault="00182FF8" w:rsidP="00182FF8">
      <w:pPr>
        <w:tabs>
          <w:tab w:val="left" w:pos="720"/>
          <w:tab w:val="left" w:pos="1440"/>
          <w:tab w:val="left" w:pos="2160"/>
          <w:tab w:val="left" w:pos="2340"/>
        </w:tabs>
        <w:ind w:left="2592" w:hanging="2592"/>
        <w:rPr>
          <w:b/>
        </w:rPr>
      </w:pPr>
      <w:r w:rsidRPr="00592BEB">
        <w:rPr>
          <w:b/>
        </w:rPr>
        <w:tab/>
      </w:r>
      <w:r w:rsidRPr="0038725D">
        <w:rPr>
          <w:b/>
        </w:rPr>
        <w:t>Email Address:</w:t>
      </w:r>
      <w:r w:rsidR="00825878">
        <w:rPr>
          <w:b/>
        </w:rPr>
        <w:t xml:space="preserve"> jjt0018@auburn.edu</w:t>
      </w:r>
    </w:p>
    <w:p w14:paraId="123518E7" w14:textId="6018F4D1" w:rsidR="00182FF8" w:rsidRPr="00592BEB" w:rsidRDefault="00182FF8" w:rsidP="00182FF8">
      <w:pPr>
        <w:tabs>
          <w:tab w:val="left" w:pos="720"/>
          <w:tab w:val="left" w:pos="1440"/>
          <w:tab w:val="left" w:pos="2160"/>
          <w:tab w:val="left" w:pos="2340"/>
        </w:tabs>
        <w:ind w:left="2592" w:hanging="2592"/>
        <w:rPr>
          <w:b/>
        </w:rPr>
      </w:pPr>
      <w:r w:rsidRPr="00592BEB">
        <w:rPr>
          <w:b/>
        </w:rPr>
        <w:tab/>
      </w:r>
      <w:r w:rsidRPr="0038725D">
        <w:rPr>
          <w:b/>
        </w:rPr>
        <w:t>Phone Number</w:t>
      </w:r>
      <w:r w:rsidRPr="00592BEB">
        <w:rPr>
          <w:b/>
        </w:rPr>
        <w:t>:</w:t>
      </w:r>
      <w:r w:rsidR="00825878">
        <w:rPr>
          <w:b/>
        </w:rPr>
        <w:t xml:space="preserve"> 229.389.9063</w:t>
      </w:r>
    </w:p>
    <w:p w14:paraId="1A090E6B" w14:textId="735EF7CB" w:rsidR="00182FF8" w:rsidRDefault="00182FF8" w:rsidP="00182FF8">
      <w:pPr>
        <w:tabs>
          <w:tab w:val="left" w:pos="720"/>
          <w:tab w:val="left" w:pos="1440"/>
          <w:tab w:val="left" w:pos="2160"/>
          <w:tab w:val="left" w:pos="2340"/>
        </w:tabs>
        <w:ind w:left="2592" w:hanging="2592"/>
        <w:rPr>
          <w:b/>
        </w:rPr>
      </w:pPr>
      <w:r w:rsidRPr="00592BEB">
        <w:rPr>
          <w:b/>
        </w:rPr>
        <w:tab/>
      </w:r>
      <w:r w:rsidRPr="0038725D">
        <w:rPr>
          <w:b/>
        </w:rPr>
        <w:t>Office Hours</w:t>
      </w:r>
      <w:r w:rsidRPr="00592BEB">
        <w:rPr>
          <w:b/>
        </w:rPr>
        <w:t>:</w:t>
      </w:r>
      <w:r w:rsidR="00825878">
        <w:rPr>
          <w:b/>
        </w:rPr>
        <w:t xml:space="preserve"> Tuesday from 5-6pm</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77777777"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t>Fall 2019</w:t>
      </w:r>
    </w:p>
    <w:p w14:paraId="3EE95029" w14:textId="188B403E" w:rsidR="00182FF8" w:rsidRPr="0061654A" w:rsidRDefault="00182FF8" w:rsidP="00182FF8">
      <w:pPr>
        <w:ind w:firstLine="720"/>
      </w:pPr>
      <w:r w:rsidRPr="0061654A">
        <w:rPr>
          <w:b/>
        </w:rPr>
        <w:t>Day/Time:</w:t>
      </w:r>
      <w:r w:rsidRPr="0061654A">
        <w:t xml:space="preserve"> </w:t>
      </w:r>
      <w:r w:rsidR="003B17B1" w:rsidRPr="00825878">
        <w:t>Monday</w:t>
      </w:r>
      <w:r w:rsidRPr="00825878">
        <w:t>, 5:30 p.m. – 8:15 p.m.</w:t>
      </w:r>
    </w:p>
    <w:p w14:paraId="17B4FAE1" w14:textId="5CC9B2B9"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3B17B1">
        <w:t>July</w:t>
      </w:r>
      <w:r w:rsidRPr="007905CE">
        <w:t xml:space="preserve"> 20</w:t>
      </w:r>
      <w:r>
        <w:t>19</w:t>
      </w:r>
    </w:p>
    <w:p w14:paraId="1509563E" w14:textId="77777777" w:rsidR="00182FF8" w:rsidRPr="003A0544" w:rsidRDefault="00182FF8" w:rsidP="00182FF8">
      <w:pPr>
        <w:rPr>
          <w:rFonts w:cs="Tahoma"/>
        </w:rPr>
      </w:pPr>
      <w:bookmarkStart w:id="0" w:name="_GoBack"/>
      <w:bookmarkEnd w:id="0"/>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4B2E5F8A" w14:textId="04E6021B" w:rsidR="00182FF8" w:rsidRDefault="0003429D" w:rsidP="00182FF8">
      <w:pPr>
        <w:rPr>
          <w:color w:val="333333"/>
          <w:shd w:val="clear" w:color="auto" w:fill="FFFFFF"/>
        </w:rPr>
      </w:pPr>
      <w:r w:rsidRPr="0003429D">
        <w:rPr>
          <w:rFonts w:cs="Tahoma"/>
          <w:u w:val="single"/>
        </w:rPr>
        <w:t>Required</w:t>
      </w:r>
      <w:r>
        <w:rPr>
          <w:rFonts w:cs="Tahoma"/>
        </w:rPr>
        <w:t xml:space="preserve">: </w:t>
      </w:r>
      <w:r w:rsidR="00182FF8">
        <w:rPr>
          <w:rFonts w:cs="Tahoma"/>
        </w:rPr>
        <w:t>MyLab Education with Pearson eText 2.0 – Instant Access – for Including Students with Special Needs: A Practical Guide for Classroom Teachers, 8</w:t>
      </w:r>
      <w:r w:rsidR="00182FF8" w:rsidRPr="00D6772B">
        <w:rPr>
          <w:rFonts w:cs="Tahoma"/>
          <w:vertAlign w:val="superscript"/>
        </w:rPr>
        <w:t>th</w:t>
      </w:r>
      <w:r w:rsidR="00182FF8">
        <w:rPr>
          <w:rFonts w:cs="Tahoma"/>
        </w:rPr>
        <w:t xml:space="preserve"> edition by Marilyn Friend and William D. Bursuck. ISBN-13: </w:t>
      </w:r>
      <w:r w:rsidR="00182FF8" w:rsidRPr="00D6772B">
        <w:rPr>
          <w:color w:val="333333"/>
          <w:shd w:val="clear" w:color="auto" w:fill="FFFFFF"/>
        </w:rPr>
        <w:t>9780135204894</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eText if desired for $20. </w:t>
      </w:r>
      <w:r w:rsidR="0003429D">
        <w:t>Option to buy is in mylab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Friend, M. &amp; Bursuck,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(2)(a)2.(i)</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(2)(a)2.(i))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(2)(j)2.(i))</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(2)(b)2.(i))</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(290-3-3-.34-(2)(b)2.(i)</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(2)(a)2.(i))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(2)(a)2.(i))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(2)(j)2.(i))</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Bursuck,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3B17B1">
        <w:tc>
          <w:tcPr>
            <w:tcW w:w="985" w:type="dxa"/>
          </w:tcPr>
          <w:p w14:paraId="3DA945D3" w14:textId="77777777" w:rsidR="00BA4747" w:rsidRPr="00265888" w:rsidRDefault="00BA4747" w:rsidP="00A732A7">
            <w:pPr>
              <w:rPr>
                <w:b/>
                <w:sz w:val="20"/>
                <w:szCs w:val="20"/>
              </w:rPr>
            </w:pPr>
            <w:r w:rsidRPr="00265888">
              <w:rPr>
                <w:b/>
                <w:sz w:val="20"/>
                <w:szCs w:val="20"/>
              </w:rPr>
              <w:t>Date</w:t>
            </w: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64BA8093"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00825878">
              <w:rPr>
                <w:b/>
                <w:sz w:val="20"/>
                <w:szCs w:val="20"/>
              </w:rPr>
              <w:t>8/20</w:t>
            </w:r>
            <w:r w:rsidRPr="00265888">
              <w:rPr>
                <w:b/>
                <w:sz w:val="20"/>
                <w:szCs w:val="20"/>
              </w:rPr>
              <w:t>)</w:t>
            </w:r>
          </w:p>
        </w:tc>
      </w:tr>
      <w:tr w:rsidR="00BA4747" w:rsidRPr="00FE434A" w14:paraId="783CE629" w14:textId="77777777" w:rsidTr="003B17B1">
        <w:tc>
          <w:tcPr>
            <w:tcW w:w="985" w:type="dxa"/>
          </w:tcPr>
          <w:p w14:paraId="1ADE5287" w14:textId="77777777" w:rsidR="00BA4747" w:rsidRDefault="00BA4747" w:rsidP="00A732A7">
            <w:pPr>
              <w:rPr>
                <w:sz w:val="20"/>
                <w:szCs w:val="20"/>
              </w:rPr>
            </w:pPr>
            <w:r>
              <w:rPr>
                <w:sz w:val="20"/>
                <w:szCs w:val="20"/>
              </w:rPr>
              <w:t>Week 1</w:t>
            </w:r>
          </w:p>
          <w:p w14:paraId="44976010" w14:textId="77777777" w:rsidR="003B17B1" w:rsidRDefault="003B17B1" w:rsidP="00A732A7">
            <w:pPr>
              <w:rPr>
                <w:sz w:val="20"/>
                <w:szCs w:val="20"/>
              </w:rPr>
            </w:pPr>
          </w:p>
          <w:p w14:paraId="62BFFC1D" w14:textId="7E5381D1" w:rsidR="003B17B1" w:rsidRPr="00FE434A" w:rsidRDefault="003B17B1" w:rsidP="00A732A7">
            <w:pPr>
              <w:rPr>
                <w:sz w:val="20"/>
                <w:szCs w:val="20"/>
              </w:rPr>
            </w:pPr>
            <w:r>
              <w:rPr>
                <w:sz w:val="20"/>
                <w:szCs w:val="20"/>
              </w:rPr>
              <w:t>8/19</w:t>
            </w: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3B17B1">
        <w:tc>
          <w:tcPr>
            <w:tcW w:w="985" w:type="dxa"/>
          </w:tcPr>
          <w:p w14:paraId="16B284FE" w14:textId="77777777" w:rsidR="00BA4747" w:rsidRDefault="00BA4747" w:rsidP="00A732A7">
            <w:pPr>
              <w:rPr>
                <w:sz w:val="20"/>
                <w:szCs w:val="20"/>
              </w:rPr>
            </w:pPr>
            <w:r>
              <w:rPr>
                <w:sz w:val="20"/>
                <w:szCs w:val="20"/>
              </w:rPr>
              <w:t>Week 2</w:t>
            </w:r>
          </w:p>
          <w:p w14:paraId="20802309" w14:textId="77777777" w:rsidR="00422FDD" w:rsidRDefault="00422FDD" w:rsidP="00A732A7">
            <w:pPr>
              <w:rPr>
                <w:sz w:val="20"/>
                <w:szCs w:val="20"/>
              </w:rPr>
            </w:pPr>
          </w:p>
          <w:p w14:paraId="10BD4937" w14:textId="77777777" w:rsidR="00422FDD" w:rsidRDefault="00422FDD" w:rsidP="00A732A7">
            <w:pPr>
              <w:rPr>
                <w:sz w:val="20"/>
                <w:szCs w:val="20"/>
              </w:rPr>
            </w:pPr>
            <w:r>
              <w:rPr>
                <w:sz w:val="20"/>
                <w:szCs w:val="20"/>
              </w:rPr>
              <w:t>8/26</w:t>
            </w:r>
          </w:p>
          <w:p w14:paraId="67E95956" w14:textId="77777777" w:rsidR="00422FDD" w:rsidRDefault="00422FDD" w:rsidP="00A732A7">
            <w:pPr>
              <w:rPr>
                <w:sz w:val="20"/>
                <w:szCs w:val="20"/>
              </w:rPr>
            </w:pPr>
          </w:p>
          <w:p w14:paraId="5356BD96" w14:textId="0DE2D8C0" w:rsidR="00422FDD" w:rsidRPr="00422FDD" w:rsidRDefault="00422FDD" w:rsidP="00A732A7">
            <w:pPr>
              <w:rPr>
                <w:i/>
                <w:iCs/>
                <w:sz w:val="20"/>
                <w:szCs w:val="20"/>
              </w:rPr>
            </w:pPr>
            <w:r w:rsidRPr="00422FDD">
              <w:rPr>
                <w:i/>
                <w:iCs/>
                <w:sz w:val="20"/>
                <w:szCs w:val="20"/>
              </w:rPr>
              <w:t>No class 9/2</w:t>
            </w: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lastRenderedPageBreak/>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6F293E65" w:rsidR="00BA4747" w:rsidRPr="00FE434A" w:rsidRDefault="00BA4747" w:rsidP="00A732A7">
            <w:pPr>
              <w:rPr>
                <w:sz w:val="20"/>
                <w:szCs w:val="20"/>
              </w:rPr>
            </w:pPr>
            <w:r>
              <w:rPr>
                <w:sz w:val="20"/>
                <w:szCs w:val="20"/>
              </w:rPr>
              <w:t xml:space="preserve">Chapter 1 Quiz Due by </w:t>
            </w:r>
            <w:r w:rsidR="00825878">
              <w:rPr>
                <w:sz w:val="20"/>
                <w:szCs w:val="20"/>
              </w:rPr>
              <w:t>8/30</w:t>
            </w:r>
          </w:p>
          <w:p w14:paraId="02E67E04" w14:textId="77777777" w:rsidR="00BA4747" w:rsidRPr="00FE434A" w:rsidRDefault="00BA4747" w:rsidP="00A732A7">
            <w:pPr>
              <w:rPr>
                <w:sz w:val="20"/>
                <w:szCs w:val="20"/>
              </w:rPr>
            </w:pPr>
          </w:p>
        </w:tc>
      </w:tr>
      <w:tr w:rsidR="00BA4747" w:rsidRPr="00FE434A" w14:paraId="77944C62" w14:textId="77777777" w:rsidTr="003B17B1">
        <w:tc>
          <w:tcPr>
            <w:tcW w:w="985" w:type="dxa"/>
          </w:tcPr>
          <w:p w14:paraId="2A3FC947" w14:textId="77777777" w:rsidR="00BA4747" w:rsidRDefault="00BA4747" w:rsidP="00A732A7">
            <w:pPr>
              <w:rPr>
                <w:sz w:val="20"/>
                <w:szCs w:val="20"/>
              </w:rPr>
            </w:pPr>
            <w:r>
              <w:rPr>
                <w:sz w:val="20"/>
                <w:szCs w:val="20"/>
              </w:rPr>
              <w:t>Week 3</w:t>
            </w:r>
          </w:p>
          <w:p w14:paraId="2781EBE0" w14:textId="77777777" w:rsidR="00422FDD" w:rsidRDefault="00422FDD" w:rsidP="00A732A7">
            <w:pPr>
              <w:rPr>
                <w:sz w:val="20"/>
                <w:szCs w:val="20"/>
              </w:rPr>
            </w:pPr>
          </w:p>
          <w:p w14:paraId="7F92083C" w14:textId="435F126A" w:rsidR="00422FDD" w:rsidRPr="00FE434A" w:rsidRDefault="00422FDD" w:rsidP="00A732A7">
            <w:pPr>
              <w:rPr>
                <w:sz w:val="20"/>
                <w:szCs w:val="20"/>
              </w:rPr>
            </w:pPr>
            <w:r>
              <w:rPr>
                <w:sz w:val="20"/>
                <w:szCs w:val="20"/>
              </w:rPr>
              <w:t>9/9</w:t>
            </w: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58F8993E" w:rsidR="00BA4747" w:rsidRPr="00FE434A" w:rsidRDefault="00BA4747" w:rsidP="00A732A7">
            <w:pPr>
              <w:rPr>
                <w:sz w:val="20"/>
                <w:szCs w:val="20"/>
              </w:rPr>
            </w:pPr>
            <w:r>
              <w:rPr>
                <w:sz w:val="20"/>
                <w:szCs w:val="20"/>
              </w:rPr>
              <w:t xml:space="preserve">Chapter 2 Quiz due by </w:t>
            </w:r>
            <w:r w:rsidR="00825878" w:rsidRPr="00825878">
              <w:rPr>
                <w:sz w:val="20"/>
                <w:szCs w:val="20"/>
              </w:rPr>
              <w:t>9/9</w:t>
            </w:r>
          </w:p>
        </w:tc>
      </w:tr>
      <w:tr w:rsidR="00BA4747" w:rsidRPr="00FE434A" w14:paraId="62F1C21E" w14:textId="77777777" w:rsidTr="003B17B1">
        <w:tc>
          <w:tcPr>
            <w:tcW w:w="985" w:type="dxa"/>
          </w:tcPr>
          <w:p w14:paraId="3BFCFA88" w14:textId="77777777" w:rsidR="00BA4747" w:rsidRDefault="00BA4747" w:rsidP="00A732A7">
            <w:pPr>
              <w:rPr>
                <w:sz w:val="20"/>
                <w:szCs w:val="20"/>
              </w:rPr>
            </w:pPr>
            <w:r>
              <w:rPr>
                <w:sz w:val="20"/>
                <w:szCs w:val="20"/>
              </w:rPr>
              <w:t>Week 4</w:t>
            </w:r>
          </w:p>
          <w:p w14:paraId="47AA2C3E" w14:textId="77777777" w:rsidR="00422FDD" w:rsidRDefault="00422FDD" w:rsidP="00A732A7">
            <w:pPr>
              <w:rPr>
                <w:sz w:val="20"/>
                <w:szCs w:val="20"/>
              </w:rPr>
            </w:pPr>
          </w:p>
          <w:p w14:paraId="0F43509A" w14:textId="770D15AC" w:rsidR="00422FDD" w:rsidRDefault="00422FDD" w:rsidP="00A732A7">
            <w:pPr>
              <w:rPr>
                <w:sz w:val="20"/>
                <w:szCs w:val="20"/>
              </w:rPr>
            </w:pPr>
            <w:r>
              <w:rPr>
                <w:sz w:val="20"/>
                <w:szCs w:val="20"/>
              </w:rPr>
              <w:t>9/16</w:t>
            </w:r>
          </w:p>
        </w:tc>
        <w:tc>
          <w:tcPr>
            <w:tcW w:w="5130" w:type="dxa"/>
          </w:tcPr>
          <w:p w14:paraId="2477E74F" w14:textId="77777777" w:rsidR="00BA4747" w:rsidRDefault="00BA4747" w:rsidP="00A732A7">
            <w:pPr>
              <w:rPr>
                <w:sz w:val="20"/>
                <w:szCs w:val="20"/>
              </w:rPr>
            </w:pPr>
            <w:r>
              <w:rPr>
                <w:sz w:val="20"/>
                <w:szCs w:val="20"/>
              </w:rPr>
              <w:t>Chapter 4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6F4BCC30" w:rsidR="00BA4747" w:rsidRDefault="00825878" w:rsidP="00A732A7">
            <w:pPr>
              <w:rPr>
                <w:sz w:val="20"/>
                <w:szCs w:val="20"/>
              </w:rPr>
            </w:pPr>
            <w:r>
              <w:rPr>
                <w:sz w:val="20"/>
                <w:szCs w:val="20"/>
              </w:rPr>
              <w:t>Chapter 3 Quiz due by 9/16</w:t>
            </w:r>
          </w:p>
          <w:p w14:paraId="3E1AC36B" w14:textId="77777777" w:rsidR="00BA4747" w:rsidRDefault="00BA4747" w:rsidP="00A732A7">
            <w:pPr>
              <w:rPr>
                <w:sz w:val="20"/>
                <w:szCs w:val="20"/>
              </w:rPr>
            </w:pPr>
          </w:p>
          <w:p w14:paraId="35D493AB" w14:textId="77777777" w:rsidR="00BA4747" w:rsidRDefault="00825878" w:rsidP="00A732A7">
            <w:pPr>
              <w:rPr>
                <w:sz w:val="20"/>
                <w:szCs w:val="20"/>
              </w:rPr>
            </w:pPr>
            <w:r>
              <w:rPr>
                <w:sz w:val="20"/>
                <w:szCs w:val="20"/>
              </w:rPr>
              <w:t>Chapter 4 Quiz due by</w:t>
            </w:r>
          </w:p>
          <w:p w14:paraId="2CAD87CF" w14:textId="1DB80114" w:rsidR="00825878" w:rsidRPr="00FE434A" w:rsidRDefault="00825878" w:rsidP="00A732A7">
            <w:pPr>
              <w:rPr>
                <w:sz w:val="20"/>
                <w:szCs w:val="20"/>
              </w:rPr>
            </w:pPr>
            <w:r>
              <w:rPr>
                <w:sz w:val="20"/>
                <w:szCs w:val="20"/>
              </w:rPr>
              <w:t>9/20</w:t>
            </w:r>
          </w:p>
        </w:tc>
      </w:tr>
      <w:tr w:rsidR="00BA4747" w:rsidRPr="00FE434A" w14:paraId="3AA9BA9A" w14:textId="77777777" w:rsidTr="003B17B1">
        <w:tc>
          <w:tcPr>
            <w:tcW w:w="985" w:type="dxa"/>
          </w:tcPr>
          <w:p w14:paraId="06423E72" w14:textId="77777777" w:rsidR="00BA4747" w:rsidRDefault="00BA4747" w:rsidP="00A732A7">
            <w:pPr>
              <w:rPr>
                <w:sz w:val="20"/>
                <w:szCs w:val="20"/>
              </w:rPr>
            </w:pPr>
            <w:r>
              <w:rPr>
                <w:sz w:val="20"/>
                <w:szCs w:val="20"/>
              </w:rPr>
              <w:t>Week 5</w:t>
            </w:r>
          </w:p>
          <w:p w14:paraId="7306832E" w14:textId="77777777" w:rsidR="00422FDD" w:rsidRDefault="00422FDD" w:rsidP="00A732A7">
            <w:pPr>
              <w:rPr>
                <w:sz w:val="20"/>
                <w:szCs w:val="20"/>
              </w:rPr>
            </w:pPr>
          </w:p>
          <w:p w14:paraId="6FB0F44E" w14:textId="6FBEB726" w:rsidR="00422FDD" w:rsidRDefault="00422FDD" w:rsidP="00A732A7">
            <w:pPr>
              <w:rPr>
                <w:sz w:val="20"/>
                <w:szCs w:val="20"/>
              </w:rPr>
            </w:pPr>
            <w:r>
              <w:rPr>
                <w:sz w:val="20"/>
                <w:szCs w:val="20"/>
              </w:rPr>
              <w:t>9/23</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4C3B6BBD" w:rsidR="00BA4747" w:rsidRPr="00FE434A" w:rsidRDefault="00825878" w:rsidP="00A732A7">
            <w:pPr>
              <w:rPr>
                <w:sz w:val="20"/>
                <w:szCs w:val="20"/>
              </w:rPr>
            </w:pPr>
            <w:r>
              <w:rPr>
                <w:sz w:val="20"/>
                <w:szCs w:val="20"/>
              </w:rPr>
              <w:t>Due 9/23</w:t>
            </w:r>
          </w:p>
        </w:tc>
      </w:tr>
      <w:tr w:rsidR="00BA4747" w:rsidRPr="00FE434A" w14:paraId="4A2CA85D" w14:textId="77777777" w:rsidTr="003B17B1">
        <w:tc>
          <w:tcPr>
            <w:tcW w:w="985" w:type="dxa"/>
          </w:tcPr>
          <w:p w14:paraId="4975BEF9" w14:textId="77777777" w:rsidR="00BA4747" w:rsidRDefault="00BA4747" w:rsidP="00A732A7">
            <w:pPr>
              <w:rPr>
                <w:sz w:val="20"/>
                <w:szCs w:val="20"/>
              </w:rPr>
            </w:pPr>
            <w:r>
              <w:rPr>
                <w:sz w:val="20"/>
                <w:szCs w:val="20"/>
              </w:rPr>
              <w:t>Week 6</w:t>
            </w:r>
          </w:p>
          <w:p w14:paraId="4D9301C6" w14:textId="77777777" w:rsidR="00422FDD" w:rsidRDefault="00422FDD" w:rsidP="00A732A7">
            <w:pPr>
              <w:rPr>
                <w:sz w:val="20"/>
                <w:szCs w:val="20"/>
              </w:rPr>
            </w:pPr>
          </w:p>
          <w:p w14:paraId="1C687EBD" w14:textId="672A558A" w:rsidR="00422FDD" w:rsidRDefault="00422FDD" w:rsidP="00A732A7">
            <w:pPr>
              <w:rPr>
                <w:sz w:val="20"/>
                <w:szCs w:val="20"/>
              </w:rPr>
            </w:pPr>
            <w:r>
              <w:rPr>
                <w:sz w:val="20"/>
                <w:szCs w:val="20"/>
              </w:rPr>
              <w:lastRenderedPageBreak/>
              <w:t>9/30</w:t>
            </w:r>
          </w:p>
        </w:tc>
        <w:tc>
          <w:tcPr>
            <w:tcW w:w="5130" w:type="dxa"/>
          </w:tcPr>
          <w:p w14:paraId="6FD2E3E3" w14:textId="77777777" w:rsidR="00BA4747" w:rsidRDefault="00BA4747" w:rsidP="00A732A7">
            <w:pPr>
              <w:rPr>
                <w:sz w:val="20"/>
                <w:szCs w:val="20"/>
              </w:rPr>
            </w:pPr>
            <w:r>
              <w:rPr>
                <w:sz w:val="20"/>
                <w:szCs w:val="20"/>
              </w:rPr>
              <w:lastRenderedPageBreak/>
              <w:t>Chapter 5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lastRenderedPageBreak/>
              <w:t>Chapter 5 (all)</w:t>
            </w:r>
          </w:p>
        </w:tc>
        <w:tc>
          <w:tcPr>
            <w:tcW w:w="2160" w:type="dxa"/>
          </w:tcPr>
          <w:p w14:paraId="2D036F7B" w14:textId="1E0D77DE" w:rsidR="00BA4747" w:rsidRPr="00FE434A" w:rsidRDefault="00BA4747" w:rsidP="00A732A7">
            <w:pPr>
              <w:rPr>
                <w:sz w:val="20"/>
                <w:szCs w:val="20"/>
              </w:rPr>
            </w:pPr>
          </w:p>
        </w:tc>
      </w:tr>
      <w:tr w:rsidR="00BA4747" w:rsidRPr="00FE434A" w14:paraId="0AD60D0B" w14:textId="77777777" w:rsidTr="003B17B1">
        <w:tc>
          <w:tcPr>
            <w:tcW w:w="985" w:type="dxa"/>
          </w:tcPr>
          <w:p w14:paraId="1F30CA0F" w14:textId="77777777" w:rsidR="00BA4747" w:rsidRDefault="00BA4747" w:rsidP="00A732A7">
            <w:pPr>
              <w:rPr>
                <w:sz w:val="20"/>
                <w:szCs w:val="20"/>
              </w:rPr>
            </w:pPr>
            <w:r>
              <w:rPr>
                <w:sz w:val="20"/>
                <w:szCs w:val="20"/>
              </w:rPr>
              <w:t>Week 7</w:t>
            </w:r>
          </w:p>
          <w:p w14:paraId="61FA82BF" w14:textId="77777777" w:rsidR="00422FDD" w:rsidRDefault="00422FDD" w:rsidP="00A732A7">
            <w:pPr>
              <w:rPr>
                <w:sz w:val="20"/>
                <w:szCs w:val="20"/>
              </w:rPr>
            </w:pPr>
          </w:p>
          <w:p w14:paraId="2E43C93C" w14:textId="27AD25C3" w:rsidR="00422FDD" w:rsidRDefault="00422FDD" w:rsidP="00A732A7">
            <w:pPr>
              <w:rPr>
                <w:sz w:val="20"/>
                <w:szCs w:val="20"/>
              </w:rPr>
            </w:pPr>
            <w:r>
              <w:rPr>
                <w:sz w:val="20"/>
                <w:szCs w:val="20"/>
              </w:rPr>
              <w:t>10/7</w:t>
            </w:r>
          </w:p>
        </w:tc>
        <w:tc>
          <w:tcPr>
            <w:tcW w:w="5130" w:type="dxa"/>
          </w:tcPr>
          <w:p w14:paraId="798BC747" w14:textId="77777777" w:rsidR="00BA4747" w:rsidRDefault="00BA4747" w:rsidP="00A732A7">
            <w:pPr>
              <w:rPr>
                <w:sz w:val="20"/>
                <w:szCs w:val="20"/>
              </w:rPr>
            </w:pPr>
            <w:r>
              <w:rPr>
                <w:sz w:val="20"/>
                <w:szCs w:val="20"/>
              </w:rPr>
              <w:t>Chapter 6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3AF25DDF" w14:textId="77777777" w:rsidR="00BA4747" w:rsidRDefault="00825878" w:rsidP="00A732A7">
            <w:pPr>
              <w:rPr>
                <w:sz w:val="20"/>
                <w:szCs w:val="20"/>
              </w:rPr>
            </w:pPr>
            <w:r>
              <w:rPr>
                <w:sz w:val="20"/>
                <w:szCs w:val="20"/>
              </w:rPr>
              <w:t>Chapter 5 Quiz due by</w:t>
            </w:r>
          </w:p>
          <w:p w14:paraId="4CE6A72A" w14:textId="262F6F7A" w:rsidR="00825878" w:rsidRPr="00FE434A" w:rsidRDefault="00825878" w:rsidP="00A732A7">
            <w:pPr>
              <w:rPr>
                <w:sz w:val="20"/>
                <w:szCs w:val="20"/>
              </w:rPr>
            </w:pPr>
            <w:r>
              <w:rPr>
                <w:sz w:val="20"/>
                <w:szCs w:val="20"/>
              </w:rPr>
              <w:t>10/7</w:t>
            </w:r>
          </w:p>
        </w:tc>
      </w:tr>
      <w:tr w:rsidR="00BA4747" w:rsidRPr="00FE434A" w14:paraId="637C694C" w14:textId="77777777" w:rsidTr="003B17B1">
        <w:tc>
          <w:tcPr>
            <w:tcW w:w="985" w:type="dxa"/>
          </w:tcPr>
          <w:p w14:paraId="4DA68429" w14:textId="77777777" w:rsidR="00BA4747" w:rsidRDefault="00BA4747" w:rsidP="00A732A7">
            <w:pPr>
              <w:rPr>
                <w:sz w:val="20"/>
                <w:szCs w:val="20"/>
              </w:rPr>
            </w:pPr>
            <w:r>
              <w:rPr>
                <w:sz w:val="20"/>
                <w:szCs w:val="20"/>
              </w:rPr>
              <w:t>Week 8</w:t>
            </w:r>
          </w:p>
          <w:p w14:paraId="252BB106" w14:textId="77777777" w:rsidR="00422FDD" w:rsidRDefault="00422FDD" w:rsidP="00A732A7">
            <w:pPr>
              <w:rPr>
                <w:sz w:val="20"/>
                <w:szCs w:val="20"/>
              </w:rPr>
            </w:pPr>
          </w:p>
          <w:p w14:paraId="50BF19E4" w14:textId="010DD1AB" w:rsidR="00422FDD" w:rsidRDefault="00422FDD" w:rsidP="00A732A7">
            <w:pPr>
              <w:rPr>
                <w:sz w:val="20"/>
                <w:szCs w:val="20"/>
              </w:rPr>
            </w:pPr>
            <w:r>
              <w:rPr>
                <w:sz w:val="20"/>
                <w:szCs w:val="20"/>
              </w:rPr>
              <w:t>10/14</w:t>
            </w:r>
          </w:p>
        </w:tc>
        <w:tc>
          <w:tcPr>
            <w:tcW w:w="5130" w:type="dxa"/>
          </w:tcPr>
          <w:p w14:paraId="4E5110D3" w14:textId="77777777" w:rsidR="00BA4747" w:rsidRDefault="00BA4747" w:rsidP="00A732A7">
            <w:pPr>
              <w:rPr>
                <w:sz w:val="20"/>
                <w:szCs w:val="20"/>
              </w:rPr>
            </w:pPr>
            <w:r>
              <w:rPr>
                <w:sz w:val="20"/>
                <w:szCs w:val="20"/>
              </w:rPr>
              <w:t>Chapter 7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t>Chapter 7 (all)</w:t>
            </w:r>
          </w:p>
        </w:tc>
        <w:tc>
          <w:tcPr>
            <w:tcW w:w="2160" w:type="dxa"/>
          </w:tcPr>
          <w:p w14:paraId="243678CB" w14:textId="77777777" w:rsidR="00BA4747" w:rsidRDefault="00825878" w:rsidP="00A732A7">
            <w:pPr>
              <w:rPr>
                <w:sz w:val="20"/>
                <w:szCs w:val="20"/>
              </w:rPr>
            </w:pPr>
            <w:r>
              <w:rPr>
                <w:sz w:val="20"/>
                <w:szCs w:val="20"/>
              </w:rPr>
              <w:t>Chapter 6 Quiz due by</w:t>
            </w:r>
          </w:p>
          <w:p w14:paraId="63732C31" w14:textId="353C37E5" w:rsidR="00825878" w:rsidRPr="00FE434A" w:rsidRDefault="00825878" w:rsidP="00A732A7">
            <w:pPr>
              <w:rPr>
                <w:sz w:val="20"/>
                <w:szCs w:val="20"/>
              </w:rPr>
            </w:pPr>
            <w:r>
              <w:rPr>
                <w:sz w:val="20"/>
                <w:szCs w:val="20"/>
              </w:rPr>
              <w:t>10/14</w:t>
            </w:r>
          </w:p>
        </w:tc>
      </w:tr>
      <w:tr w:rsidR="00BA4747" w:rsidRPr="00FE434A" w14:paraId="61F1DDC7" w14:textId="77777777" w:rsidTr="003B17B1">
        <w:tc>
          <w:tcPr>
            <w:tcW w:w="985" w:type="dxa"/>
          </w:tcPr>
          <w:p w14:paraId="1DDB8704" w14:textId="77777777" w:rsidR="00BA4747" w:rsidRDefault="00BA4747" w:rsidP="00A732A7">
            <w:pPr>
              <w:rPr>
                <w:sz w:val="20"/>
                <w:szCs w:val="20"/>
              </w:rPr>
            </w:pPr>
            <w:r>
              <w:rPr>
                <w:sz w:val="20"/>
                <w:szCs w:val="20"/>
              </w:rPr>
              <w:t>Week 9</w:t>
            </w:r>
          </w:p>
          <w:p w14:paraId="298C7693" w14:textId="77777777" w:rsidR="00422FDD" w:rsidRDefault="00422FDD" w:rsidP="00A732A7">
            <w:pPr>
              <w:rPr>
                <w:sz w:val="20"/>
                <w:szCs w:val="20"/>
              </w:rPr>
            </w:pPr>
          </w:p>
          <w:p w14:paraId="36E078EE" w14:textId="78E6284A" w:rsidR="00422FDD" w:rsidRDefault="00422FDD" w:rsidP="00A732A7">
            <w:pPr>
              <w:rPr>
                <w:sz w:val="20"/>
                <w:szCs w:val="20"/>
              </w:rPr>
            </w:pPr>
            <w:r>
              <w:rPr>
                <w:sz w:val="20"/>
                <w:szCs w:val="20"/>
              </w:rPr>
              <w:t>10/21</w:t>
            </w:r>
          </w:p>
        </w:tc>
        <w:tc>
          <w:tcPr>
            <w:tcW w:w="5130" w:type="dxa"/>
          </w:tcPr>
          <w:p w14:paraId="5C8C00A6" w14:textId="77777777" w:rsidR="00BA4747" w:rsidRDefault="00BA4747" w:rsidP="00A732A7">
            <w:pPr>
              <w:rPr>
                <w:sz w:val="20"/>
                <w:szCs w:val="20"/>
              </w:rPr>
            </w:pPr>
            <w:r>
              <w:rPr>
                <w:sz w:val="20"/>
                <w:szCs w:val="20"/>
              </w:rPr>
              <w:t>Chapter 8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lastRenderedPageBreak/>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lastRenderedPageBreak/>
              <w:t>Chapter 8 (all)</w:t>
            </w:r>
          </w:p>
        </w:tc>
        <w:tc>
          <w:tcPr>
            <w:tcW w:w="2160" w:type="dxa"/>
          </w:tcPr>
          <w:p w14:paraId="1D856E68" w14:textId="18393F38" w:rsidR="00BA4747" w:rsidRDefault="00825878" w:rsidP="00A732A7">
            <w:pPr>
              <w:rPr>
                <w:sz w:val="20"/>
                <w:szCs w:val="20"/>
              </w:rPr>
            </w:pPr>
            <w:r>
              <w:rPr>
                <w:sz w:val="20"/>
                <w:szCs w:val="20"/>
              </w:rPr>
              <w:t>Chapter 7 Quiz due by</w:t>
            </w:r>
          </w:p>
          <w:p w14:paraId="673B0EE6" w14:textId="4B18EF4F" w:rsidR="00825878" w:rsidRDefault="00825878" w:rsidP="00A732A7">
            <w:pPr>
              <w:rPr>
                <w:sz w:val="20"/>
                <w:szCs w:val="20"/>
              </w:rPr>
            </w:pPr>
            <w:r>
              <w:rPr>
                <w:sz w:val="20"/>
                <w:szCs w:val="20"/>
              </w:rPr>
              <w:t>10/21</w:t>
            </w:r>
          </w:p>
          <w:p w14:paraId="6A7CE984" w14:textId="77777777" w:rsidR="00BA4747" w:rsidRDefault="00BA4747" w:rsidP="00A732A7">
            <w:pPr>
              <w:rPr>
                <w:sz w:val="20"/>
                <w:szCs w:val="20"/>
              </w:rPr>
            </w:pPr>
          </w:p>
          <w:p w14:paraId="5ED58D99" w14:textId="77777777" w:rsidR="00BA4747" w:rsidRDefault="00825878" w:rsidP="00A732A7">
            <w:pPr>
              <w:rPr>
                <w:sz w:val="20"/>
                <w:szCs w:val="20"/>
              </w:rPr>
            </w:pPr>
            <w:r>
              <w:rPr>
                <w:sz w:val="20"/>
                <w:szCs w:val="20"/>
              </w:rPr>
              <w:t>Chapter 8 Quiz due by</w:t>
            </w:r>
          </w:p>
          <w:p w14:paraId="50AB8873" w14:textId="61D24FB2" w:rsidR="00825878" w:rsidRPr="00FE434A" w:rsidRDefault="00825878" w:rsidP="00A732A7">
            <w:pPr>
              <w:rPr>
                <w:sz w:val="20"/>
                <w:szCs w:val="20"/>
              </w:rPr>
            </w:pPr>
            <w:r>
              <w:rPr>
                <w:sz w:val="20"/>
                <w:szCs w:val="20"/>
              </w:rPr>
              <w:t>10/25</w:t>
            </w:r>
          </w:p>
        </w:tc>
      </w:tr>
      <w:tr w:rsidR="00BA4747" w:rsidRPr="00FE434A" w14:paraId="374C9CAF" w14:textId="77777777" w:rsidTr="003B17B1">
        <w:tc>
          <w:tcPr>
            <w:tcW w:w="985" w:type="dxa"/>
          </w:tcPr>
          <w:p w14:paraId="359D817F" w14:textId="77777777" w:rsidR="00BA4747" w:rsidRDefault="00BA4747" w:rsidP="00A732A7">
            <w:pPr>
              <w:rPr>
                <w:sz w:val="20"/>
                <w:szCs w:val="20"/>
              </w:rPr>
            </w:pPr>
            <w:r>
              <w:rPr>
                <w:sz w:val="20"/>
                <w:szCs w:val="20"/>
              </w:rPr>
              <w:t>Week 10</w:t>
            </w:r>
          </w:p>
          <w:p w14:paraId="5098B40D" w14:textId="77777777" w:rsidR="00422FDD" w:rsidRDefault="00422FDD" w:rsidP="00A732A7">
            <w:pPr>
              <w:rPr>
                <w:sz w:val="20"/>
                <w:szCs w:val="20"/>
              </w:rPr>
            </w:pPr>
          </w:p>
          <w:p w14:paraId="16D6162E" w14:textId="334F3F42" w:rsidR="00422FDD" w:rsidRDefault="00422FDD" w:rsidP="00A732A7">
            <w:pPr>
              <w:rPr>
                <w:sz w:val="20"/>
                <w:szCs w:val="20"/>
              </w:rPr>
            </w:pPr>
            <w:r>
              <w:rPr>
                <w:sz w:val="20"/>
                <w:szCs w:val="20"/>
              </w:rPr>
              <w:t>10/28</w:t>
            </w:r>
          </w:p>
        </w:tc>
        <w:tc>
          <w:tcPr>
            <w:tcW w:w="5130" w:type="dxa"/>
          </w:tcPr>
          <w:p w14:paraId="2E1D91FE" w14:textId="64D137F4" w:rsidR="00BA4747" w:rsidRDefault="00BA4747" w:rsidP="00A732A7">
            <w:pPr>
              <w:rPr>
                <w:sz w:val="20"/>
                <w:szCs w:val="20"/>
              </w:rPr>
            </w:pPr>
            <w:r>
              <w:rPr>
                <w:sz w:val="20"/>
                <w:szCs w:val="20"/>
              </w:rPr>
              <w:t>Exam 2</w:t>
            </w:r>
          </w:p>
          <w:p w14:paraId="3F76885A" w14:textId="77777777" w:rsidR="00BA4747" w:rsidRDefault="00BA4747" w:rsidP="00A732A7">
            <w:pPr>
              <w:rPr>
                <w:sz w:val="20"/>
                <w:szCs w:val="20"/>
              </w:rPr>
            </w:pPr>
            <w:r>
              <w:rPr>
                <w:sz w:val="20"/>
                <w:szCs w:val="20"/>
              </w:rPr>
              <w:t>(Chapters 5-8)</w:t>
            </w:r>
          </w:p>
        </w:tc>
        <w:tc>
          <w:tcPr>
            <w:tcW w:w="2250" w:type="dxa"/>
          </w:tcPr>
          <w:p w14:paraId="4159BEAF" w14:textId="77777777" w:rsidR="00BA4747" w:rsidRPr="00FE434A" w:rsidRDefault="00BA4747" w:rsidP="00A732A7">
            <w:pPr>
              <w:rPr>
                <w:sz w:val="20"/>
                <w:szCs w:val="20"/>
              </w:rPr>
            </w:pPr>
          </w:p>
        </w:tc>
        <w:tc>
          <w:tcPr>
            <w:tcW w:w="2160" w:type="dxa"/>
          </w:tcPr>
          <w:p w14:paraId="2AF51F2F" w14:textId="17E2CB82" w:rsidR="00BA4747" w:rsidRPr="00FE434A" w:rsidRDefault="00825878" w:rsidP="00A732A7">
            <w:pPr>
              <w:rPr>
                <w:sz w:val="20"/>
                <w:szCs w:val="20"/>
              </w:rPr>
            </w:pPr>
            <w:r>
              <w:rPr>
                <w:sz w:val="20"/>
                <w:szCs w:val="20"/>
              </w:rPr>
              <w:t>Due: 10/28</w:t>
            </w:r>
          </w:p>
        </w:tc>
      </w:tr>
      <w:tr w:rsidR="00BA4747" w:rsidRPr="00FE434A" w14:paraId="3036A6C0" w14:textId="77777777" w:rsidTr="003B17B1">
        <w:tc>
          <w:tcPr>
            <w:tcW w:w="985" w:type="dxa"/>
          </w:tcPr>
          <w:p w14:paraId="1DF346B4" w14:textId="77777777" w:rsidR="00BA4747" w:rsidRDefault="00BA4747" w:rsidP="00A732A7">
            <w:pPr>
              <w:rPr>
                <w:sz w:val="20"/>
                <w:szCs w:val="20"/>
              </w:rPr>
            </w:pPr>
            <w:r>
              <w:rPr>
                <w:sz w:val="20"/>
                <w:szCs w:val="20"/>
              </w:rPr>
              <w:t>Week 11</w:t>
            </w:r>
          </w:p>
          <w:p w14:paraId="381139D2" w14:textId="77777777" w:rsidR="00422FDD" w:rsidRDefault="00422FDD" w:rsidP="00A732A7">
            <w:pPr>
              <w:rPr>
                <w:sz w:val="20"/>
                <w:szCs w:val="20"/>
              </w:rPr>
            </w:pPr>
          </w:p>
          <w:p w14:paraId="1123AA49" w14:textId="603D36E2" w:rsidR="00422FDD" w:rsidRDefault="00422FDD" w:rsidP="00A732A7">
            <w:pPr>
              <w:rPr>
                <w:sz w:val="20"/>
                <w:szCs w:val="20"/>
              </w:rPr>
            </w:pPr>
            <w:r>
              <w:rPr>
                <w:sz w:val="20"/>
                <w:szCs w:val="20"/>
              </w:rPr>
              <w:t>11/4</w:t>
            </w:r>
          </w:p>
        </w:tc>
        <w:tc>
          <w:tcPr>
            <w:tcW w:w="5130" w:type="dxa"/>
          </w:tcPr>
          <w:p w14:paraId="20487BA7" w14:textId="77777777" w:rsidR="00BA4747" w:rsidRDefault="00BA4747" w:rsidP="00A732A7">
            <w:pPr>
              <w:rPr>
                <w:sz w:val="20"/>
                <w:szCs w:val="20"/>
              </w:rPr>
            </w:pPr>
            <w:r>
              <w:rPr>
                <w:sz w:val="20"/>
                <w:szCs w:val="20"/>
              </w:rPr>
              <w:t>Chapter 9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BA4747" w:rsidRPr="00FE434A" w14:paraId="62FF3881" w14:textId="77777777" w:rsidTr="003B17B1">
        <w:tc>
          <w:tcPr>
            <w:tcW w:w="985" w:type="dxa"/>
          </w:tcPr>
          <w:p w14:paraId="78574CA8" w14:textId="77777777" w:rsidR="00BA4747" w:rsidRDefault="00BA4747" w:rsidP="00A732A7">
            <w:pPr>
              <w:rPr>
                <w:sz w:val="20"/>
                <w:szCs w:val="20"/>
              </w:rPr>
            </w:pPr>
            <w:r>
              <w:rPr>
                <w:sz w:val="20"/>
                <w:szCs w:val="20"/>
              </w:rPr>
              <w:t>Week 12</w:t>
            </w:r>
          </w:p>
          <w:p w14:paraId="431B5911" w14:textId="77777777" w:rsidR="00422FDD" w:rsidRDefault="00422FDD" w:rsidP="00A732A7">
            <w:pPr>
              <w:rPr>
                <w:sz w:val="20"/>
                <w:szCs w:val="20"/>
              </w:rPr>
            </w:pPr>
          </w:p>
          <w:p w14:paraId="3BA7D5C3" w14:textId="67271A65" w:rsidR="00422FDD" w:rsidRDefault="00422FDD" w:rsidP="00A732A7">
            <w:pPr>
              <w:rPr>
                <w:sz w:val="20"/>
                <w:szCs w:val="20"/>
              </w:rPr>
            </w:pPr>
            <w:r>
              <w:rPr>
                <w:sz w:val="20"/>
                <w:szCs w:val="20"/>
              </w:rPr>
              <w:t>11/11</w:t>
            </w:r>
          </w:p>
        </w:tc>
        <w:tc>
          <w:tcPr>
            <w:tcW w:w="5130" w:type="dxa"/>
          </w:tcPr>
          <w:p w14:paraId="30C074A7" w14:textId="77777777" w:rsidR="00BA4747" w:rsidRDefault="00BA4747" w:rsidP="00A732A7">
            <w:pPr>
              <w:rPr>
                <w:sz w:val="20"/>
                <w:szCs w:val="20"/>
              </w:rPr>
            </w:pPr>
            <w:r>
              <w:rPr>
                <w:sz w:val="20"/>
                <w:szCs w:val="20"/>
              </w:rPr>
              <w:t>Chapter 10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3BEBF2E3" w14:textId="77777777" w:rsidR="00BA4747" w:rsidRDefault="00BA4747" w:rsidP="00A732A7">
            <w:pPr>
              <w:rPr>
                <w:sz w:val="20"/>
                <w:szCs w:val="20"/>
              </w:rPr>
            </w:pPr>
          </w:p>
          <w:p w14:paraId="65D1C72E" w14:textId="77777777" w:rsidR="003B17B1" w:rsidRDefault="003B17B1" w:rsidP="003B17B1">
            <w:pPr>
              <w:rPr>
                <w:sz w:val="20"/>
                <w:szCs w:val="20"/>
              </w:rPr>
            </w:pPr>
            <w:r>
              <w:rPr>
                <w:sz w:val="20"/>
                <w:szCs w:val="20"/>
              </w:rPr>
              <w:t>Chapter 11 – Evaluating Student Learning</w:t>
            </w:r>
          </w:p>
          <w:p w14:paraId="3BD30BF3" w14:textId="77777777" w:rsidR="003B17B1" w:rsidRDefault="003B17B1" w:rsidP="003B17B1">
            <w:pPr>
              <w:rPr>
                <w:i/>
                <w:sz w:val="20"/>
                <w:szCs w:val="20"/>
              </w:rPr>
            </w:pPr>
            <w:r>
              <w:rPr>
                <w:i/>
                <w:sz w:val="20"/>
                <w:szCs w:val="20"/>
                <w:u w:val="single"/>
              </w:rPr>
              <w:lastRenderedPageBreak/>
              <w:t xml:space="preserve">Learning Outcomes: </w:t>
            </w:r>
          </w:p>
          <w:p w14:paraId="2A7E33C2" w14:textId="77777777" w:rsidR="003B17B1" w:rsidRPr="00A732A7" w:rsidRDefault="003B17B1" w:rsidP="003B17B1">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46946215" w14:textId="77777777" w:rsidR="003B17B1" w:rsidRPr="00A732A7" w:rsidRDefault="003B17B1" w:rsidP="003B17B1">
            <w:pPr>
              <w:pStyle w:val="ListParagraph"/>
              <w:numPr>
                <w:ilvl w:val="0"/>
                <w:numId w:val="8"/>
              </w:numPr>
              <w:rPr>
                <w:sz w:val="20"/>
                <w:szCs w:val="20"/>
              </w:rPr>
            </w:pPr>
            <w:r>
              <w:rPr>
                <w:i/>
                <w:sz w:val="20"/>
                <w:szCs w:val="20"/>
              </w:rPr>
              <w:t>Describe and provide a rationale for grading practices that can benefit all of your students</w:t>
            </w:r>
          </w:p>
          <w:p w14:paraId="458399D8" w14:textId="77777777" w:rsidR="003B17B1" w:rsidRPr="00A732A7" w:rsidRDefault="003B17B1" w:rsidP="003B17B1">
            <w:pPr>
              <w:pStyle w:val="ListParagraph"/>
              <w:numPr>
                <w:ilvl w:val="0"/>
                <w:numId w:val="8"/>
              </w:numPr>
              <w:rPr>
                <w:sz w:val="20"/>
                <w:szCs w:val="20"/>
              </w:rPr>
            </w:pPr>
            <w:r>
              <w:rPr>
                <w:i/>
                <w:sz w:val="20"/>
                <w:szCs w:val="20"/>
              </w:rPr>
              <w:t>Explain when and how report card grades can be individualized for students with special needs</w:t>
            </w:r>
          </w:p>
          <w:p w14:paraId="64B1C19E" w14:textId="77777777" w:rsidR="003B17B1" w:rsidRPr="00A732A7" w:rsidRDefault="003B17B1" w:rsidP="003B17B1">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2A4D6DF4" w14:textId="5F14CC3C" w:rsidR="003B17B1" w:rsidRDefault="003B17B1" w:rsidP="00A732A7">
            <w:pPr>
              <w:rPr>
                <w:sz w:val="20"/>
                <w:szCs w:val="20"/>
              </w:rPr>
            </w:pPr>
          </w:p>
        </w:tc>
        <w:tc>
          <w:tcPr>
            <w:tcW w:w="2250" w:type="dxa"/>
          </w:tcPr>
          <w:p w14:paraId="0E7477A2" w14:textId="77777777" w:rsidR="00BA4747" w:rsidRDefault="00BA4747" w:rsidP="00A732A7">
            <w:pPr>
              <w:rPr>
                <w:sz w:val="20"/>
                <w:szCs w:val="20"/>
              </w:rPr>
            </w:pPr>
            <w:r>
              <w:rPr>
                <w:sz w:val="20"/>
                <w:szCs w:val="20"/>
              </w:rPr>
              <w:lastRenderedPageBreak/>
              <w:t>Chapter 10 (all)</w:t>
            </w:r>
          </w:p>
          <w:p w14:paraId="777FEF3F" w14:textId="251E45BD" w:rsidR="003B17B1" w:rsidRPr="00FE434A" w:rsidRDefault="003B17B1" w:rsidP="00A732A7">
            <w:pPr>
              <w:rPr>
                <w:sz w:val="20"/>
                <w:szCs w:val="20"/>
              </w:rPr>
            </w:pPr>
            <w:r>
              <w:rPr>
                <w:sz w:val="20"/>
                <w:szCs w:val="20"/>
              </w:rPr>
              <w:t>Chapter 11 (all)</w:t>
            </w:r>
          </w:p>
        </w:tc>
        <w:tc>
          <w:tcPr>
            <w:tcW w:w="2160" w:type="dxa"/>
          </w:tcPr>
          <w:p w14:paraId="6C104047" w14:textId="0DF9AAF0" w:rsidR="00BA4747" w:rsidRDefault="00BA4747" w:rsidP="00A732A7">
            <w:pPr>
              <w:rPr>
                <w:sz w:val="20"/>
                <w:szCs w:val="20"/>
              </w:rPr>
            </w:pPr>
            <w:r>
              <w:rPr>
                <w:sz w:val="20"/>
                <w:szCs w:val="20"/>
              </w:rPr>
              <w:t>Chapter</w:t>
            </w:r>
            <w:r w:rsidR="00825878">
              <w:rPr>
                <w:sz w:val="20"/>
                <w:szCs w:val="20"/>
              </w:rPr>
              <w:t xml:space="preserve"> 9 Quiz due by</w:t>
            </w:r>
          </w:p>
          <w:p w14:paraId="3E1F604D" w14:textId="797D2726" w:rsidR="00825878" w:rsidRDefault="00825878" w:rsidP="00A732A7">
            <w:pPr>
              <w:rPr>
                <w:sz w:val="20"/>
                <w:szCs w:val="20"/>
              </w:rPr>
            </w:pPr>
            <w:r>
              <w:rPr>
                <w:sz w:val="20"/>
                <w:szCs w:val="20"/>
              </w:rPr>
              <w:t>11/11</w:t>
            </w:r>
          </w:p>
          <w:p w14:paraId="0C4B4768" w14:textId="77777777" w:rsidR="003B17B1" w:rsidRDefault="003B17B1" w:rsidP="00A732A7">
            <w:pPr>
              <w:rPr>
                <w:sz w:val="20"/>
                <w:szCs w:val="20"/>
              </w:rPr>
            </w:pPr>
          </w:p>
          <w:p w14:paraId="419F696F" w14:textId="467EDF5A" w:rsidR="003B17B1" w:rsidRPr="00FE434A" w:rsidRDefault="003B17B1" w:rsidP="00A732A7">
            <w:pPr>
              <w:rPr>
                <w:sz w:val="20"/>
                <w:szCs w:val="20"/>
              </w:rPr>
            </w:pPr>
          </w:p>
        </w:tc>
      </w:tr>
      <w:tr w:rsidR="00BA4747" w:rsidRPr="00FE434A" w14:paraId="26FF9DD2" w14:textId="77777777" w:rsidTr="003B17B1">
        <w:tc>
          <w:tcPr>
            <w:tcW w:w="985" w:type="dxa"/>
          </w:tcPr>
          <w:p w14:paraId="6092E6CE" w14:textId="77777777" w:rsidR="00BA4747" w:rsidRDefault="00BA4747" w:rsidP="00A732A7">
            <w:pPr>
              <w:rPr>
                <w:sz w:val="20"/>
                <w:szCs w:val="20"/>
              </w:rPr>
            </w:pPr>
            <w:r>
              <w:rPr>
                <w:sz w:val="20"/>
                <w:szCs w:val="20"/>
              </w:rPr>
              <w:t>Week 13</w:t>
            </w:r>
          </w:p>
          <w:p w14:paraId="5B7CA9FD" w14:textId="77777777" w:rsidR="00422FDD" w:rsidRDefault="00422FDD" w:rsidP="00A732A7">
            <w:pPr>
              <w:rPr>
                <w:sz w:val="20"/>
                <w:szCs w:val="20"/>
              </w:rPr>
            </w:pPr>
          </w:p>
          <w:p w14:paraId="7427A5A5" w14:textId="4D549FB2" w:rsidR="00422FDD" w:rsidRDefault="00422FDD" w:rsidP="00A732A7">
            <w:pPr>
              <w:rPr>
                <w:sz w:val="20"/>
                <w:szCs w:val="20"/>
              </w:rPr>
            </w:pPr>
            <w:r>
              <w:rPr>
                <w:sz w:val="20"/>
                <w:szCs w:val="20"/>
              </w:rPr>
              <w:t>11/18</w:t>
            </w:r>
          </w:p>
        </w:tc>
        <w:tc>
          <w:tcPr>
            <w:tcW w:w="5130" w:type="dxa"/>
          </w:tcPr>
          <w:p w14:paraId="69B66827" w14:textId="77777777" w:rsidR="003B17B1" w:rsidRDefault="003B17B1" w:rsidP="003B17B1">
            <w:pPr>
              <w:rPr>
                <w:sz w:val="20"/>
                <w:szCs w:val="20"/>
              </w:rPr>
            </w:pPr>
            <w:r>
              <w:rPr>
                <w:sz w:val="20"/>
                <w:szCs w:val="20"/>
              </w:rPr>
              <w:t>Chapter 12 – Responding to Student Behavior</w:t>
            </w:r>
          </w:p>
          <w:p w14:paraId="15C688FF" w14:textId="77777777" w:rsidR="003B17B1" w:rsidRDefault="003B17B1" w:rsidP="003B17B1">
            <w:pPr>
              <w:rPr>
                <w:i/>
                <w:sz w:val="20"/>
                <w:szCs w:val="20"/>
              </w:rPr>
            </w:pPr>
            <w:r>
              <w:rPr>
                <w:i/>
                <w:sz w:val="20"/>
                <w:szCs w:val="20"/>
                <w:u w:val="single"/>
              </w:rPr>
              <w:t xml:space="preserve">Learning Outcomes: </w:t>
            </w:r>
          </w:p>
          <w:p w14:paraId="7C825688" w14:textId="77777777" w:rsidR="003B17B1" w:rsidRPr="00B37A33" w:rsidRDefault="003B17B1" w:rsidP="003B17B1">
            <w:pPr>
              <w:pStyle w:val="ListParagraph"/>
              <w:numPr>
                <w:ilvl w:val="0"/>
                <w:numId w:val="8"/>
              </w:numPr>
              <w:rPr>
                <w:sz w:val="20"/>
                <w:szCs w:val="20"/>
              </w:rPr>
            </w:pPr>
            <w:r>
              <w:rPr>
                <w:i/>
                <w:sz w:val="20"/>
                <w:szCs w:val="20"/>
              </w:rPr>
              <w:t>Outline classroom strategies that promote students’ positive behavior and prevent misbehavior</w:t>
            </w:r>
          </w:p>
          <w:p w14:paraId="2F3E8C94" w14:textId="77777777" w:rsidR="003B17B1" w:rsidRPr="00B37A33" w:rsidRDefault="003B17B1" w:rsidP="003B17B1">
            <w:pPr>
              <w:pStyle w:val="ListParagraph"/>
              <w:numPr>
                <w:ilvl w:val="0"/>
                <w:numId w:val="8"/>
              </w:numPr>
              <w:rPr>
                <w:sz w:val="20"/>
                <w:szCs w:val="20"/>
              </w:rPr>
            </w:pPr>
            <w:r>
              <w:rPr>
                <w:i/>
                <w:sz w:val="20"/>
                <w:szCs w:val="20"/>
              </w:rPr>
              <w:t>Explain simple techniques for responding to individual student misbehavior</w:t>
            </w:r>
          </w:p>
          <w:p w14:paraId="0DA3D645" w14:textId="77777777" w:rsidR="003B17B1" w:rsidRPr="00B37A33" w:rsidRDefault="003B17B1" w:rsidP="003B17B1">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615FDA00" w14:textId="77777777" w:rsidR="003B17B1" w:rsidRPr="00B37A33" w:rsidRDefault="003B17B1" w:rsidP="003B17B1">
            <w:pPr>
              <w:pStyle w:val="ListParagraph"/>
              <w:numPr>
                <w:ilvl w:val="0"/>
                <w:numId w:val="8"/>
              </w:numPr>
              <w:rPr>
                <w:sz w:val="20"/>
                <w:szCs w:val="20"/>
              </w:rPr>
            </w:pPr>
            <w:r>
              <w:rPr>
                <w:i/>
                <w:sz w:val="20"/>
                <w:szCs w:val="20"/>
              </w:rPr>
              <w:t>Outline systematic approaches for increasing positive behaviors and decreasing negative behaviors</w:t>
            </w:r>
          </w:p>
          <w:p w14:paraId="353B1009" w14:textId="77777777" w:rsidR="003B17B1" w:rsidRPr="00A732A7" w:rsidRDefault="003B17B1" w:rsidP="003B17B1">
            <w:pPr>
              <w:pStyle w:val="ListParagraph"/>
              <w:numPr>
                <w:ilvl w:val="0"/>
                <w:numId w:val="8"/>
              </w:numPr>
              <w:rPr>
                <w:sz w:val="20"/>
                <w:szCs w:val="20"/>
              </w:rPr>
            </w:pPr>
            <w:r>
              <w:rPr>
                <w:i/>
                <w:sz w:val="20"/>
                <w:szCs w:val="20"/>
              </w:rPr>
              <w:t>Identify how to help students manage their own behavior</w:t>
            </w:r>
          </w:p>
          <w:p w14:paraId="3E18B628" w14:textId="77777777" w:rsidR="00BA4747" w:rsidRPr="003B17B1" w:rsidRDefault="00BA4747" w:rsidP="003B17B1">
            <w:pPr>
              <w:rPr>
                <w:sz w:val="20"/>
                <w:szCs w:val="20"/>
              </w:rPr>
            </w:pPr>
          </w:p>
        </w:tc>
        <w:tc>
          <w:tcPr>
            <w:tcW w:w="2250" w:type="dxa"/>
          </w:tcPr>
          <w:p w14:paraId="5510F1B9" w14:textId="2F6FA623" w:rsidR="00BA4747" w:rsidRPr="00FE434A" w:rsidRDefault="003B17B1" w:rsidP="00A732A7">
            <w:pPr>
              <w:rPr>
                <w:sz w:val="20"/>
                <w:szCs w:val="20"/>
              </w:rPr>
            </w:pPr>
            <w:r>
              <w:rPr>
                <w:sz w:val="20"/>
                <w:szCs w:val="20"/>
              </w:rPr>
              <w:t>Chapter 12 (all)</w:t>
            </w:r>
          </w:p>
        </w:tc>
        <w:tc>
          <w:tcPr>
            <w:tcW w:w="2160" w:type="dxa"/>
          </w:tcPr>
          <w:p w14:paraId="53E2BF79" w14:textId="4C680D20" w:rsidR="00BA4747" w:rsidRDefault="00825878" w:rsidP="00A732A7">
            <w:pPr>
              <w:rPr>
                <w:sz w:val="20"/>
                <w:szCs w:val="20"/>
              </w:rPr>
            </w:pPr>
            <w:r>
              <w:rPr>
                <w:sz w:val="20"/>
                <w:szCs w:val="20"/>
              </w:rPr>
              <w:t>Chapter 10 Quiz due by</w:t>
            </w:r>
          </w:p>
          <w:p w14:paraId="4ECC70BF" w14:textId="3BF70BBF" w:rsidR="00825878" w:rsidRDefault="00825878" w:rsidP="00A732A7">
            <w:pPr>
              <w:rPr>
                <w:sz w:val="20"/>
                <w:szCs w:val="20"/>
              </w:rPr>
            </w:pPr>
            <w:r>
              <w:rPr>
                <w:sz w:val="20"/>
                <w:szCs w:val="20"/>
              </w:rPr>
              <w:t>11/15</w:t>
            </w:r>
          </w:p>
          <w:p w14:paraId="53FBA6CE" w14:textId="77777777" w:rsidR="003B17B1" w:rsidRDefault="003B17B1" w:rsidP="00A732A7">
            <w:pPr>
              <w:rPr>
                <w:sz w:val="20"/>
                <w:szCs w:val="20"/>
              </w:rPr>
            </w:pPr>
          </w:p>
          <w:p w14:paraId="783B1A87" w14:textId="2EE3DD77" w:rsidR="003B17B1" w:rsidRDefault="00825878" w:rsidP="003B17B1">
            <w:pPr>
              <w:rPr>
                <w:sz w:val="20"/>
                <w:szCs w:val="20"/>
              </w:rPr>
            </w:pPr>
            <w:r>
              <w:rPr>
                <w:sz w:val="20"/>
                <w:szCs w:val="20"/>
              </w:rPr>
              <w:t>Chapter 11 Quiz due by</w:t>
            </w:r>
          </w:p>
          <w:p w14:paraId="76B3F4FF" w14:textId="2305331A" w:rsidR="00825878" w:rsidRDefault="00825878" w:rsidP="003B17B1">
            <w:pPr>
              <w:rPr>
                <w:sz w:val="20"/>
                <w:szCs w:val="20"/>
              </w:rPr>
            </w:pPr>
            <w:r>
              <w:rPr>
                <w:sz w:val="20"/>
                <w:szCs w:val="20"/>
              </w:rPr>
              <w:t>11/18</w:t>
            </w:r>
          </w:p>
          <w:p w14:paraId="6673C5B9" w14:textId="77777777" w:rsidR="003B17B1" w:rsidRDefault="003B17B1" w:rsidP="003B17B1">
            <w:pPr>
              <w:rPr>
                <w:sz w:val="20"/>
                <w:szCs w:val="20"/>
              </w:rPr>
            </w:pPr>
          </w:p>
          <w:p w14:paraId="6DD5D76E" w14:textId="77777777" w:rsidR="00825878" w:rsidRDefault="00825878" w:rsidP="00A732A7">
            <w:pPr>
              <w:rPr>
                <w:sz w:val="20"/>
                <w:szCs w:val="20"/>
              </w:rPr>
            </w:pPr>
            <w:r>
              <w:rPr>
                <w:sz w:val="20"/>
                <w:szCs w:val="20"/>
              </w:rPr>
              <w:t>Chapter 12 Quiz due by</w:t>
            </w:r>
          </w:p>
          <w:p w14:paraId="2EB98261" w14:textId="486C5F91" w:rsidR="003B17B1" w:rsidRPr="00FE434A" w:rsidRDefault="00825878" w:rsidP="00A732A7">
            <w:pPr>
              <w:rPr>
                <w:sz w:val="20"/>
                <w:szCs w:val="20"/>
              </w:rPr>
            </w:pPr>
            <w:r>
              <w:rPr>
                <w:sz w:val="20"/>
                <w:szCs w:val="20"/>
              </w:rPr>
              <w:t>11/22</w:t>
            </w:r>
            <w:r>
              <w:rPr>
                <w:sz w:val="20"/>
                <w:szCs w:val="20"/>
                <w:highlight w:val="yellow"/>
              </w:rPr>
              <w:t xml:space="preserve"> </w:t>
            </w:r>
          </w:p>
        </w:tc>
      </w:tr>
      <w:tr w:rsidR="00BA4747" w:rsidRPr="00FE434A" w14:paraId="5152F800" w14:textId="77777777" w:rsidTr="003B17B1">
        <w:tc>
          <w:tcPr>
            <w:tcW w:w="985" w:type="dxa"/>
          </w:tcPr>
          <w:p w14:paraId="2756557F" w14:textId="77777777" w:rsidR="00BA4747" w:rsidRDefault="00BA4747" w:rsidP="00A732A7">
            <w:pPr>
              <w:rPr>
                <w:sz w:val="20"/>
                <w:szCs w:val="20"/>
              </w:rPr>
            </w:pPr>
            <w:r>
              <w:rPr>
                <w:sz w:val="20"/>
                <w:szCs w:val="20"/>
              </w:rPr>
              <w:t>Week 14</w:t>
            </w:r>
          </w:p>
          <w:p w14:paraId="37755382" w14:textId="77777777" w:rsidR="00422FDD" w:rsidRDefault="00422FDD" w:rsidP="00A732A7">
            <w:pPr>
              <w:rPr>
                <w:sz w:val="20"/>
                <w:szCs w:val="20"/>
              </w:rPr>
            </w:pPr>
          </w:p>
          <w:p w14:paraId="37563CDC" w14:textId="6BD900E8" w:rsidR="00422FDD" w:rsidRDefault="00422FDD" w:rsidP="00A732A7">
            <w:pPr>
              <w:rPr>
                <w:sz w:val="20"/>
                <w:szCs w:val="20"/>
              </w:rPr>
            </w:pPr>
            <w:r>
              <w:rPr>
                <w:sz w:val="20"/>
                <w:szCs w:val="20"/>
              </w:rPr>
              <w:t>12/2</w:t>
            </w:r>
          </w:p>
        </w:tc>
        <w:tc>
          <w:tcPr>
            <w:tcW w:w="5130" w:type="dxa"/>
          </w:tcPr>
          <w:p w14:paraId="1EBDAF90" w14:textId="77777777" w:rsidR="003B17B1" w:rsidRDefault="003B17B1" w:rsidP="003B17B1">
            <w:pPr>
              <w:rPr>
                <w:sz w:val="20"/>
                <w:szCs w:val="20"/>
              </w:rPr>
            </w:pPr>
            <w:r>
              <w:rPr>
                <w:sz w:val="20"/>
                <w:szCs w:val="20"/>
              </w:rPr>
              <w:t>Exam 3</w:t>
            </w:r>
          </w:p>
          <w:p w14:paraId="026986E9" w14:textId="6E04F1A4" w:rsidR="00BA4747" w:rsidRPr="003B17B1" w:rsidRDefault="003B17B1" w:rsidP="003B17B1">
            <w:pPr>
              <w:rPr>
                <w:sz w:val="20"/>
                <w:szCs w:val="20"/>
              </w:rPr>
            </w:pPr>
            <w:r>
              <w:rPr>
                <w:sz w:val="20"/>
                <w:szCs w:val="20"/>
              </w:rPr>
              <w:t>(Chapters 9-12)</w:t>
            </w:r>
          </w:p>
        </w:tc>
        <w:tc>
          <w:tcPr>
            <w:tcW w:w="2250" w:type="dxa"/>
          </w:tcPr>
          <w:p w14:paraId="25695AF5" w14:textId="7BBD7CF4" w:rsidR="00BA4747" w:rsidRPr="00FE434A" w:rsidRDefault="00BA4747" w:rsidP="00A732A7">
            <w:pPr>
              <w:rPr>
                <w:sz w:val="20"/>
                <w:szCs w:val="20"/>
              </w:rPr>
            </w:pPr>
          </w:p>
        </w:tc>
        <w:tc>
          <w:tcPr>
            <w:tcW w:w="2160" w:type="dxa"/>
          </w:tcPr>
          <w:p w14:paraId="51E1FE90" w14:textId="55119DA8" w:rsidR="00BA4747" w:rsidRDefault="00825878" w:rsidP="00A732A7">
            <w:pPr>
              <w:rPr>
                <w:sz w:val="20"/>
                <w:szCs w:val="20"/>
              </w:rPr>
            </w:pPr>
            <w:r>
              <w:rPr>
                <w:sz w:val="20"/>
                <w:szCs w:val="20"/>
              </w:rPr>
              <w:t>Due: 12/2</w:t>
            </w:r>
          </w:p>
          <w:p w14:paraId="636C1F6D" w14:textId="48EA2CA9" w:rsidR="00BA4747" w:rsidRPr="00FE434A" w:rsidRDefault="00BA4747" w:rsidP="00A732A7">
            <w:pPr>
              <w:rPr>
                <w:sz w:val="20"/>
                <w:szCs w:val="20"/>
              </w:rPr>
            </w:pPr>
          </w:p>
        </w:tc>
      </w:tr>
    </w:tbl>
    <w:p w14:paraId="57FFFB9A" w14:textId="12642BC6" w:rsidR="00A732A7" w:rsidRDefault="00A732A7" w:rsidP="00265888">
      <w:pPr>
        <w:jc w:val="center"/>
      </w:pPr>
    </w:p>
    <w:p w14:paraId="72B74B19"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7CC8F3A4" w14:textId="65B471C2"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882ABE">
        <w:rPr>
          <w:rFonts w:cs="Tahoma"/>
        </w:rPr>
        <w:t xml:space="preserve">on-campus </w:t>
      </w:r>
      <w:r>
        <w:rPr>
          <w:rFonts w:cs="Tahoma"/>
        </w:rPr>
        <w:t>learning activities.</w:t>
      </w:r>
      <w:r w:rsidRPr="0088514C">
        <w:rPr>
          <w:rFonts w:cs="Tahoma"/>
          <w:b/>
        </w:rPr>
        <w:t>(see Attendance Policy</w:t>
      </w:r>
      <w:r>
        <w:rPr>
          <w:rFonts w:cs="Tahoma"/>
          <w:b/>
        </w:rPr>
        <w:t xml:space="preserve"> and </w:t>
      </w:r>
      <w:hyperlink r:id="rId7" w:history="1">
        <w:r w:rsidRPr="00893662">
          <w:rPr>
            <w:rFonts w:cs="Calibri"/>
            <w:b/>
            <w:szCs w:val="30"/>
          </w:rPr>
          <w:t>Student Policy eHandbook</w:t>
        </w:r>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lastRenderedPageBreak/>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4A90D98" w14:textId="77777777" w:rsidR="001D1883" w:rsidRPr="003A0544" w:rsidRDefault="001D1883" w:rsidP="001D1883">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14:paraId="447B655F" w14:textId="77777777" w:rsidR="001D1883" w:rsidRDefault="001D1883" w:rsidP="001D18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4CECCF98" w14:textId="77777777"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3E62EF85"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w:t>
      </w:r>
      <w:r w:rsidR="00825878">
        <w:rPr>
          <w:color w:val="333333"/>
          <w:shd w:val="clear" w:color="auto" w:fill="FFFFFF"/>
        </w:rPr>
        <w:t xml:space="preserve">mat of the make-up exam will be in the form on an essay using APA conventions. </w:t>
      </w:r>
    </w:p>
    <w:p w14:paraId="4483E6AA" w14:textId="77777777" w:rsidR="001D1883" w:rsidRPr="00AF6D18" w:rsidRDefault="001D1883" w:rsidP="00825878"/>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lastRenderedPageBreak/>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(2)(b)2.(i)</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4C967" w14:textId="77777777" w:rsidR="004C4317" w:rsidRDefault="004C4317" w:rsidP="001D1883">
      <w:r>
        <w:separator/>
      </w:r>
    </w:p>
  </w:endnote>
  <w:endnote w:type="continuationSeparator" w:id="0">
    <w:p w14:paraId="1B897891" w14:textId="77777777" w:rsidR="004C4317" w:rsidRDefault="004C4317"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B1557" w14:textId="16E9812F"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38725D">
      <w:rPr>
        <w:noProof/>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38725D">
      <w:rPr>
        <w:noProof/>
        <w:sz w:val="20"/>
        <w:szCs w:val="20"/>
      </w:rPr>
      <w:t>9</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C326E" w14:textId="77777777" w:rsidR="004C4317" w:rsidRDefault="004C4317" w:rsidP="001D1883">
      <w:r>
        <w:separator/>
      </w:r>
    </w:p>
  </w:footnote>
  <w:footnote w:type="continuationSeparator" w:id="0">
    <w:p w14:paraId="75F0FBD4" w14:textId="77777777" w:rsidR="004C4317" w:rsidRDefault="004C4317"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8036FE74"/>
    <w:lvl w:ilvl="0" w:tplc="3A3C8BAE">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11"/>
  </w:num>
  <w:num w:numId="5">
    <w:abstractNumId w:val="8"/>
  </w:num>
  <w:num w:numId="6">
    <w:abstractNumId w:val="10"/>
  </w:num>
  <w:num w:numId="7">
    <w:abstractNumId w:val="1"/>
  </w:num>
  <w:num w:numId="8">
    <w:abstractNumId w:val="12"/>
  </w:num>
  <w:num w:numId="9">
    <w:abstractNumId w:val="2"/>
  </w:num>
  <w:num w:numId="10">
    <w:abstractNumId w:val="0"/>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4A"/>
    <w:rsid w:val="0003429D"/>
    <w:rsid w:val="00047F83"/>
    <w:rsid w:val="000832FC"/>
    <w:rsid w:val="00102456"/>
    <w:rsid w:val="00182FF8"/>
    <w:rsid w:val="001D1883"/>
    <w:rsid w:val="00213A2D"/>
    <w:rsid w:val="0025155F"/>
    <w:rsid w:val="00265888"/>
    <w:rsid w:val="002D424B"/>
    <w:rsid w:val="00310F2B"/>
    <w:rsid w:val="00344444"/>
    <w:rsid w:val="00370D2D"/>
    <w:rsid w:val="0038725D"/>
    <w:rsid w:val="003B17B1"/>
    <w:rsid w:val="00422FDD"/>
    <w:rsid w:val="004C4317"/>
    <w:rsid w:val="00554E45"/>
    <w:rsid w:val="00605615"/>
    <w:rsid w:val="00695FC0"/>
    <w:rsid w:val="006D16BB"/>
    <w:rsid w:val="006E1F78"/>
    <w:rsid w:val="00777A83"/>
    <w:rsid w:val="007B6391"/>
    <w:rsid w:val="00825878"/>
    <w:rsid w:val="0083438D"/>
    <w:rsid w:val="00882ABE"/>
    <w:rsid w:val="009735BA"/>
    <w:rsid w:val="009B0926"/>
    <w:rsid w:val="00A20874"/>
    <w:rsid w:val="00A20D93"/>
    <w:rsid w:val="00A319AC"/>
    <w:rsid w:val="00A732A7"/>
    <w:rsid w:val="00AF1E68"/>
    <w:rsid w:val="00B0606F"/>
    <w:rsid w:val="00B07E49"/>
    <w:rsid w:val="00B261CC"/>
    <w:rsid w:val="00B37A33"/>
    <w:rsid w:val="00B74683"/>
    <w:rsid w:val="00BA4747"/>
    <w:rsid w:val="00C87073"/>
    <w:rsid w:val="00CA5E40"/>
    <w:rsid w:val="00CB2FD8"/>
    <w:rsid w:val="00D82F2D"/>
    <w:rsid w:val="00DB24A2"/>
    <w:rsid w:val="00DC1C01"/>
    <w:rsid w:val="00DD1948"/>
    <w:rsid w:val="00DD7F96"/>
    <w:rsid w:val="00EE12AF"/>
    <w:rsid w:val="00FD5243"/>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3503</Words>
  <Characters>19970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Taylor Jalia</cp:lastModifiedBy>
  <cp:revision>2</cp:revision>
  <dcterms:created xsi:type="dcterms:W3CDTF">2019-08-18T15:03:00Z</dcterms:created>
  <dcterms:modified xsi:type="dcterms:W3CDTF">2019-08-18T15:03:00Z</dcterms:modified>
</cp:coreProperties>
</file>