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7A25B7EB"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20</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3230FD5D"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2E7108">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7C5E6DCD"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2E7108">
        <w:rPr>
          <w:rFonts w:cs="Times New Roman"/>
          <w:w w:val="105"/>
          <w:sz w:val="24"/>
          <w:szCs w:val="24"/>
        </w:rPr>
        <w:t>Thursdays 1-3:50pm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3554063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2E7108">
        <w:rPr>
          <w:rFonts w:cs="Times New Roman"/>
          <w:w w:val="105"/>
          <w:sz w:val="24"/>
          <w:szCs w:val="24"/>
        </w:rPr>
        <w:t>LRC 3472</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6041D492"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Retrieved from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33EC9587" w14:textId="77777777" w:rsidR="00AE4BB1" w:rsidRDefault="00AE4BB1" w:rsidP="00AE4BB1">
      <w:pPr>
        <w:pStyle w:val="BodyText"/>
        <w:spacing w:before="56" w:line="264" w:lineRule="auto"/>
        <w:ind w:left="0" w:right="264" w:firstLine="0"/>
        <w:rPr>
          <w:rFonts w:cs="Times New Roman"/>
          <w:w w:val="105"/>
          <w:sz w:val="24"/>
          <w:szCs w:val="24"/>
        </w:rPr>
      </w:pPr>
    </w:p>
    <w:p w14:paraId="6DCDFE72" w14:textId="381C621C" w:rsidR="00230AA1" w:rsidRPr="00FC58D5" w:rsidRDefault="00FC58D5" w:rsidP="00AE4BB1">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FD7CD9">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77777777"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3FA9652D" w14:textId="77777777" w:rsidR="00230AA1" w:rsidRPr="009878CD" w:rsidRDefault="00230AA1" w:rsidP="009878CD">
      <w:pPr>
        <w:spacing w:before="9" w:line="264" w:lineRule="auto"/>
        <w:rPr>
          <w:rFonts w:ascii="Times New Roman" w:eastAsia="Times New Roman" w:hAnsi="Times New Roman" w:cs="Times New Roman"/>
          <w:sz w:val="24"/>
          <w:szCs w:val="24"/>
        </w:rPr>
      </w:pPr>
    </w:p>
    <w:p w14:paraId="609B57F2" w14:textId="77777777"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History and philosophy of the counseling profession and its specialty areas (CACREP II.1.a)</w:t>
      </w:r>
    </w:p>
    <w:p w14:paraId="4289CEA2" w14:textId="77777777" w:rsidR="00230AA1" w:rsidRPr="009878CD" w:rsidRDefault="00230AA1"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The multiple professional roles and functions of counselors across specialty areas, </w:t>
      </w:r>
      <w:r w:rsidRPr="009878CD">
        <w:rPr>
          <w:rFonts w:ascii="Times New Roman" w:hAnsi="Times New Roman" w:cs="Times New Roman"/>
          <w:w w:val="105"/>
          <w:sz w:val="24"/>
          <w:szCs w:val="24"/>
        </w:rPr>
        <w:lastRenderedPageBreak/>
        <w:t>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9878CD">
      <w:pPr>
        <w:pStyle w:val="ListParagraph"/>
        <w:numPr>
          <w:ilvl w:val="0"/>
          <w:numId w:val="11"/>
        </w:numPr>
        <w:tabs>
          <w:tab w:val="left" w:pos="1183"/>
        </w:tabs>
        <w:spacing w:before="4"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 and current issues (CACREP II.1.f)</w:t>
      </w:r>
    </w:p>
    <w:p w14:paraId="51531A94" w14:textId="77777777" w:rsidR="00230AA1" w:rsidRPr="009878CD" w:rsidRDefault="00230AA1" w:rsidP="009878CD">
      <w:pPr>
        <w:pStyle w:val="ListParagraph"/>
        <w:numPr>
          <w:ilvl w:val="0"/>
          <w:numId w:val="11"/>
        </w:numPr>
        <w:tabs>
          <w:tab w:val="left" w:pos="1183"/>
        </w:tabs>
        <w:spacing w:before="1"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9878CD">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9878CD">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9878CD">
      <w:pPr>
        <w:pStyle w:val="ListParagraph"/>
        <w:numPr>
          <w:ilvl w:val="0"/>
          <w:numId w:val="11"/>
        </w:numPr>
        <w:tabs>
          <w:tab w:val="left" w:pos="1183"/>
        </w:tabs>
        <w:spacing w:before="6"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77777777" w:rsidR="00FF32F0" w:rsidRPr="003B6A9C" w:rsidRDefault="00FF32F0" w:rsidP="009878CD">
            <w:pPr>
              <w:spacing w:line="264" w:lineRule="auto"/>
              <w:rPr>
                <w:rFonts w:ascii="Times New Roman" w:hAnsi="Times New Roman" w:cs="Times New Roman"/>
                <w:color w:val="000000" w:themeColor="text1"/>
                <w:w w:val="105"/>
                <w:sz w:val="24"/>
                <w:szCs w:val="24"/>
              </w:rPr>
            </w:pP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6AEEFC0D"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01CA9D6D"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E42CC1">
              <w:rPr>
                <w:rFonts w:ascii="Times New Roman" w:hAnsi="Times New Roman" w:cs="Times New Roman"/>
                <w:color w:val="000000" w:themeColor="text1"/>
                <w:w w:val="105"/>
                <w:sz w:val="24"/>
                <w:szCs w:val="24"/>
              </w:rPr>
              <w:t>11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230AA1" w:rsidRPr="009878CD" w14:paraId="6AE868C5" w14:textId="77777777" w:rsidTr="00E8778C">
        <w:trPr>
          <w:trHeight w:val="341"/>
        </w:trPr>
        <w:tc>
          <w:tcPr>
            <w:tcW w:w="4495" w:type="dxa"/>
          </w:tcPr>
          <w:p w14:paraId="118F25B5" w14:textId="23665ADA"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w:t>
            </w:r>
            <w:r w:rsidR="008679E3">
              <w:rPr>
                <w:rFonts w:ascii="Times New Roman" w:eastAsia="Times New Roman" w:hAnsi="Times New Roman" w:cs="Times New Roman"/>
                <w:bCs/>
                <w:sz w:val="24"/>
                <w:szCs w:val="24"/>
              </w:rPr>
              <w:t>Imposing Values and Diversity</w:t>
            </w:r>
          </w:p>
        </w:tc>
        <w:tc>
          <w:tcPr>
            <w:tcW w:w="1260" w:type="dxa"/>
          </w:tcPr>
          <w:p w14:paraId="3BA64A26" w14:textId="610495F7" w:rsidR="005D345E" w:rsidRPr="00E86C49" w:rsidRDefault="00E42CC1"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1EBEA0A9"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10/1</w:t>
            </w:r>
            <w:r w:rsidR="00E42CC1" w:rsidRPr="00E86C49">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5CB98A2A"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10/2</w:t>
            </w:r>
            <w:r w:rsidR="00E42CC1" w:rsidRPr="00E86C49">
              <w:rPr>
                <w:rFonts w:ascii="Times New Roman" w:hAnsi="Times New Roman" w:cs="Times New Roman"/>
                <w:sz w:val="24"/>
                <w:szCs w:val="24"/>
              </w:rPr>
              <w:t>3</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33F5FC0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627F2981" w:rsidR="005D345E" w:rsidRPr="00E86C49" w:rsidRDefault="00E8778C" w:rsidP="00E8778C">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w:t>
            </w:r>
            <w:r w:rsidR="00D43439">
              <w:rPr>
                <w:rFonts w:ascii="Times New Roman" w:hAnsi="Times New Roman" w:cs="Times New Roman"/>
                <w:w w:val="105"/>
                <w:sz w:val="24"/>
                <w:szCs w:val="24"/>
              </w:rPr>
              <w:t>1/6</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3CDD30B3"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lastRenderedPageBreak/>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4E9389DF"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D43439">
              <w:rPr>
                <w:rFonts w:ascii="Times New Roman" w:hAnsi="Times New Roman" w:cs="Times New Roman"/>
                <w:sz w:val="24"/>
                <w:szCs w:val="24"/>
              </w:rPr>
              <w:t>13</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25D278E1"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11/2</w:t>
            </w:r>
            <w:r w:rsidR="00D43439">
              <w:rPr>
                <w:rFonts w:ascii="Times New Roman" w:hAnsi="Times New Roman" w:cs="Times New Roman"/>
                <w:sz w:val="24"/>
                <w:szCs w:val="24"/>
              </w:rPr>
              <w:t>7</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7777777"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8E7DC68" w:rsidR="00230AA1" w:rsidRPr="00E86C49" w:rsidRDefault="00230AA1" w:rsidP="009878CD">
            <w:pPr>
              <w:spacing w:line="264" w:lineRule="auto"/>
              <w:rPr>
                <w:rFonts w:ascii="Times New Roman" w:hAnsi="Times New Roman" w:cs="Times New Roman"/>
                <w:sz w:val="24"/>
                <w:szCs w:val="24"/>
                <w:highlight w:val="yellow"/>
              </w:rPr>
            </w:pP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5B59D595" w:rsidR="00230AA1" w:rsidRPr="00E86C49" w:rsidRDefault="00D43439"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12/3</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77777777"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 xml:space="preserve"> 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08192859" w:rsidR="00AC74C8" w:rsidRDefault="00AC74C8" w:rsidP="00C63F86">
      <w:pPr>
        <w:pStyle w:val="BodyText"/>
        <w:ind w:left="0" w:firstLine="0"/>
        <w:rPr>
          <w:rFonts w:cs="Times New Roman"/>
          <w:bCs/>
          <w:w w:val="105"/>
          <w:sz w:val="24"/>
          <w:szCs w:val="24"/>
        </w:rPr>
      </w:pPr>
      <w:r w:rsidRPr="00AC74C8">
        <w:rPr>
          <w:rFonts w:cs="Times New Roman"/>
          <w:bCs/>
          <w:w w:val="105"/>
          <w:sz w:val="24"/>
          <w:szCs w:val="24"/>
        </w:rPr>
        <w:t xml:space="preserve">This </w:t>
      </w:r>
      <w:r w:rsidR="00960BC4">
        <w:rPr>
          <w:rFonts w:cs="Times New Roman"/>
          <w:bCs/>
          <w:w w:val="105"/>
          <w:sz w:val="24"/>
          <w:szCs w:val="24"/>
        </w:rPr>
        <w:t xml:space="preserve">course </w:t>
      </w:r>
      <w:r w:rsidRPr="00AC74C8">
        <w:rPr>
          <w:rFonts w:cs="Times New Roman"/>
          <w:bCs/>
          <w:w w:val="105"/>
          <w:sz w:val="24"/>
          <w:szCs w:val="24"/>
        </w:rPr>
        <w:t xml:space="preserve">will be </w:t>
      </w:r>
      <w:r w:rsidR="00960BC4">
        <w:rPr>
          <w:rFonts w:cs="Times New Roman"/>
          <w:bCs/>
          <w:w w:val="105"/>
          <w:sz w:val="24"/>
          <w:szCs w:val="24"/>
        </w:rPr>
        <w:t xml:space="preserve">delivered through </w:t>
      </w:r>
      <w:r w:rsidR="002E7108">
        <w:rPr>
          <w:rFonts w:cs="Times New Roman"/>
          <w:bCs/>
          <w:w w:val="105"/>
          <w:sz w:val="24"/>
          <w:szCs w:val="24"/>
        </w:rPr>
        <w:t xml:space="preserve">blended course format. Lecture recordings given each week’s topic will be delivered online asynchronously (1-1 ½ hours), then students will meet synchronously (via Zoom) for class activities (about one hour). As situation allows, for the final few classes students will give presentations in person. Only the presenting groups will attend class and the presentation will be viewed via Zoom by other students. </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01C4634" w:rsidR="005F2466" w:rsidRPr="005F2466" w:rsidRDefault="00C63F86" w:rsidP="005F2466">
      <w:pPr>
        <w:pStyle w:val="BodyText"/>
        <w:ind w:left="0" w:firstLine="0"/>
        <w:rPr>
          <w:rFonts w:cs="Times New Roman"/>
          <w:bCs/>
          <w:w w:val="105"/>
          <w:sz w:val="24"/>
          <w:szCs w:val="24"/>
        </w:rPr>
      </w:pPr>
      <w:r>
        <w:rPr>
          <w:rFonts w:cs="Times New Roman"/>
          <w:bCs/>
          <w:w w:val="105"/>
          <w:sz w:val="24"/>
          <w:szCs w:val="24"/>
        </w:rPr>
        <w:t xml:space="preserve">Students are responsible for watching recorded lectures and studying all required learning materials on their own, as well as participating in weekly Zoom meetings for class activities. </w:t>
      </w:r>
      <w:r w:rsidR="005F2466" w:rsidRPr="005F2466">
        <w:rPr>
          <w:rFonts w:cs="Times New Roman"/>
          <w:bCs/>
          <w:w w:val="105"/>
          <w:sz w:val="24"/>
          <w:szCs w:val="24"/>
        </w:rPr>
        <w:t xml:space="preserve">All of the class </w:t>
      </w:r>
      <w:r>
        <w:rPr>
          <w:rFonts w:cs="Times New Roman"/>
          <w:bCs/>
          <w:w w:val="105"/>
          <w:sz w:val="24"/>
          <w:szCs w:val="24"/>
        </w:rPr>
        <w:t xml:space="preserve">materials will be provided on Canvas, so students are </w:t>
      </w:r>
      <w:r w:rsidR="005F2466" w:rsidRPr="005F2466">
        <w:rPr>
          <w:rFonts w:cs="Times New Roman"/>
          <w:bCs/>
          <w:w w:val="105"/>
          <w:sz w:val="24"/>
          <w:szCs w:val="24"/>
        </w:rPr>
        <w:t>expected to log into the course on a regular basis and keep up with assignments and the other students in the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If you have any problems logging into the course, be sure to contact OIT and alert me by regular email</w:t>
      </w:r>
      <w:r w:rsidR="00E86C49">
        <w:rPr>
          <w:rFonts w:cs="Times New Roman"/>
          <w:bCs/>
          <w:w w:val="105"/>
          <w:sz w:val="24"/>
          <w:szCs w:val="24"/>
        </w:rPr>
        <w:t>.</w:t>
      </w:r>
    </w:p>
    <w:p w14:paraId="24596D26" w14:textId="5DCDECFA" w:rsidR="00AC74C8" w:rsidRPr="003B6A9C" w:rsidRDefault="00AC74C8" w:rsidP="00AC74C8">
      <w:pPr>
        <w:pStyle w:val="BodyText"/>
        <w:ind w:left="0" w:firstLine="0"/>
        <w:rPr>
          <w:rFonts w:cs="Times New Roman"/>
          <w:bCs/>
          <w:w w:val="105"/>
          <w:sz w:val="24"/>
          <w:szCs w:val="24"/>
        </w:rPr>
        <w:sectPr w:rsidR="00AC74C8" w:rsidRPr="003B6A9C" w:rsidSect="00E945F4">
          <w:headerReference w:type="default" r:id="rId10"/>
          <w:pgSz w:w="12240" w:h="15840"/>
          <w:pgMar w:top="1440" w:right="1440" w:bottom="1440" w:left="1440" w:header="720" w:footer="720" w:gutter="0"/>
          <w:cols w:space="720"/>
          <w:docGrid w:linePitch="299"/>
        </w:sect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lastRenderedPageBreak/>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3ABF361F" w:rsidR="00680B11" w:rsidRDefault="00680B11" w:rsidP="00680B11">
      <w:pPr>
        <w:pStyle w:val="BodyText"/>
        <w:tabs>
          <w:tab w:val="left" w:pos="2277"/>
        </w:tabs>
        <w:spacing w:before="32" w:line="264" w:lineRule="auto"/>
        <w:ind w:left="720" w:right="183" w:firstLine="0"/>
        <w:rPr>
          <w:rFonts w:cs="Times New Roman"/>
          <w:sz w:val="24"/>
          <w:szCs w:val="24"/>
        </w:rPr>
      </w:pPr>
      <w:r>
        <w:rPr>
          <w:rFonts w:cs="Times New Roman"/>
          <w:sz w:val="24"/>
          <w:szCs w:val="24"/>
        </w:rPr>
        <w:t>Each week students will engage in group discussion based on the questions posted on Discussion Board in Canvas. Students are required to post their own thoughts/opinions and respond to at least one of your classmates blogs.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77ED1C48"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 Code of Ethics, Advocacy Competencies, Multicultural and Social Justice Counseling Competencies)</w:t>
      </w:r>
      <w:r w:rsidRPr="009878CD">
        <w:rPr>
          <w:rFonts w:cs="Times New Roman"/>
          <w:w w:val="105"/>
          <w:sz w:val="24"/>
          <w:szCs w:val="24"/>
        </w:rPr>
        <w:t xml:space="preserve"> that provides 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20 points, and students participation in each group’s discussion will be worth 5 points.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lastRenderedPageBreak/>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628B8C8E"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FD7CD9" w:rsidRPr="00FD7CD9">
        <w:rPr>
          <w:rFonts w:cs="Times New Roman"/>
          <w:sz w:val="24"/>
          <w:szCs w:val="24"/>
        </w:rPr>
        <w:t xml:space="preserve"> </w:t>
      </w:r>
      <w:r w:rsidR="00230AA1" w:rsidRPr="00FD7CD9">
        <w:rPr>
          <w:rFonts w:cs="Times New Roman"/>
          <w:sz w:val="24"/>
          <w:szCs w:val="24"/>
        </w:rPr>
        <w:t xml:space="preserve">Code of Ethics.  ACA Code of Ethics link: </w:t>
      </w:r>
    </w:p>
    <w:p w14:paraId="69A66C82" w14:textId="662738C9" w:rsidR="00FD7CD9" w:rsidRPr="009878CD" w:rsidRDefault="009D5C32" w:rsidP="00AE4BB1">
      <w:pPr>
        <w:pStyle w:val="BodyText"/>
        <w:spacing w:before="32" w:line="264" w:lineRule="auto"/>
        <w:ind w:left="1800" w:right="119" w:firstLine="0"/>
        <w:rPr>
          <w:rFonts w:cs="Times New Roman"/>
          <w:w w:val="105"/>
          <w:sz w:val="24"/>
          <w:szCs w:val="24"/>
        </w:rPr>
      </w:pPr>
      <w:hyperlink r:id="rId11"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461FE6A9" w14:textId="50EFBDB7"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AE4BB1">
        <w:rPr>
          <w:rFonts w:cs="Times New Roman"/>
          <w:sz w:val="24"/>
          <w:szCs w:val="24"/>
        </w:rPr>
        <w:t xml:space="preserve"> </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2C51A62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74EC867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C75A71">
              <w:rPr>
                <w:rFonts w:ascii="Times New Roman" w:eastAsia="Times New Roman" w:hAnsi="Times New Roman" w:cs="Times New Roman"/>
                <w:bCs/>
                <w:sz w:val="24"/>
                <w:szCs w:val="24"/>
              </w:rPr>
              <w:t>20</w:t>
            </w:r>
          </w:p>
        </w:tc>
        <w:tc>
          <w:tcPr>
            <w:tcW w:w="3677" w:type="dxa"/>
          </w:tcPr>
          <w:p w14:paraId="1C292B13" w14:textId="2F5AE79D"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and discussion board on Canvas </w:t>
            </w:r>
            <w:r w:rsidR="0034158F">
              <w:rPr>
                <w:rFonts w:ascii="Times New Roman" w:eastAsia="Times New Roman" w:hAnsi="Times New Roman" w:cs="Times New Roman"/>
                <w:bCs/>
                <w:sz w:val="24"/>
                <w:szCs w:val="24"/>
              </w:rPr>
              <w:t xml:space="preserve">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4929B26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C63F86">
              <w:rPr>
                <w:rFonts w:ascii="Times New Roman" w:eastAsia="Times New Roman" w:hAnsi="Times New Roman" w:cs="Times New Roman"/>
                <w:bCs/>
                <w:sz w:val="24"/>
                <w:szCs w:val="24"/>
              </w:rPr>
              <w:t>7</w:t>
            </w: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6EA2B858" w14:textId="0255BDC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Master’s Handbook </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501A7" w:rsidRPr="009878CD" w14:paraId="4D533459" w14:textId="77777777" w:rsidTr="0034158F">
        <w:tc>
          <w:tcPr>
            <w:tcW w:w="1306" w:type="dxa"/>
          </w:tcPr>
          <w:p w14:paraId="2C2C3CDC"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3:</w:t>
            </w:r>
          </w:p>
          <w:p w14:paraId="475F0B96" w14:textId="3900485E" w:rsidR="00D501A7" w:rsidRPr="009878CD" w:rsidRDefault="00C63F86"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w:t>
            </w: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CE924EA"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173A1B40"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231E8DFE"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6D7E650C" w14:textId="77777777" w:rsidTr="0034158F">
        <w:tc>
          <w:tcPr>
            <w:tcW w:w="1306" w:type="dxa"/>
          </w:tcPr>
          <w:p w14:paraId="480961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4:</w:t>
            </w:r>
          </w:p>
          <w:p w14:paraId="2ADD2C54" w14:textId="4C499B10"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C63F86">
              <w:rPr>
                <w:rFonts w:ascii="Times New Roman" w:eastAsia="Times New Roman" w:hAnsi="Times New Roman" w:cs="Times New Roman"/>
                <w:bCs/>
                <w:sz w:val="24"/>
                <w:szCs w:val="24"/>
              </w:rPr>
              <w:t>1</w:t>
            </w:r>
            <w:r w:rsidR="00D43439">
              <w:rPr>
                <w:rFonts w:ascii="Times New Roman" w:eastAsia="Times New Roman" w:hAnsi="Times New Roman" w:cs="Times New Roman"/>
                <w:bCs/>
                <w:sz w:val="24"/>
                <w:szCs w:val="24"/>
              </w:rPr>
              <w:t>0</w:t>
            </w: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77777777"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 &amp; Gladding, 2011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3F34C34B"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34158F">
        <w:tc>
          <w:tcPr>
            <w:tcW w:w="1306" w:type="dxa"/>
          </w:tcPr>
          <w:p w14:paraId="106896C8"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5: </w:t>
            </w:r>
          </w:p>
          <w:p w14:paraId="37C2EDEE" w14:textId="7E6C078D"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D43439">
              <w:rPr>
                <w:rFonts w:ascii="Times New Roman" w:eastAsia="Times New Roman" w:hAnsi="Times New Roman" w:cs="Times New Roman"/>
                <w:bCs/>
                <w:sz w:val="24"/>
                <w:szCs w:val="24"/>
              </w:rPr>
              <w:t>7</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0AED42BB"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649CA9C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w:t>
            </w:r>
          </w:p>
        </w:tc>
      </w:tr>
      <w:tr w:rsidR="0034158F" w:rsidRPr="009878CD" w14:paraId="205055CF" w14:textId="77777777" w:rsidTr="0034158F">
        <w:tc>
          <w:tcPr>
            <w:tcW w:w="1306" w:type="dxa"/>
          </w:tcPr>
          <w:p w14:paraId="6C4227A4" w14:textId="17E2FB3A"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6: 9/2</w:t>
            </w:r>
            <w:r w:rsidR="00D43439">
              <w:rPr>
                <w:rFonts w:ascii="Times New Roman" w:eastAsia="Times New Roman" w:hAnsi="Times New Roman" w:cs="Times New Roman"/>
                <w:bCs/>
                <w:sz w:val="24"/>
                <w:szCs w:val="24"/>
              </w:rPr>
              <w:t>4</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3A7D89E3" w14:textId="77777777" w:rsidR="00F75714"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p w14:paraId="40F7BE1B" w14:textId="1DF6F5C4" w:rsidR="0034158F" w:rsidRPr="00E86C49" w:rsidRDefault="0034158F" w:rsidP="00F84800">
            <w:pPr>
              <w:widowControl/>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  </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3EC2BA2B" w14:textId="74B5625C"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ACA Code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C8D953A" w14:textId="430D4110" w:rsidR="001C1CD8" w:rsidRPr="009878CD" w:rsidRDefault="00D43439"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3DF4E11D" w14:textId="7F76CC61" w:rsidR="0034158F" w:rsidRPr="00E86C49"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0CFA6AE5" w14:textId="6D8B4C3E"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ACA Code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4158F">
        <w:trPr>
          <w:trHeight w:val="2753"/>
        </w:trPr>
        <w:tc>
          <w:tcPr>
            <w:tcW w:w="1306" w:type="dxa"/>
          </w:tcPr>
          <w:p w14:paraId="19644976"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8: </w:t>
            </w:r>
          </w:p>
          <w:p w14:paraId="26DBEE56" w14:textId="7658B68B"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43439">
              <w:rPr>
                <w:rFonts w:ascii="Times New Roman" w:eastAsia="Times New Roman" w:hAnsi="Times New Roman" w:cs="Times New Roman"/>
                <w:bCs/>
                <w:sz w:val="24"/>
                <w:szCs w:val="24"/>
              </w:rPr>
              <w:t>8</w:t>
            </w: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61BD5302" w14:textId="77777777" w:rsidR="001C1CD8" w:rsidRPr="00E86C49"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p w14:paraId="5E531329" w14:textId="6939995C" w:rsidR="001C1CD8" w:rsidRPr="00E86C49"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Competence, Assessment, &amp; Diagnosis  </w:t>
            </w:r>
          </w:p>
        </w:tc>
        <w:tc>
          <w:tcPr>
            <w:tcW w:w="2270" w:type="dxa"/>
          </w:tcPr>
          <w:p w14:paraId="75DC5023" w14:textId="2ED79A4A"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764D73" w:rsidRPr="00E86C49">
              <w:rPr>
                <w:rFonts w:ascii="Times New Roman" w:eastAsia="Times New Roman" w:hAnsi="Times New Roman" w:cs="Times New Roman"/>
                <w:bCs/>
                <w:sz w:val="24"/>
                <w:szCs w:val="24"/>
              </w:rPr>
              <w:t xml:space="preserve"> </w:t>
            </w:r>
            <w:r w:rsidRPr="00E86C49">
              <w:rPr>
                <w:rFonts w:ascii="Times New Roman" w:eastAsia="Times New Roman" w:hAnsi="Times New Roman" w:cs="Times New Roman"/>
                <w:bCs/>
                <w:sz w:val="24"/>
                <w:szCs w:val="24"/>
              </w:rPr>
              <w:t>7</w:t>
            </w:r>
            <w:r w:rsidR="00764D73" w:rsidRPr="00E86C49">
              <w:rPr>
                <w:rFonts w:ascii="Times New Roman" w:eastAsia="Times New Roman" w:hAnsi="Times New Roman" w:cs="Times New Roman"/>
                <w:bCs/>
                <w:sz w:val="24"/>
                <w:szCs w:val="24"/>
              </w:rPr>
              <w:t>, &amp; 9</w:t>
            </w:r>
          </w:p>
          <w:p w14:paraId="3412F565" w14:textId="13F8EB3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ACA Code of Ethics </w:t>
            </w: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9741668" w14:textId="7C0F4A9C"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1</w:t>
            </w:r>
            <w:r w:rsidR="00D43439">
              <w:rPr>
                <w:rFonts w:ascii="Times New Roman" w:eastAsia="Times New Roman" w:hAnsi="Times New Roman" w:cs="Times New Roman"/>
                <w:bCs/>
                <w:sz w:val="24"/>
                <w:szCs w:val="24"/>
              </w:rPr>
              <w:t>5</w:t>
            </w:r>
          </w:p>
        </w:tc>
        <w:tc>
          <w:tcPr>
            <w:tcW w:w="3677"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Astramovich</w:t>
            </w:r>
            <w:proofErr w:type="spellEnd"/>
            <w:r w:rsidRPr="009878CD">
              <w:rPr>
                <w:rFonts w:ascii="Times New Roman" w:eastAsia="Times New Roman" w:hAnsi="Times New Roman" w:cs="Times New Roman"/>
                <w:bCs/>
                <w:sz w:val="24"/>
                <w:szCs w:val="24"/>
              </w:rPr>
              <w:t xml:space="preserve">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34158F">
        <w:tc>
          <w:tcPr>
            <w:tcW w:w="1306" w:type="dxa"/>
          </w:tcPr>
          <w:p w14:paraId="7A689F02"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1AA90E22" w14:textId="0258EDCC"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43439">
              <w:rPr>
                <w:rFonts w:ascii="Times New Roman" w:eastAsia="Times New Roman" w:hAnsi="Times New Roman" w:cs="Times New Roman"/>
                <w:bCs/>
                <w:sz w:val="24"/>
                <w:szCs w:val="24"/>
              </w:rPr>
              <w:t>22</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65E2B839"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34158F">
        <w:tc>
          <w:tcPr>
            <w:tcW w:w="1306" w:type="dxa"/>
          </w:tcPr>
          <w:p w14:paraId="58356046"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11: </w:t>
            </w:r>
          </w:p>
          <w:p w14:paraId="46BE668C" w14:textId="38694513"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D43439">
              <w:rPr>
                <w:rFonts w:ascii="Times New Roman" w:eastAsia="Times New Roman" w:hAnsi="Times New Roman" w:cs="Times New Roman"/>
                <w:bCs/>
                <w:sz w:val="24"/>
                <w:szCs w:val="24"/>
              </w:rPr>
              <w:t>9</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lastRenderedPageBreak/>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6BC5E9E" w14:textId="489C4CE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22153EC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2416E536"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1D641EF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42" w:type="dxa"/>
          </w:tcPr>
          <w:p w14:paraId="5B3EBBA9" w14:textId="646EFA68"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34158F" w:rsidRPr="009878CD" w14:paraId="54660257" w14:textId="77777777" w:rsidTr="00CC7D75">
        <w:trPr>
          <w:trHeight w:val="1889"/>
        </w:trPr>
        <w:tc>
          <w:tcPr>
            <w:tcW w:w="1306" w:type="dxa"/>
          </w:tcPr>
          <w:p w14:paraId="7719D519" w14:textId="2FEE52A9"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r w:rsidR="00AE0E3A">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110B7657" w:rsidR="0034158F" w:rsidRPr="009878CD" w:rsidRDefault="00AE0E3A"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42CC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D43439">
              <w:rPr>
                <w:rFonts w:ascii="Times New Roman" w:eastAsia="Times New Roman" w:hAnsi="Times New Roman" w:cs="Times New Roman"/>
                <w:bCs/>
                <w:sz w:val="24"/>
                <w:szCs w:val="24"/>
              </w:rPr>
              <w:t>5</w:t>
            </w:r>
          </w:p>
        </w:tc>
        <w:tc>
          <w:tcPr>
            <w:tcW w:w="3677"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21C42A03" w14:textId="6CCE8DBD" w:rsidR="0034158F" w:rsidRPr="00CC7D75" w:rsidRDefault="0034158F" w:rsidP="00CC7D75">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tc>
        <w:tc>
          <w:tcPr>
            <w:tcW w:w="2270" w:type="dxa"/>
          </w:tcPr>
          <w:p w14:paraId="7D8C8A21" w14:textId="2D6A362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w:t>
            </w:r>
            <w:r w:rsidR="00CC7D75">
              <w:rPr>
                <w:rFonts w:ascii="Times New Roman" w:eastAsia="Times New Roman" w:hAnsi="Times New Roman" w:cs="Times New Roman"/>
                <w:bCs/>
                <w:sz w:val="24"/>
                <w:szCs w:val="24"/>
              </w:rPr>
              <w:t>5</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127DFC96"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bookmarkStart w:id="0" w:name="_GoBack"/>
            <w:bookmarkEnd w:id="0"/>
            <w:r w:rsidRPr="009878CD">
              <w:rPr>
                <w:rFonts w:ascii="Times New Roman" w:eastAsia="Times New Roman" w:hAnsi="Times New Roman" w:cs="Times New Roman"/>
                <w:bCs/>
                <w:sz w:val="24"/>
                <w:szCs w:val="24"/>
              </w:rPr>
              <w:t xml:space="preserve"> Code of Ethics </w:t>
            </w: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42" w:type="dxa"/>
          </w:tcPr>
          <w:p w14:paraId="4B240D69" w14:textId="1089478B" w:rsidR="0034158F" w:rsidRPr="009878CD" w:rsidRDefault="00D43439" w:rsidP="00651E52">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p>
        </w:tc>
        <w:tc>
          <w:tcPr>
            <w:tcW w:w="1163"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34158F">
        <w:tc>
          <w:tcPr>
            <w:tcW w:w="1306" w:type="dxa"/>
          </w:tcPr>
          <w:p w14:paraId="6874A3A9" w14:textId="624DECD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009B50E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D43439">
              <w:rPr>
                <w:rFonts w:ascii="Times New Roman" w:eastAsia="Times New Roman" w:hAnsi="Times New Roman" w:cs="Times New Roman"/>
                <w:bCs/>
                <w:sz w:val="24"/>
                <w:szCs w:val="24"/>
              </w:rPr>
              <w:t>12</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1265CF17" w:rsidR="0034158F" w:rsidRPr="009878CD" w:rsidRDefault="00D4343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34158F">
        <w:tc>
          <w:tcPr>
            <w:tcW w:w="1306" w:type="dxa"/>
          </w:tcPr>
          <w:p w14:paraId="392C5660" w14:textId="2365368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12BA14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w:t>
            </w:r>
            <w:r w:rsidR="00D43439">
              <w:rPr>
                <w:rFonts w:ascii="Times New Roman" w:eastAsia="Times New Roman" w:hAnsi="Times New Roman" w:cs="Times New Roman"/>
                <w:bCs/>
                <w:sz w:val="24"/>
                <w:szCs w:val="24"/>
              </w:rPr>
              <w:t>9</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75BC40D5"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D43439" w:rsidRPr="009878CD" w14:paraId="275459DD" w14:textId="77777777" w:rsidTr="0034158F">
        <w:tc>
          <w:tcPr>
            <w:tcW w:w="1306" w:type="dxa"/>
          </w:tcPr>
          <w:p w14:paraId="0B789993" w14:textId="77777777" w:rsidR="00D43439" w:rsidRDefault="00D4343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15:</w:t>
            </w:r>
          </w:p>
          <w:p w14:paraId="6E0758AF" w14:textId="0BCBC458" w:rsidR="00D43439" w:rsidRPr="009878CD" w:rsidRDefault="00D4343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11/26</w:t>
            </w:r>
          </w:p>
        </w:tc>
        <w:tc>
          <w:tcPr>
            <w:tcW w:w="3677" w:type="dxa"/>
          </w:tcPr>
          <w:p w14:paraId="2AE2129C" w14:textId="5AB2B391" w:rsidR="00D43439" w:rsidRPr="009878CD" w:rsidRDefault="00D4343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 No Class</w:t>
            </w:r>
          </w:p>
        </w:tc>
        <w:tc>
          <w:tcPr>
            <w:tcW w:w="2270" w:type="dxa"/>
          </w:tcPr>
          <w:p w14:paraId="3DF0A6D7" w14:textId="77777777" w:rsidR="00D43439" w:rsidRPr="009878CD" w:rsidRDefault="00D43439" w:rsidP="0034158F">
            <w:pPr>
              <w:spacing w:before="7" w:line="264" w:lineRule="auto"/>
              <w:rPr>
                <w:rFonts w:ascii="Times New Roman" w:eastAsia="Times New Roman" w:hAnsi="Times New Roman" w:cs="Times New Roman"/>
                <w:bCs/>
                <w:sz w:val="24"/>
                <w:szCs w:val="24"/>
              </w:rPr>
            </w:pPr>
          </w:p>
        </w:tc>
        <w:tc>
          <w:tcPr>
            <w:tcW w:w="1742" w:type="dxa"/>
          </w:tcPr>
          <w:p w14:paraId="543D5A79" w14:textId="416ACC96" w:rsidR="00D43439" w:rsidRDefault="00D4343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(11/27)</w:t>
            </w:r>
          </w:p>
        </w:tc>
        <w:tc>
          <w:tcPr>
            <w:tcW w:w="1163" w:type="dxa"/>
          </w:tcPr>
          <w:p w14:paraId="50C4C207" w14:textId="77777777" w:rsidR="00D43439" w:rsidRPr="009878CD" w:rsidRDefault="00D43439"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6552400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C51844">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1F709FEF" w14:textId="74202657"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D4343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D43439">
              <w:rPr>
                <w:rFonts w:ascii="Times New Roman" w:eastAsia="Times New Roman" w:hAnsi="Times New Roman" w:cs="Times New Roman"/>
                <w:bCs/>
                <w:sz w:val="24"/>
                <w:szCs w:val="24"/>
              </w:rPr>
              <w:t>3</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106B207C" w14:textId="0CD327A2"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*no later than 1</w:t>
            </w:r>
            <w:r w:rsidR="00D4343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D43439">
              <w:rPr>
                <w:rFonts w:ascii="Times New Roman" w:eastAsia="Times New Roman" w:hAnsi="Times New Roman" w:cs="Times New Roman"/>
                <w:bCs/>
                <w:sz w:val="24"/>
                <w:szCs w:val="24"/>
              </w:rPr>
              <w:t>3</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F7AD6A7" w:rsidR="00651E52" w:rsidRDefault="00651E52" w:rsidP="00366911">
      <w:pPr>
        <w:spacing w:line="264" w:lineRule="auto"/>
        <w:rPr>
          <w:rFonts w:ascii="Times New Roman" w:hAnsi="Times New Roman" w:cs="Times New Roman"/>
          <w:sz w:val="24"/>
          <w:szCs w:val="24"/>
        </w:rPr>
      </w:pPr>
    </w:p>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1487DF17" w:rsidR="003D6AC8" w:rsidRPr="00E86C49" w:rsidRDefault="00C63F86"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9878CD">
        <w:rPr>
          <w:rFonts w:ascii="Times New Roman" w:eastAsia="Times New Roman" w:hAnsi="Times New Roman" w:cs="Times New Roman"/>
          <w:b/>
          <w:bCs/>
          <w:sz w:val="24"/>
          <w:szCs w:val="24"/>
        </w:rPr>
        <w:t xml:space="preserve">Each additional absence will result in a </w:t>
      </w:r>
      <w:r>
        <w:rPr>
          <w:rFonts w:ascii="Times New Roman" w:eastAsia="Times New Roman" w:hAnsi="Times New Roman" w:cs="Times New Roman"/>
          <w:b/>
          <w:bCs/>
          <w:sz w:val="24"/>
          <w:szCs w:val="24"/>
        </w:rPr>
        <w:t>point</w:t>
      </w:r>
      <w:r w:rsidRPr="009878CD">
        <w:rPr>
          <w:rFonts w:ascii="Times New Roman" w:eastAsia="Times New Roman" w:hAnsi="Times New Roman" w:cs="Times New Roman"/>
          <w:b/>
          <w:bCs/>
          <w:sz w:val="24"/>
          <w:szCs w:val="24"/>
        </w:rPr>
        <w:t xml:space="preserve"> deduction from the student’s </w:t>
      </w:r>
      <w:r>
        <w:rPr>
          <w:rFonts w:ascii="Times New Roman" w:eastAsia="Times New Roman" w:hAnsi="Times New Roman" w:cs="Times New Roman"/>
          <w:b/>
          <w:bCs/>
          <w:sz w:val="24"/>
          <w:szCs w:val="24"/>
        </w:rPr>
        <w:t xml:space="preserve">participation </w:t>
      </w:r>
      <w:r w:rsidRPr="009878CD">
        <w:rPr>
          <w:rFonts w:ascii="Times New Roman" w:eastAsia="Times New Roman" w:hAnsi="Times New Roman" w:cs="Times New Roman"/>
          <w:b/>
          <w:bCs/>
          <w:sz w:val="24"/>
          <w:szCs w:val="24"/>
        </w:rPr>
        <w:t>grade for missed participation and engagement in class exercises that work to meet learning outcomes</w:t>
      </w:r>
      <w:r w:rsidRPr="009878CD">
        <w:rPr>
          <w:rFonts w:ascii="Times New Roman" w:eastAsia="Times New Roman" w:hAnsi="Times New Roman" w:cs="Times New Roman"/>
          <w:sz w:val="24"/>
          <w:szCs w:val="24"/>
        </w:rPr>
        <w:t>.</w:t>
      </w:r>
      <w:r w:rsidR="003D6AC8"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w:t>
      </w:r>
      <w:r w:rsidRPr="009878CD">
        <w:rPr>
          <w:rFonts w:ascii="Times New Roman" w:eastAsia="Times New Roman" w:hAnsi="Times New Roman" w:cs="Times New Roman"/>
          <w:w w:val="105"/>
          <w:sz w:val="24"/>
          <w:szCs w:val="24"/>
        </w:rPr>
        <w:lastRenderedPageBreak/>
        <w:t xml:space="preserve">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lastRenderedPageBreak/>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3E9DD3BF" w14:textId="77777777" w:rsidR="003D6AC8" w:rsidRPr="006D6027"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6D6027">
        <w:rPr>
          <w:rFonts w:ascii="Times New Roman" w:hAnsi="Times New Roman" w:cs="Times New Roman"/>
          <w:w w:val="105"/>
          <w:sz w:val="24"/>
          <w:szCs w:val="24"/>
          <w:u w:val="single" w:color="000000"/>
        </w:rPr>
        <w:t>Use of Electronics:</w:t>
      </w:r>
      <w:r w:rsidRPr="006D6027">
        <w:rPr>
          <w:rFonts w:ascii="Times New Roman" w:hAnsi="Times New Roman" w:cs="Times New Roman"/>
          <w:w w:val="105"/>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6D6027">
        <w:rPr>
          <w:rFonts w:ascii="Times New Roman" w:hAnsi="Times New Roman" w:cs="Times New Roman"/>
          <w:bCs/>
          <w:w w:val="105"/>
          <w:sz w:val="24"/>
          <w:szCs w:val="24"/>
        </w:rPr>
        <w:t>but may be used for class purposes only.</w:t>
      </w:r>
    </w:p>
    <w:p w14:paraId="47D115E3" w14:textId="77777777" w:rsidR="003D6AC8" w:rsidRPr="000B5DD5" w:rsidRDefault="003D6AC8" w:rsidP="003D6AC8">
      <w:pPr>
        <w:spacing w:before="1" w:line="264" w:lineRule="auto"/>
        <w:rPr>
          <w:rFonts w:ascii="Times New Roman" w:eastAsia="Times New Roman" w:hAnsi="Times New Roman" w:cs="Times New Roman"/>
          <w:sz w:val="24"/>
          <w:szCs w:val="24"/>
        </w:rPr>
      </w:pPr>
    </w:p>
    <w:p w14:paraId="3B417497" w14:textId="77777777" w:rsidR="003D6AC8" w:rsidRPr="009878CD" w:rsidRDefault="003D6AC8" w:rsidP="003D6AC8">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59229780" w14:textId="77777777" w:rsidR="003D6AC8" w:rsidRPr="009878CD" w:rsidRDefault="003D6AC8" w:rsidP="003D6AC8">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1F1AF0C1"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6792DB20" w14:textId="77777777" w:rsidR="003D6AC8" w:rsidRPr="009878CD" w:rsidRDefault="003D6AC8" w:rsidP="003D6AC8">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379680C7" w14:textId="77777777"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w:t>
      </w:r>
      <w:r w:rsidRPr="009878CD">
        <w:rPr>
          <w:rFonts w:cs="Times New Roman"/>
          <w:b w:val="0"/>
          <w:w w:val="105"/>
          <w:sz w:val="24"/>
          <w:szCs w:val="24"/>
        </w:rPr>
        <w:lastRenderedPageBreak/>
        <w:t xml:space="preserve">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36899DFC" w14:textId="3B863711" w:rsidR="003D6AC8" w:rsidRDefault="003D6AC8" w:rsidP="003D6AC8">
      <w:pPr>
        <w:spacing w:line="264" w:lineRule="auto"/>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Pr>
          <w:rFonts w:ascii="Times New Roman" w:eastAsia="Times New Roman" w:hAnsi="Times New Roman" w:cs="Times New Roman"/>
          <w:sz w:val="24"/>
          <w:szCs w:val="24"/>
        </w:rPr>
        <w:t>.</w:t>
      </w:r>
    </w:p>
    <w:p w14:paraId="26FB6C7B" w14:textId="167D7457" w:rsidR="00C63F86" w:rsidRDefault="00C63F86" w:rsidP="003D6AC8">
      <w:pPr>
        <w:spacing w:line="264" w:lineRule="auto"/>
        <w:rPr>
          <w:rFonts w:ascii="Times New Roman" w:hAnsi="Times New Roman" w:cs="Times New Roman"/>
          <w:sz w:val="24"/>
          <w:szCs w:val="24"/>
        </w:rPr>
      </w:pPr>
    </w:p>
    <w:p w14:paraId="6DF90C74" w14:textId="77B4E50F" w:rsidR="001762DC" w:rsidRPr="001762DC" w:rsidRDefault="001762DC" w:rsidP="004764C9">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sidR="004764C9">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065F9E34" w14:textId="77777777" w:rsidR="001762DC" w:rsidRPr="001762DC" w:rsidRDefault="001762DC" w:rsidP="001762DC">
      <w:pPr>
        <w:rPr>
          <w:rFonts w:ascii="Times New Roman" w:hAnsi="Times New Roman" w:cs="Times New Roman"/>
          <w:sz w:val="24"/>
          <w:szCs w:val="24"/>
        </w:rPr>
      </w:pPr>
      <w:r w:rsidRPr="001762DC">
        <w:rPr>
          <w:rFonts w:ascii="Times New Roman" w:hAnsi="Times New Roman" w:cs="Times New Roman"/>
          <w:sz w:val="24"/>
          <w:szCs w:val="24"/>
        </w:rPr>
        <w:t xml:space="preserve">You are expected to complete your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screener daily.</w:t>
      </w:r>
    </w:p>
    <w:p w14:paraId="1D44DF46" w14:textId="77777777" w:rsidR="001762DC" w:rsidRPr="001762DC" w:rsidRDefault="001762DC" w:rsidP="001762DC">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app. My hope is that if you are feeling ill or if you have been exposed to someone with the virus, you will stay home to protect others. </w:t>
      </w:r>
    </w:p>
    <w:p w14:paraId="7636449D" w14:textId="77777777" w:rsidR="001762DC" w:rsidRPr="001762DC" w:rsidRDefault="001762DC" w:rsidP="001762DC">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1AF3201E"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in advance of your absence, if possible</w:t>
      </w:r>
    </w:p>
    <w:p w14:paraId="7C23D3B8"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057E3C39"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56D90C48"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5FB8FB20"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5686D3B7" w14:textId="77777777" w:rsidR="001762DC" w:rsidRPr="001762DC" w:rsidRDefault="001762DC" w:rsidP="001762DC">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0D74EC33" w14:textId="77777777" w:rsidR="001762DC" w:rsidRPr="001762DC" w:rsidRDefault="001762DC" w:rsidP="001762DC">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2" w:history="1">
        <w:r w:rsidRPr="001762DC">
          <w:rPr>
            <w:rStyle w:val="Hyperlink"/>
            <w:rFonts w:ascii="Times New Roman" w:hAnsi="Times New Roman" w:cs="Times New Roman"/>
            <w:sz w:val="24"/>
            <w:szCs w:val="24"/>
          </w:rPr>
          <w:t>ahealthieru@auburn.edu</w:t>
        </w:r>
      </w:hyperlink>
      <w:r w:rsidRPr="001762DC">
        <w:rPr>
          <w:rFonts w:ascii="Times New Roman" w:hAnsi="Times New Roman" w:cs="Times New Roman"/>
          <w:sz w:val="24"/>
          <w:szCs w:val="24"/>
        </w:rPr>
        <w:t xml:space="preserve">. </w:t>
      </w:r>
      <w:r w:rsidRPr="001762DC">
        <w:rPr>
          <w:rFonts w:ascii="Times New Roman" w:hAnsi="Times New Roman" w:cs="Times New Roman"/>
          <w:sz w:val="24"/>
          <w:szCs w:val="24"/>
        </w:rPr>
        <w:br/>
      </w:r>
    </w:p>
    <w:p w14:paraId="59961666" w14:textId="71C4778B" w:rsidR="001762DC" w:rsidRPr="001762DC" w:rsidRDefault="001762DC" w:rsidP="004764C9">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sidR="004764C9">
        <w:rPr>
          <w:rFonts w:ascii="Times New Roman" w:hAnsi="Times New Roman" w:cs="Times New Roman"/>
          <w:b/>
          <w:sz w:val="24"/>
          <w:szCs w:val="24"/>
        </w:rPr>
        <w:t>:</w:t>
      </w:r>
    </w:p>
    <w:p w14:paraId="6DE637E5" w14:textId="77777777" w:rsidR="001762DC" w:rsidRPr="001762DC" w:rsidRDefault="001762DC" w:rsidP="001762DC">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33FB3B29" w14:textId="77777777" w:rsidR="001762DC" w:rsidRPr="001762DC" w:rsidRDefault="001762DC" w:rsidP="001762DC">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COVID Response Team (</w:t>
      </w:r>
      <w:hyperlink r:id="rId13" w:history="1">
        <w:r w:rsidRPr="001762DC">
          <w:rPr>
            <w:rStyle w:val="Hyperlink"/>
            <w:rFonts w:ascii="Times New Roman" w:hAnsi="Times New Roman" w:cs="Times New Roman"/>
            <w:sz w:val="24"/>
            <w:szCs w:val="24"/>
            <w:highlight w:val="white"/>
          </w:rPr>
          <w:t>www.ahealthieru.edu</w:t>
        </w:r>
      </w:hyperlink>
      <w:r w:rsidRPr="001762DC">
        <w:rPr>
          <w:rFonts w:ascii="Times New Roman" w:hAnsi="Times New Roman" w:cs="Times New Roman"/>
          <w:sz w:val="24"/>
          <w:szCs w:val="24"/>
          <w:highlight w:val="white"/>
        </w:rPr>
        <w:t xml:space="preserve">) </w:t>
      </w:r>
    </w:p>
    <w:p w14:paraId="48196E2F" w14:textId="77777777" w:rsidR="001762DC" w:rsidRPr="001762DC" w:rsidRDefault="001762DC" w:rsidP="001762DC">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14" w:history="1">
        <w:r w:rsidRPr="001762DC">
          <w:rPr>
            <w:rStyle w:val="Hyperlink"/>
            <w:rFonts w:ascii="Times New Roman" w:hAnsi="Times New Roman" w:cs="Times New Roman"/>
            <w:sz w:val="24"/>
            <w:szCs w:val="24"/>
          </w:rPr>
          <w:t>http://wp.auburn.edu/scs/</w:t>
        </w:r>
      </w:hyperlink>
      <w:r w:rsidRPr="001762DC">
        <w:rPr>
          <w:rFonts w:ascii="Times New Roman" w:hAnsi="Times New Roman" w:cs="Times New Roman"/>
          <w:sz w:val="24"/>
          <w:szCs w:val="24"/>
          <w:highlight w:val="white"/>
        </w:rPr>
        <w:t xml:space="preserve">) </w:t>
      </w:r>
    </w:p>
    <w:p w14:paraId="12A4D632" w14:textId="77777777" w:rsidR="001762DC" w:rsidRPr="001762DC" w:rsidRDefault="001762DC" w:rsidP="001762DC">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15" w:history="1">
        <w:r w:rsidRPr="001762DC">
          <w:rPr>
            <w:rStyle w:val="Hyperlink"/>
            <w:rFonts w:ascii="Times New Roman" w:hAnsi="Times New Roman" w:cs="Times New Roman"/>
            <w:sz w:val="24"/>
            <w:szCs w:val="24"/>
          </w:rPr>
          <w:t>https://cws.auburn.edu/aumc/</w:t>
        </w:r>
      </w:hyperlink>
    </w:p>
    <w:p w14:paraId="58B9FCD3" w14:textId="7127A583" w:rsidR="001762DC" w:rsidRPr="004324A7" w:rsidRDefault="001762DC" w:rsidP="001762DC">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16" w:history="1">
        <w:r w:rsidRPr="001762DC">
          <w:rPr>
            <w:rStyle w:val="Hyperlink"/>
            <w:rFonts w:ascii="Times New Roman" w:hAnsi="Times New Roman" w:cs="Times New Roman"/>
            <w:sz w:val="24"/>
            <w:szCs w:val="24"/>
          </w:rPr>
          <w:t>http://aucares.auburn.edu/</w:t>
        </w:r>
      </w:hyperlink>
      <w:r w:rsidRPr="001762DC">
        <w:rPr>
          <w:rFonts w:ascii="Times New Roman" w:hAnsi="Times New Roman" w:cs="Times New Roman"/>
          <w:sz w:val="24"/>
          <w:szCs w:val="24"/>
        </w:rPr>
        <w:t>)</w:t>
      </w:r>
    </w:p>
    <w:p w14:paraId="7225217C" w14:textId="192AFC85" w:rsidR="001762DC" w:rsidRPr="001762DC" w:rsidRDefault="001762DC" w:rsidP="004764C9">
      <w:pPr>
        <w:rPr>
          <w:rFonts w:ascii="Times New Roman" w:hAnsi="Times New Roman" w:cs="Times New Roman"/>
          <w:b/>
          <w:sz w:val="24"/>
          <w:szCs w:val="24"/>
          <w:highlight w:val="white"/>
        </w:rPr>
      </w:pPr>
      <w:r w:rsidRPr="001762DC">
        <w:rPr>
          <w:rFonts w:ascii="Times New Roman" w:hAnsi="Times New Roman" w:cs="Times New Roman"/>
          <w:b/>
          <w:sz w:val="24"/>
          <w:szCs w:val="24"/>
          <w:highlight w:val="white"/>
        </w:rPr>
        <w:t>A Healthier U Campus Community Expectations</w:t>
      </w:r>
      <w:r w:rsidR="004764C9">
        <w:rPr>
          <w:rFonts w:ascii="Times New Roman" w:hAnsi="Times New Roman" w:cs="Times New Roman"/>
          <w:b/>
          <w:sz w:val="24"/>
          <w:szCs w:val="24"/>
          <w:highlight w:val="white"/>
        </w:rPr>
        <w:t>:</w:t>
      </w:r>
    </w:p>
    <w:p w14:paraId="15829566" w14:textId="77777777" w:rsidR="001762DC" w:rsidRPr="001762DC" w:rsidRDefault="001762DC" w:rsidP="001762DC">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We are all responsible for protecting ourselves and our community. Please read about student </w:t>
      </w:r>
      <w:r w:rsidRPr="001762DC">
        <w:rPr>
          <w:rFonts w:ascii="Times New Roman" w:hAnsi="Times New Roman" w:cs="Times New Roman"/>
          <w:sz w:val="24"/>
          <w:szCs w:val="24"/>
          <w:highlight w:val="white"/>
        </w:rPr>
        <w:lastRenderedPageBreak/>
        <w:t xml:space="preserve">expectations for fall semester, including completing the daily </w:t>
      </w:r>
      <w:proofErr w:type="spellStart"/>
      <w:r w:rsidRPr="001762DC">
        <w:rPr>
          <w:rFonts w:ascii="Times New Roman" w:hAnsi="Times New Roman" w:cs="Times New Roman"/>
          <w:sz w:val="24"/>
          <w:szCs w:val="24"/>
          <w:highlight w:val="white"/>
        </w:rPr>
        <w:t>GuideSafe</w:t>
      </w:r>
      <w:proofErr w:type="spellEnd"/>
      <w:r w:rsidRPr="001762DC">
        <w:rPr>
          <w:rFonts w:ascii="Times New Roman" w:hAnsi="Times New Roman" w:cs="Times New Roman"/>
          <w:sz w:val="24"/>
          <w:szCs w:val="24"/>
          <w:highlight w:val="white"/>
        </w:rPr>
        <w:t xml:space="preserve">™ </w:t>
      </w:r>
      <w:proofErr w:type="spellStart"/>
      <w:r w:rsidRPr="001762DC">
        <w:rPr>
          <w:rFonts w:ascii="Times New Roman" w:hAnsi="Times New Roman" w:cs="Times New Roman"/>
          <w:sz w:val="24"/>
          <w:szCs w:val="24"/>
          <w:highlight w:val="white"/>
        </w:rPr>
        <w:t>Healthcheck</w:t>
      </w:r>
      <w:proofErr w:type="spellEnd"/>
      <w:r w:rsidRPr="001762DC">
        <w:rPr>
          <w:rFonts w:ascii="Times New Roman" w:hAnsi="Times New Roman" w:cs="Times New Roman"/>
          <w:sz w:val="24"/>
          <w:szCs w:val="24"/>
          <w:highlight w:val="white"/>
        </w:rPr>
        <w:t xml:space="preserve"> (</w:t>
      </w:r>
      <w:hyperlink r:id="rId17" w:history="1">
        <w:r w:rsidRPr="001762DC">
          <w:rPr>
            <w:rStyle w:val="Hyperlink"/>
            <w:rFonts w:ascii="Times New Roman" w:hAnsi="Times New Roman" w:cs="Times New Roman"/>
            <w:sz w:val="24"/>
            <w:szCs w:val="24"/>
          </w:rPr>
          <w:t>https://ahealthieru.auburn.edu/</w:t>
        </w:r>
      </w:hyperlink>
      <w:r w:rsidRPr="001762DC">
        <w:rPr>
          <w:rFonts w:ascii="Times New Roman" w:hAnsi="Times New Roman" w:cs="Times New Roman"/>
          <w:sz w:val="24"/>
          <w:szCs w:val="24"/>
          <w:highlight w:val="white"/>
        </w:rPr>
        <w:t xml:space="preserve">). </w:t>
      </w:r>
    </w:p>
    <w:p w14:paraId="4DAA2D91" w14:textId="77777777" w:rsidR="001762DC" w:rsidRPr="001762DC" w:rsidRDefault="001762DC" w:rsidP="001762DC">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You are expected to (1) take your temperature daily and (2) complete your </w:t>
      </w:r>
      <w:proofErr w:type="spellStart"/>
      <w:r w:rsidRPr="001762DC">
        <w:rPr>
          <w:rFonts w:ascii="Times New Roman" w:hAnsi="Times New Roman" w:cs="Times New Roman"/>
          <w:sz w:val="24"/>
          <w:szCs w:val="24"/>
          <w:highlight w:val="white"/>
        </w:rPr>
        <w:t>Healthcheck</w:t>
      </w:r>
      <w:proofErr w:type="spellEnd"/>
      <w:r w:rsidRPr="001762DC">
        <w:rPr>
          <w:rFonts w:ascii="Times New Roman" w:hAnsi="Times New Roman" w:cs="Times New Roman"/>
          <w:sz w:val="24"/>
          <w:szCs w:val="24"/>
          <w:highlight w:val="white"/>
        </w:rPr>
        <w:t xml:space="preserve"> screener to receive your A Healthier U pass. </w:t>
      </w:r>
      <w:r w:rsidRPr="001762DC">
        <w:rPr>
          <w:rFonts w:ascii="Times New Roman" w:hAnsi="Times New Roman" w:cs="Times New Roman"/>
          <w:b/>
          <w:sz w:val="24"/>
          <w:szCs w:val="24"/>
          <w:highlight w:val="white"/>
        </w:rPr>
        <w:t>You may be asked at any time during class to show your pass.</w:t>
      </w:r>
      <w:r w:rsidRPr="001762DC">
        <w:rPr>
          <w:rFonts w:ascii="Times New Roman" w:hAnsi="Times New Roman" w:cs="Times New Roman"/>
          <w:b/>
          <w:sz w:val="24"/>
          <w:szCs w:val="24"/>
          <w:highlight w:val="white"/>
        </w:rPr>
        <w:br/>
      </w:r>
    </w:p>
    <w:p w14:paraId="14A2E068" w14:textId="77777777" w:rsidR="001762DC" w:rsidRPr="001762DC" w:rsidRDefault="001762DC" w:rsidP="004764C9">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4787A942" w14:textId="77777777" w:rsidR="001762DC" w:rsidRPr="001762DC" w:rsidRDefault="001762DC" w:rsidP="001762DC">
      <w:pPr>
        <w:widowControl/>
        <w:numPr>
          <w:ilvl w:val="0"/>
          <w:numId w:val="28"/>
        </w:numPr>
        <w:spacing w:line="259" w:lineRule="auto"/>
        <w:rPr>
          <w:rFonts w:ascii="Times New Roman" w:hAnsi="Times New Roman" w:cs="Times New Roman"/>
          <w:b/>
          <w:sz w:val="24"/>
          <w:szCs w:val="24"/>
          <w:highlight w:val="white"/>
        </w:rPr>
      </w:pPr>
      <w:r w:rsidRPr="001762DC">
        <w:rPr>
          <w:rFonts w:ascii="Times New Roman" w:hAnsi="Times New Roman" w:cs="Times New Roman"/>
          <w:b/>
          <w:sz w:val="24"/>
          <w:szCs w:val="24"/>
          <w:highlight w:val="white"/>
        </w:rPr>
        <w:t>Face Coverings</w:t>
      </w:r>
      <w:r w:rsidRPr="001762DC">
        <w:rPr>
          <w:rFonts w:ascii="Times New Roman" w:hAnsi="Times New Roman" w:cs="Times New Roman"/>
          <w:sz w:val="24"/>
          <w:szCs w:val="24"/>
          <w:highlight w:val="white"/>
        </w:rPr>
        <w:t>:</w:t>
      </w:r>
      <w:r w:rsidRPr="001762DC">
        <w:rPr>
          <w:rFonts w:ascii="Times New Roman" w:eastAsia="Verdana" w:hAnsi="Times New Roman" w:cs="Times New Roman"/>
          <w:b/>
          <w:sz w:val="24"/>
          <w:szCs w:val="24"/>
          <w:highlight w:val="white"/>
        </w:rPr>
        <w:t xml:space="preserve"> </w:t>
      </w:r>
      <w:r w:rsidRPr="001762DC">
        <w:rPr>
          <w:rFonts w:ascii="Times New Roman" w:hAnsi="Times New Roman" w:cs="Times New Roman"/>
          <w:sz w:val="24"/>
          <w:szCs w:val="24"/>
          <w:highlight w:val="white"/>
        </w:rPr>
        <w:t xml:space="preserve">As a member of the Auburn University academic community </w:t>
      </w:r>
      <w:r w:rsidRPr="001762DC">
        <w:rPr>
          <w:rFonts w:ascii="Times New Roman" w:hAnsi="Times New Roman" w:cs="Times New Roman"/>
          <w:sz w:val="24"/>
          <w:szCs w:val="24"/>
        </w:rPr>
        <w:t>you are required to follow all university guidelines for</w:t>
      </w:r>
      <w:r w:rsidRPr="001762DC">
        <w:rPr>
          <w:rFonts w:ascii="Times New Roman" w:hAnsi="Times New Roman" w:cs="Times New Roman"/>
          <w:sz w:val="24"/>
          <w:szCs w:val="24"/>
          <w:highlight w:val="white"/>
        </w:rPr>
        <w:t xml:space="preserve"> personal safety with face coverings, physical distancing, and sanitation. Face coverings are required in this class and in all campus buildings. </w:t>
      </w:r>
      <w:r w:rsidRPr="001762DC">
        <w:rPr>
          <w:rFonts w:ascii="Times New Roman" w:hAnsi="Times New Roman" w:cs="Times New Roman"/>
          <w:sz w:val="24"/>
          <w:szCs w:val="24"/>
        </w:rPr>
        <w:t xml:space="preserve">Note that face coverings must meet safety specifications, be worn correctly, and be socially appropriate. </w:t>
      </w:r>
    </w:p>
    <w:p w14:paraId="3A751AA6" w14:textId="77777777" w:rsidR="001762DC" w:rsidRPr="001762DC" w:rsidRDefault="001762DC" w:rsidP="001762DC">
      <w:pPr>
        <w:ind w:left="720"/>
        <w:rPr>
          <w:rFonts w:ascii="Times New Roman" w:hAnsi="Times New Roman" w:cs="Times New Roman"/>
          <w:b/>
          <w:sz w:val="24"/>
          <w:szCs w:val="24"/>
          <w:highlight w:val="white"/>
        </w:rPr>
      </w:pPr>
    </w:p>
    <w:p w14:paraId="398C2BB2" w14:textId="77777777" w:rsidR="001762DC" w:rsidRPr="001762DC" w:rsidRDefault="001762DC" w:rsidP="001762DC">
      <w:pPr>
        <w:ind w:left="720"/>
        <w:rPr>
          <w:rFonts w:ascii="Times New Roman" w:hAnsi="Times New Roman" w:cs="Times New Roman"/>
          <w:sz w:val="24"/>
          <w:szCs w:val="24"/>
        </w:rPr>
      </w:pPr>
      <w:r w:rsidRPr="001762DC">
        <w:rPr>
          <w:rFonts w:ascii="Times New Roman" w:hAnsi="Times New Roman" w:cs="Times New Roman"/>
          <w:sz w:val="24"/>
          <w:szCs w:val="24"/>
        </w:rPr>
        <w:t xml:space="preserve">You are required to wear your face coverings at all times. If you remove your face covering or are non-compliant with the university’s </w:t>
      </w:r>
      <w:hyperlink r:id="rId18" w:history="1">
        <w:r w:rsidRPr="001762DC">
          <w:rPr>
            <w:rStyle w:val="Hyperlink"/>
            <w:rFonts w:ascii="Times New Roman" w:hAnsi="Times New Roman" w:cs="Times New Roman"/>
            <w:sz w:val="24"/>
            <w:szCs w:val="24"/>
          </w:rPr>
          <w:t>policy on face coverings</w:t>
        </w:r>
      </w:hyperlink>
      <w:r w:rsidRPr="001762DC">
        <w:rPr>
          <w:rFonts w:ascii="Times New Roman" w:hAnsi="Times New Roman" w:cs="Times New Roman"/>
          <w:sz w:val="24"/>
          <w:szCs w:val="24"/>
        </w:rPr>
        <w:t xml:space="preserve">, you will be instructed to leave the classroom and will be held to the protocols outlined in the </w:t>
      </w:r>
      <w:hyperlink r:id="rId19" w:history="1">
        <w:r w:rsidRPr="001762DC">
          <w:rPr>
            <w:rStyle w:val="Hyperlink"/>
            <w:rFonts w:ascii="Times New Roman" w:hAnsi="Times New Roman" w:cs="Times New Roman"/>
            <w:sz w:val="24"/>
            <w:szCs w:val="24"/>
          </w:rPr>
          <w:t>Auburn University Policy on Classroom Behavior</w:t>
        </w:r>
      </w:hyperlink>
      <w:r w:rsidRPr="001762DC">
        <w:rPr>
          <w:rFonts w:ascii="Times New Roman" w:hAnsi="Times New Roman" w:cs="Times New Roman"/>
          <w:sz w:val="24"/>
          <w:szCs w:val="24"/>
        </w:rPr>
        <w:t>. Any student who willfully refuses to wear a face covering and does not have a noted accommodation may be subject to disciplinary action.</w:t>
      </w:r>
    </w:p>
    <w:p w14:paraId="517519E3" w14:textId="77777777" w:rsidR="001762DC" w:rsidRPr="001762DC" w:rsidRDefault="001762DC" w:rsidP="001762DC">
      <w:pPr>
        <w:rPr>
          <w:rFonts w:ascii="Times New Roman" w:hAnsi="Times New Roman" w:cs="Times New Roman"/>
          <w:sz w:val="24"/>
          <w:szCs w:val="24"/>
        </w:rPr>
      </w:pPr>
    </w:p>
    <w:p w14:paraId="146F0B95" w14:textId="77777777" w:rsidR="001762DC" w:rsidRPr="001762DC" w:rsidRDefault="001762DC" w:rsidP="001762DC">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b/>
          <w:bCs/>
          <w:sz w:val="24"/>
          <w:szCs w:val="24"/>
        </w:rPr>
        <w:t>Physical Distancing</w:t>
      </w:r>
      <w:r w:rsidRPr="001762DC">
        <w:rPr>
          <w:rFonts w:ascii="Times New Roman" w:hAnsi="Times New Roman" w:cs="Times New Roman"/>
          <w:sz w:val="24"/>
          <w:szCs w:val="24"/>
        </w:rPr>
        <w:t xml:space="preserve">: Students should observe appropriate physical distancing and follow all classroom signage/avoid congregating around doorways before or after class. If the instructional space has designated entrance and exit doors, you should use them. </w:t>
      </w:r>
      <w:r w:rsidRPr="001762DC">
        <w:rPr>
          <w:rFonts w:ascii="Times New Roman" w:hAnsi="Times New Roman" w:cs="Times New Roman"/>
          <w:b/>
          <w:sz w:val="24"/>
          <w:szCs w:val="24"/>
        </w:rPr>
        <w:t>Students should exit the instructional space immediately after the end of instruction to help ensure social distancing and allow for the persons attending the next scheduled class session to enter.</w:t>
      </w:r>
    </w:p>
    <w:p w14:paraId="031C1F1C" w14:textId="77777777" w:rsidR="001762DC" w:rsidRPr="001762DC" w:rsidRDefault="001762DC" w:rsidP="001762DC">
      <w:pPr>
        <w:pStyle w:val="ListParagraph"/>
        <w:rPr>
          <w:rFonts w:ascii="Times New Roman" w:hAnsi="Times New Roman" w:cs="Times New Roman"/>
          <w:b/>
          <w:sz w:val="24"/>
          <w:szCs w:val="24"/>
        </w:rPr>
      </w:pPr>
    </w:p>
    <w:p w14:paraId="68E22FB0" w14:textId="77777777" w:rsidR="001762DC" w:rsidRPr="001762DC" w:rsidRDefault="001762DC" w:rsidP="001762DC">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484C6DD2" w14:textId="77777777" w:rsidR="001762DC" w:rsidRPr="001762DC" w:rsidRDefault="001762DC" w:rsidP="001762DC">
      <w:pPr>
        <w:pStyle w:val="ListParagraph"/>
        <w:rPr>
          <w:rFonts w:ascii="Times New Roman" w:hAnsi="Times New Roman" w:cs="Times New Roman"/>
          <w:b/>
          <w:sz w:val="24"/>
          <w:szCs w:val="24"/>
          <w:highlight w:val="white"/>
        </w:rPr>
      </w:pPr>
    </w:p>
    <w:p w14:paraId="371DFDF0" w14:textId="77777777" w:rsidR="001762DC" w:rsidRPr="001762DC" w:rsidRDefault="001762DC" w:rsidP="001762DC">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14A3A234" w14:textId="77777777" w:rsidR="001762DC" w:rsidRPr="001762DC" w:rsidRDefault="001762DC" w:rsidP="001762DC">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 xml:space="preserve">This course may require particular technologies to complete coursework. If you need access to additional technological support, please contact the AU Bookstore at </w:t>
      </w:r>
      <w:hyperlink r:id="rId20"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64925957" w14:textId="77777777" w:rsidR="001762DC" w:rsidRPr="001762DC" w:rsidRDefault="001762DC" w:rsidP="001762DC">
      <w:pPr>
        <w:pStyle w:val="ListParagraph"/>
        <w:rPr>
          <w:rFonts w:ascii="Times New Roman" w:hAnsi="Times New Roman" w:cs="Times New Roman"/>
          <w:sz w:val="24"/>
          <w:szCs w:val="24"/>
        </w:rPr>
      </w:pPr>
    </w:p>
    <w:p w14:paraId="5D7A3E23" w14:textId="77777777" w:rsidR="001762DC" w:rsidRPr="001762DC" w:rsidRDefault="001762DC" w:rsidP="001762DC">
      <w:pPr>
        <w:pStyle w:val="ListParagraph"/>
        <w:rPr>
          <w:rFonts w:ascii="Times New Roman" w:hAnsi="Times New Roman" w:cs="Times New Roman"/>
          <w:sz w:val="24"/>
          <w:szCs w:val="24"/>
        </w:rPr>
      </w:pPr>
      <w:r w:rsidRPr="001762DC">
        <w:rPr>
          <w:rFonts w:ascii="Times New Roman" w:hAnsi="Times New Roman" w:cs="Times New Roman"/>
          <w:i/>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1" w:history="1">
        <w:r w:rsidRPr="001762DC">
          <w:rPr>
            <w:rStyle w:val="Hyperlink"/>
            <w:rFonts w:ascii="Times New Roman" w:hAnsi="Times New Roman" w:cs="Times New Roman"/>
            <w:i/>
            <w:sz w:val="24"/>
            <w:szCs w:val="24"/>
          </w:rPr>
          <w:t>Classroom Behavior Policy</w:t>
        </w:r>
      </w:hyperlink>
      <w:r w:rsidRPr="001762DC">
        <w:rPr>
          <w:rFonts w:ascii="Times New Roman" w:hAnsi="Times New Roman" w:cs="Times New Roman"/>
          <w:i/>
          <w:sz w:val="24"/>
          <w:szCs w:val="24"/>
        </w:rPr>
        <w:t>.</w:t>
      </w:r>
    </w:p>
    <w:p w14:paraId="35AEB542" w14:textId="77777777" w:rsidR="001762DC" w:rsidRPr="001762DC" w:rsidRDefault="001762DC" w:rsidP="001762DC">
      <w:pPr>
        <w:pStyle w:val="ListParagraph"/>
        <w:rPr>
          <w:rFonts w:ascii="Times New Roman" w:hAnsi="Times New Roman" w:cs="Times New Roman"/>
          <w:sz w:val="24"/>
          <w:szCs w:val="24"/>
        </w:rPr>
      </w:pPr>
    </w:p>
    <w:p w14:paraId="0A6C7813" w14:textId="212638E2" w:rsidR="001762DC" w:rsidRPr="001762DC" w:rsidRDefault="001762DC" w:rsidP="004764C9">
      <w:pPr>
        <w:rPr>
          <w:rFonts w:ascii="Times New Roman" w:hAnsi="Times New Roman" w:cs="Times New Roman"/>
          <w:sz w:val="24"/>
          <w:szCs w:val="24"/>
        </w:rPr>
      </w:pPr>
      <w:r w:rsidRPr="001762DC">
        <w:rPr>
          <w:rFonts w:ascii="Times New Roman" w:hAnsi="Times New Roman" w:cs="Times New Roman"/>
          <w:b/>
          <w:sz w:val="24"/>
          <w:szCs w:val="24"/>
        </w:rPr>
        <w:t>Course Delivery Changes Related to COVID-19</w:t>
      </w:r>
      <w:r w:rsidR="004764C9">
        <w:rPr>
          <w:rFonts w:ascii="Times New Roman" w:hAnsi="Times New Roman" w:cs="Times New Roman"/>
          <w:b/>
          <w:sz w:val="24"/>
          <w:szCs w:val="24"/>
        </w:rPr>
        <w:t>:</w:t>
      </w:r>
    </w:p>
    <w:p w14:paraId="7E47353C" w14:textId="77777777" w:rsidR="001762DC" w:rsidRPr="001762DC" w:rsidRDefault="001762DC" w:rsidP="001762DC">
      <w:pPr>
        <w:rPr>
          <w:rFonts w:ascii="Times New Roman" w:hAnsi="Times New Roman" w:cs="Times New Roman"/>
          <w:sz w:val="24"/>
          <w:szCs w:val="24"/>
        </w:rPr>
      </w:pPr>
      <w:r w:rsidRPr="001762DC">
        <w:rPr>
          <w:rFonts w:ascii="Times New Roman" w:hAnsi="Times New Roman" w:cs="Times New Roman"/>
          <w:sz w:val="24"/>
          <w:szCs w:val="24"/>
        </w:rPr>
        <w:lastRenderedPageBreak/>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5E4F649" w14:textId="77777777" w:rsidR="00C63F86" w:rsidRPr="009878CD" w:rsidRDefault="00C63F86" w:rsidP="003D6AC8">
      <w:pPr>
        <w:spacing w:line="264" w:lineRule="auto"/>
        <w:rPr>
          <w:rFonts w:ascii="Times New Roman" w:hAnsi="Times New Roman" w:cs="Times New Roman"/>
          <w:sz w:val="24"/>
          <w:szCs w:val="24"/>
        </w:rPr>
      </w:pPr>
    </w:p>
    <w:sectPr w:rsidR="00C63F86" w:rsidRPr="009878CD" w:rsidSect="005B2C5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08B8" w14:textId="77777777" w:rsidR="009D5C32" w:rsidRDefault="009D5C32" w:rsidP="007F252C">
      <w:r>
        <w:separator/>
      </w:r>
    </w:p>
  </w:endnote>
  <w:endnote w:type="continuationSeparator" w:id="0">
    <w:p w14:paraId="099DF513" w14:textId="77777777" w:rsidR="009D5C32" w:rsidRDefault="009D5C32"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4ED0" w14:textId="77777777" w:rsidR="009D5C32" w:rsidRDefault="009D5C32" w:rsidP="007F252C">
      <w:r>
        <w:separator/>
      </w:r>
    </w:p>
  </w:footnote>
  <w:footnote w:type="continuationSeparator" w:id="0">
    <w:p w14:paraId="6F4286FA" w14:textId="77777777" w:rsidR="009D5C32" w:rsidRDefault="009D5C32"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7"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5"/>
  </w:num>
  <w:num w:numId="4">
    <w:abstractNumId w:val="8"/>
  </w:num>
  <w:num w:numId="5">
    <w:abstractNumId w:val="0"/>
  </w:num>
  <w:num w:numId="6">
    <w:abstractNumId w:val="4"/>
  </w:num>
  <w:num w:numId="7">
    <w:abstractNumId w:val="28"/>
  </w:num>
  <w:num w:numId="8">
    <w:abstractNumId w:val="9"/>
  </w:num>
  <w:num w:numId="9">
    <w:abstractNumId w:val="1"/>
  </w:num>
  <w:num w:numId="10">
    <w:abstractNumId w:val="7"/>
  </w:num>
  <w:num w:numId="11">
    <w:abstractNumId w:val="6"/>
  </w:num>
  <w:num w:numId="12">
    <w:abstractNumId w:val="20"/>
  </w:num>
  <w:num w:numId="13">
    <w:abstractNumId w:val="23"/>
  </w:num>
  <w:num w:numId="14">
    <w:abstractNumId w:val="10"/>
  </w:num>
  <w:num w:numId="15">
    <w:abstractNumId w:val="14"/>
  </w:num>
  <w:num w:numId="16">
    <w:abstractNumId w:val="21"/>
  </w:num>
  <w:num w:numId="17">
    <w:abstractNumId w:val="24"/>
  </w:num>
  <w:num w:numId="18">
    <w:abstractNumId w:val="13"/>
  </w:num>
  <w:num w:numId="19">
    <w:abstractNumId w:val="26"/>
  </w:num>
  <w:num w:numId="20">
    <w:abstractNumId w:val="18"/>
  </w:num>
  <w:num w:numId="21">
    <w:abstractNumId w:val="2"/>
  </w:num>
  <w:num w:numId="22">
    <w:abstractNumId w:val="5"/>
  </w:num>
  <w:num w:numId="23">
    <w:abstractNumId w:val="22"/>
  </w:num>
  <w:num w:numId="24">
    <w:abstractNumId w:val="17"/>
  </w:num>
  <w:num w:numId="25">
    <w:abstractNumId w:val="19"/>
  </w:num>
  <w:num w:numId="26">
    <w:abstractNumId w:val="12"/>
  </w:num>
  <w:num w:numId="27">
    <w:abstractNumId w:val="11"/>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234CF"/>
    <w:rsid w:val="0002736A"/>
    <w:rsid w:val="00041E9E"/>
    <w:rsid w:val="00046450"/>
    <w:rsid w:val="00056C2E"/>
    <w:rsid w:val="000648D9"/>
    <w:rsid w:val="00067C06"/>
    <w:rsid w:val="00093D2B"/>
    <w:rsid w:val="000A2025"/>
    <w:rsid w:val="000A38D0"/>
    <w:rsid w:val="000B1FFF"/>
    <w:rsid w:val="000B5DD5"/>
    <w:rsid w:val="000E4B7D"/>
    <w:rsid w:val="000F6BB1"/>
    <w:rsid w:val="00103B40"/>
    <w:rsid w:val="00165274"/>
    <w:rsid w:val="00174E6B"/>
    <w:rsid w:val="00174F0F"/>
    <w:rsid w:val="001762DC"/>
    <w:rsid w:val="0018080B"/>
    <w:rsid w:val="001A6E4A"/>
    <w:rsid w:val="001B00A3"/>
    <w:rsid w:val="001B58C4"/>
    <w:rsid w:val="001C1CD8"/>
    <w:rsid w:val="001C50AA"/>
    <w:rsid w:val="001D0BC0"/>
    <w:rsid w:val="001F20F4"/>
    <w:rsid w:val="00230AA1"/>
    <w:rsid w:val="002363BA"/>
    <w:rsid w:val="00290778"/>
    <w:rsid w:val="002B1E31"/>
    <w:rsid w:val="002B2A4A"/>
    <w:rsid w:val="002C4E48"/>
    <w:rsid w:val="002E7108"/>
    <w:rsid w:val="00300C49"/>
    <w:rsid w:val="003016A3"/>
    <w:rsid w:val="00337D91"/>
    <w:rsid w:val="0034158F"/>
    <w:rsid w:val="00343DB2"/>
    <w:rsid w:val="00353784"/>
    <w:rsid w:val="00366911"/>
    <w:rsid w:val="003873F8"/>
    <w:rsid w:val="003B6A9C"/>
    <w:rsid w:val="003D6AC8"/>
    <w:rsid w:val="00406922"/>
    <w:rsid w:val="0041599C"/>
    <w:rsid w:val="00434811"/>
    <w:rsid w:val="00447D7E"/>
    <w:rsid w:val="0046125A"/>
    <w:rsid w:val="004764C9"/>
    <w:rsid w:val="004848B6"/>
    <w:rsid w:val="00485393"/>
    <w:rsid w:val="00496C93"/>
    <w:rsid w:val="004C048E"/>
    <w:rsid w:val="004C4C81"/>
    <w:rsid w:val="004E385B"/>
    <w:rsid w:val="004F26EB"/>
    <w:rsid w:val="004F5BFD"/>
    <w:rsid w:val="00500A2A"/>
    <w:rsid w:val="005061FD"/>
    <w:rsid w:val="00510A3E"/>
    <w:rsid w:val="005161D2"/>
    <w:rsid w:val="0053457A"/>
    <w:rsid w:val="005610C6"/>
    <w:rsid w:val="0056156A"/>
    <w:rsid w:val="00575241"/>
    <w:rsid w:val="00581A7B"/>
    <w:rsid w:val="005A0B65"/>
    <w:rsid w:val="005B2C54"/>
    <w:rsid w:val="005B3921"/>
    <w:rsid w:val="005D345E"/>
    <w:rsid w:val="005F2466"/>
    <w:rsid w:val="00621189"/>
    <w:rsid w:val="0063117A"/>
    <w:rsid w:val="00651E52"/>
    <w:rsid w:val="00680B11"/>
    <w:rsid w:val="006D37DC"/>
    <w:rsid w:val="006D6027"/>
    <w:rsid w:val="006F1808"/>
    <w:rsid w:val="006F38B8"/>
    <w:rsid w:val="00725698"/>
    <w:rsid w:val="00756EBD"/>
    <w:rsid w:val="00762C77"/>
    <w:rsid w:val="00764D73"/>
    <w:rsid w:val="007D0C90"/>
    <w:rsid w:val="007D2953"/>
    <w:rsid w:val="007E6DBA"/>
    <w:rsid w:val="007F252C"/>
    <w:rsid w:val="007F6C7B"/>
    <w:rsid w:val="00804470"/>
    <w:rsid w:val="008071AB"/>
    <w:rsid w:val="008532B6"/>
    <w:rsid w:val="008679E3"/>
    <w:rsid w:val="008766FD"/>
    <w:rsid w:val="008805AB"/>
    <w:rsid w:val="008B46CE"/>
    <w:rsid w:val="008C725F"/>
    <w:rsid w:val="008D2495"/>
    <w:rsid w:val="008D2D71"/>
    <w:rsid w:val="008D52FF"/>
    <w:rsid w:val="008D5F29"/>
    <w:rsid w:val="008E1A45"/>
    <w:rsid w:val="008F46B5"/>
    <w:rsid w:val="009461CE"/>
    <w:rsid w:val="00946909"/>
    <w:rsid w:val="00951D3D"/>
    <w:rsid w:val="009570C6"/>
    <w:rsid w:val="00960BC4"/>
    <w:rsid w:val="009642D6"/>
    <w:rsid w:val="00981510"/>
    <w:rsid w:val="009878CD"/>
    <w:rsid w:val="009A0136"/>
    <w:rsid w:val="009D5C32"/>
    <w:rsid w:val="00A03C43"/>
    <w:rsid w:val="00A14D3C"/>
    <w:rsid w:val="00A65418"/>
    <w:rsid w:val="00A91731"/>
    <w:rsid w:val="00AA339A"/>
    <w:rsid w:val="00AA6218"/>
    <w:rsid w:val="00AC74C8"/>
    <w:rsid w:val="00AE0E3A"/>
    <w:rsid w:val="00AE2516"/>
    <w:rsid w:val="00AE4BB1"/>
    <w:rsid w:val="00AF6A9D"/>
    <w:rsid w:val="00B06B81"/>
    <w:rsid w:val="00B1793B"/>
    <w:rsid w:val="00B255FC"/>
    <w:rsid w:val="00B646E9"/>
    <w:rsid w:val="00BA1D57"/>
    <w:rsid w:val="00BE6D84"/>
    <w:rsid w:val="00C04E90"/>
    <w:rsid w:val="00C35E82"/>
    <w:rsid w:val="00C51844"/>
    <w:rsid w:val="00C6292D"/>
    <w:rsid w:val="00C63F86"/>
    <w:rsid w:val="00C706D9"/>
    <w:rsid w:val="00C75A71"/>
    <w:rsid w:val="00C90C17"/>
    <w:rsid w:val="00C955F3"/>
    <w:rsid w:val="00CA0F11"/>
    <w:rsid w:val="00CB3B0B"/>
    <w:rsid w:val="00CC7D75"/>
    <w:rsid w:val="00CE4335"/>
    <w:rsid w:val="00D2677E"/>
    <w:rsid w:val="00D27481"/>
    <w:rsid w:val="00D36E58"/>
    <w:rsid w:val="00D42CDB"/>
    <w:rsid w:val="00D43439"/>
    <w:rsid w:val="00D501A7"/>
    <w:rsid w:val="00D71CB8"/>
    <w:rsid w:val="00D73C64"/>
    <w:rsid w:val="00D83109"/>
    <w:rsid w:val="00D85992"/>
    <w:rsid w:val="00D85B11"/>
    <w:rsid w:val="00DA3B55"/>
    <w:rsid w:val="00DD3A5F"/>
    <w:rsid w:val="00E42CC1"/>
    <w:rsid w:val="00E44DDC"/>
    <w:rsid w:val="00E52FA2"/>
    <w:rsid w:val="00E853AA"/>
    <w:rsid w:val="00E86C49"/>
    <w:rsid w:val="00E8778C"/>
    <w:rsid w:val="00E945F4"/>
    <w:rsid w:val="00EC0884"/>
    <w:rsid w:val="00EC3F22"/>
    <w:rsid w:val="00ED1F85"/>
    <w:rsid w:val="00ED4EB8"/>
    <w:rsid w:val="00EF5DD3"/>
    <w:rsid w:val="00F1756F"/>
    <w:rsid w:val="00F44ED8"/>
    <w:rsid w:val="00F46D25"/>
    <w:rsid w:val="00F75714"/>
    <w:rsid w:val="00F815E0"/>
    <w:rsid w:val="00F84800"/>
    <w:rsid w:val="00F855BB"/>
    <w:rsid w:val="00F93020"/>
    <w:rsid w:val="00FA166A"/>
    <w:rsid w:val="00FA189F"/>
    <w:rsid w:val="00FA7812"/>
    <w:rsid w:val="00FB3009"/>
    <w:rsid w:val="00FB77A0"/>
    <w:rsid w:val="00FC58D5"/>
    <w:rsid w:val="00FD7CD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endnotes" Target="endnotes.xm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4D05-8C87-F241-8A93-0BEFF747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8</cp:revision>
  <dcterms:created xsi:type="dcterms:W3CDTF">2020-08-10T16:15:00Z</dcterms:created>
  <dcterms:modified xsi:type="dcterms:W3CDTF">2020-08-11T12:10:00Z</dcterms:modified>
</cp:coreProperties>
</file>