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1F70EC0B" w:rsidR="00943205" w:rsidRPr="00CB5F08" w:rsidRDefault="00943205" w:rsidP="0074207C">
      <w:pPr>
        <w:ind w:left="-360" w:right="-360"/>
        <w:outlineLvl w:val="0"/>
        <w:rPr>
          <w:b/>
          <w:bCs/>
        </w:rPr>
      </w:pPr>
      <w:r w:rsidRPr="00CB5F08">
        <w:rPr>
          <w:b/>
          <w:bCs/>
        </w:rPr>
        <w:t xml:space="preserve">Course Number:  </w:t>
      </w:r>
      <w:r w:rsidRPr="00CB5F08">
        <w:t>COUN 791</w:t>
      </w:r>
      <w:r w:rsidR="00660DA4">
        <w:t>6</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365E4755" w:rsidR="00943205" w:rsidRPr="00CB5F08" w:rsidRDefault="00943205" w:rsidP="00943205">
      <w:pPr>
        <w:ind w:left="1440" w:right="-360" w:hanging="1800"/>
      </w:pPr>
      <w:r w:rsidRPr="00CB5F08">
        <w:rPr>
          <w:b/>
          <w:bCs/>
        </w:rPr>
        <w:t>Prerequisites:</w:t>
      </w:r>
      <w:r w:rsidRPr="00CB5F08">
        <w:tab/>
        <w:t>COUN 732</w:t>
      </w:r>
      <w:r w:rsidR="00660DA4">
        <w:t>6</w:t>
      </w:r>
      <w:r w:rsidRPr="00CB5F08">
        <w:t>, 735</w:t>
      </w:r>
      <w:r w:rsidR="00660DA4">
        <w:t>6</w:t>
      </w:r>
      <w:r w:rsidRPr="00CB5F08">
        <w:t>, 795</w:t>
      </w:r>
      <w:r w:rsidR="00660DA4">
        <w:t>6</w:t>
      </w:r>
      <w:r w:rsidRPr="00CB5F08">
        <w:t>; Departmental approval.  Students must notify practicum coordinator one semester in advance of registering for COUN 791</w:t>
      </w:r>
      <w:r w:rsidR="00660DA4">
        <w:t>6</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38B97507" w:rsidR="00943205" w:rsidRPr="00CB5F08" w:rsidRDefault="00943205" w:rsidP="00943205">
      <w:pPr>
        <w:ind w:left="-360" w:right="-360"/>
      </w:pPr>
      <w:r w:rsidRPr="00CB5F08">
        <w:rPr>
          <w:b/>
        </w:rPr>
        <w:t>Instructor:</w:t>
      </w:r>
      <w:r w:rsidRPr="00CB5F08">
        <w:tab/>
      </w:r>
      <w:r w:rsidR="00F4526E">
        <w:t>Julie C. Hill</w:t>
      </w:r>
      <w:r w:rsidRPr="00CB5F08">
        <w:t>, PhD, NCC</w:t>
      </w:r>
      <w:r w:rsidR="00F4526E">
        <w:t>, CRC</w:t>
      </w:r>
    </w:p>
    <w:p w14:paraId="371EFEB6" w14:textId="3C295333" w:rsidR="00943205" w:rsidRPr="00CB5F08" w:rsidRDefault="00943205" w:rsidP="00943205">
      <w:pPr>
        <w:ind w:left="360" w:right="-360" w:firstLine="1080"/>
      </w:pPr>
      <w:r w:rsidRPr="00CB5F08">
        <w:t>20</w:t>
      </w:r>
      <w:r w:rsidR="00F4526E">
        <w:t>08</w:t>
      </w:r>
      <w:r w:rsidRPr="00CB5F08">
        <w:t xml:space="preserve"> Haley Center </w:t>
      </w:r>
    </w:p>
    <w:p w14:paraId="3B1E6D00" w14:textId="5E6D3A54" w:rsidR="00943205" w:rsidRPr="00CB5F08" w:rsidRDefault="00943205" w:rsidP="00943205">
      <w:pPr>
        <w:ind w:left="-360" w:right="-360"/>
      </w:pPr>
      <w:r w:rsidRPr="00CB5F08">
        <w:tab/>
      </w:r>
      <w:r w:rsidRPr="00CB5F08">
        <w:tab/>
      </w:r>
      <w:r w:rsidRPr="00CB5F08">
        <w:tab/>
      </w:r>
      <w:hyperlink r:id="rId5" w:history="1">
        <w:r w:rsidR="00067D29" w:rsidRPr="00A524FB">
          <w:rPr>
            <w:rStyle w:val="Hyperlink"/>
          </w:rPr>
          <w:t>jch0153@auburn.edu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4D9FA901"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on T</w:t>
      </w:r>
      <w:r w:rsidR="00660DA4">
        <w:t>hur</w:t>
      </w:r>
      <w:r>
        <w:t xml:space="preserve">sdays from </w:t>
      </w:r>
      <w:r w:rsidR="00660DA4">
        <w:t>6</w:t>
      </w:r>
      <w:r>
        <w:t>:</w:t>
      </w:r>
      <w:r w:rsidR="00660DA4">
        <w:t>3</w:t>
      </w:r>
      <w:r>
        <w:t>0pm-</w:t>
      </w:r>
      <w:r w:rsidR="00660DA4">
        <w:t>8</w:t>
      </w:r>
      <w:r>
        <w:t>:</w:t>
      </w:r>
      <w:r w:rsidR="00660DA4">
        <w:t>0</w:t>
      </w:r>
      <w:r>
        <w:t xml:space="preserve">0pm via Zoom. </w:t>
      </w:r>
    </w:p>
    <w:p w14:paraId="06F00622" w14:textId="77777777" w:rsidR="00FF3F9D" w:rsidRDefault="00FF3F9D" w:rsidP="0074207C">
      <w:pPr>
        <w:ind w:left="-360" w:right="-360"/>
        <w:outlineLvl w:val="0"/>
        <w:rPr>
          <w:b/>
          <w:bCs/>
        </w:rPr>
      </w:pPr>
    </w:p>
    <w:p w14:paraId="78611471" w14:textId="69233689" w:rsidR="00943205" w:rsidRPr="00CB5F08" w:rsidRDefault="00943205" w:rsidP="0074207C">
      <w:pPr>
        <w:ind w:left="-360" w:right="-360"/>
        <w:outlineLvl w:val="0"/>
      </w:pPr>
      <w:r w:rsidRPr="00CB5F08">
        <w:rPr>
          <w:b/>
          <w:bCs/>
        </w:rPr>
        <w:t>Date Syllabus Prepared:</w:t>
      </w:r>
      <w:r w:rsidRPr="00CB5F08">
        <w:t xml:space="preserve"> </w:t>
      </w:r>
      <w:r w:rsidR="00F4526E">
        <w:t>July 2020</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t xml:space="preserve">Supervised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 xml:space="preserve">counseling experiences in which students serve as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counselors at pre-arranged sites</w:t>
      </w:r>
      <w:r w:rsidRPr="00CB5F08">
        <w:rPr>
          <w:rFonts w:ascii="Times New Roman" w:hAnsi="Times New Roman" w:cs="Times New Roman"/>
          <w:sz w:val="24"/>
          <w:szCs w:val="24"/>
        </w:rPr>
        <w:t xml:space="preserve"> </w:t>
      </w:r>
      <w:r w:rsidRPr="00CB5F08">
        <w:rPr>
          <w:rFonts w:ascii="Times New Roman" w:hAnsi="Times New Roman" w:cs="Times New Roman"/>
          <w:color w:val="000000"/>
          <w:sz w:val="24"/>
          <w:szCs w:val="24"/>
        </w:rPr>
        <w:t xml:space="preserve">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3FFD55F" w:rsidR="00943205"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related topics pertinent to the stages of the counseling practice, such as relationship building, case conceptualization, </w:t>
      </w:r>
      <w:r w:rsidR="00F4526E">
        <w:t>intervention</w:t>
      </w:r>
      <w:r w:rsidRPr="00CB5F08">
        <w:t xml:space="preserve">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38A9982C" w14:textId="7D01E234" w:rsidR="00F4526E" w:rsidRDefault="00F4526E" w:rsidP="00F4526E">
      <w:pPr>
        <w:autoSpaceDE w:val="0"/>
        <w:autoSpaceDN w:val="0"/>
        <w:adjustRightInd w:val="0"/>
        <w:ind w:right="-360"/>
      </w:pPr>
    </w:p>
    <w:p w14:paraId="4C4FE637" w14:textId="303FB99A" w:rsidR="00F4526E" w:rsidRDefault="00F4526E" w:rsidP="00F4526E">
      <w:pPr>
        <w:autoSpaceDE w:val="0"/>
        <w:autoSpaceDN w:val="0"/>
        <w:adjustRightInd w:val="0"/>
        <w:ind w:right="-360"/>
      </w:pPr>
    </w:p>
    <w:p w14:paraId="17C018D2" w14:textId="3F84FBE4" w:rsidR="00F4526E" w:rsidRDefault="00F4526E" w:rsidP="00F4526E">
      <w:pPr>
        <w:autoSpaceDE w:val="0"/>
        <w:autoSpaceDN w:val="0"/>
        <w:adjustRightInd w:val="0"/>
        <w:ind w:right="-360"/>
      </w:pPr>
    </w:p>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54C5535F" w14:textId="311C4811"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A75BDE4" w14:textId="77777777" w:rsidR="00FF3F9D" w:rsidRPr="00CB5F08" w:rsidRDefault="00FF3F9D" w:rsidP="00F4526E">
      <w:pPr>
        <w:autoSpaceDE w:val="0"/>
        <w:autoSpaceDN w:val="0"/>
        <w:adjustRightInd w:val="0"/>
        <w:ind w:right="-360"/>
      </w:pP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4526E">
        <w:trPr>
          <w:trHeight w:hRule="exact" w:val="2791"/>
        </w:trPr>
        <w:tc>
          <w:tcPr>
            <w:tcW w:w="4330" w:type="dxa"/>
            <w:tcBorders>
              <w:top w:val="single" w:sz="4" w:space="0" w:color="000000"/>
              <w:left w:val="single" w:sz="4" w:space="0" w:color="000000"/>
              <w:bottom w:val="single" w:sz="4" w:space="0" w:color="000000"/>
              <w:right w:val="single" w:sz="4" w:space="0" w:color="000000"/>
            </w:tcBorders>
          </w:tcPr>
          <w:p w14:paraId="37228389" w14:textId="6D827EAA"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 xml:space="preserve">Students </w:t>
            </w:r>
            <w:r w:rsidR="00F4526E" w:rsidRPr="00F4526E">
              <w:rPr>
                <w:spacing w:val="-1"/>
                <w:sz w:val="22"/>
                <w:szCs w:val="22"/>
              </w:rPr>
              <w:t xml:space="preserve">will </w:t>
            </w:r>
            <w:r w:rsidRPr="00F4526E">
              <w:rPr>
                <w:spacing w:val="-1"/>
                <w:sz w:val="22"/>
                <w:szCs w:val="22"/>
              </w:rPr>
              <w:t>complete supervised counseling practicum experiences that total a minimum of 100 clock hours over a full academic term that is a minimum of</w:t>
            </w:r>
            <w:r w:rsidR="007D2327" w:rsidRPr="00F4526E">
              <w:rPr>
                <w:spacing w:val="-1"/>
                <w:sz w:val="22"/>
                <w:szCs w:val="22"/>
              </w:rPr>
              <w:t xml:space="preserve"> 10</w:t>
            </w:r>
            <w:r w:rsidRPr="00F4526E">
              <w:rPr>
                <w:spacing w:val="-1"/>
                <w:sz w:val="22"/>
                <w:szCs w:val="22"/>
              </w:rPr>
              <w:t xml:space="preserve"> weeks. Practicum students complete at least 40 clock hours of direct service with actual clients that contributes to the development of counseling skills</w:t>
            </w:r>
            <w:r w:rsidR="00F4526E" w:rsidRPr="00F4526E">
              <w:rPr>
                <w:spacing w:val="-1"/>
                <w:sz w:val="22"/>
                <w:szCs w:val="22"/>
              </w:rPr>
              <w:t>. If possible, 10 of those 40 hours of direct service should be in a group setting</w:t>
            </w:r>
            <w:r w:rsidRPr="00F4526E">
              <w:rPr>
                <w:sz w:val="22"/>
                <w:szCs w:val="22"/>
              </w:rPr>
              <w:t xml:space="preserve"> </w:t>
            </w:r>
            <w:r w:rsidRPr="00F4526E">
              <w:rPr>
                <w:spacing w:val="-1"/>
                <w:sz w:val="22"/>
                <w:szCs w:val="22"/>
              </w:rPr>
              <w:t>(2016</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 xml:space="preserve">Sec. </w:t>
            </w:r>
            <w:r w:rsidRPr="00F4526E">
              <w:rPr>
                <w:spacing w:val="-1"/>
                <w:sz w:val="22"/>
                <w:szCs w:val="22"/>
              </w:rPr>
              <w:t xml:space="preserve">3 F </w:t>
            </w:r>
            <w:r w:rsidRPr="00F4526E">
              <w:rPr>
                <w:sz w:val="22"/>
                <w:szCs w:val="22"/>
              </w:rPr>
              <w:t>and</w:t>
            </w:r>
            <w:r w:rsidRPr="00F4526E">
              <w:rPr>
                <w:spacing w:val="-2"/>
                <w:sz w:val="22"/>
                <w:szCs w:val="22"/>
              </w:rPr>
              <w:t xml:space="preserve"> </w:t>
            </w:r>
            <w:r w:rsidRPr="00F4526E">
              <w:rPr>
                <w:sz w:val="22"/>
                <w:szCs w:val="22"/>
              </w:rPr>
              <w:t>G).</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documenting all indirect and direct hours completed.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4EB8B780"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lastRenderedPageBreak/>
              <w:t xml:space="preserve">In addition to the development of individual counseling skills, during either the practicum or internship, students must lead or co-lead a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00943205" w:rsidP="00943205">
      <w:pPr>
        <w:pStyle w:val="ListParagraph"/>
        <w:numPr>
          <w:ilvl w:val="0"/>
          <w:numId w:val="1"/>
        </w:numPr>
        <w:autoSpaceDE w:val="0"/>
        <w:autoSpaceDN w:val="0"/>
        <w:adjustRightInd w:val="0"/>
        <w:ind w:left="-360" w:right="-360"/>
        <w:rPr>
          <w:b/>
          <w:bCs/>
        </w:rPr>
      </w:pPr>
      <w:r w:rsidRPr="00CB5F08">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21915795" w:rsidR="00731BD8" w:rsidRPr="00CB5F08" w:rsidRDefault="00943205" w:rsidP="00731BD8">
            <w:pPr>
              <w:pStyle w:val="NoSpacing"/>
              <w:contextualSpacing/>
              <w:jc w:val="center"/>
            </w:pPr>
            <w:r w:rsidRPr="00CB5F08">
              <w:t xml:space="preserve">Week </w:t>
            </w:r>
            <w:r w:rsidR="00A109CE">
              <w:t>1</w:t>
            </w:r>
          </w:p>
          <w:p w14:paraId="28D49A08" w14:textId="349244A8" w:rsidR="00943205" w:rsidRPr="00CB5F08" w:rsidRDefault="00943205" w:rsidP="00731BD8">
            <w:pPr>
              <w:pStyle w:val="NoSpacing"/>
              <w:contextualSpacing/>
              <w:jc w:val="center"/>
            </w:pPr>
            <w:r w:rsidRPr="00CB5F08">
              <w:t xml:space="preserve">August </w:t>
            </w:r>
            <w:r w:rsidR="00A109CE">
              <w:t>18th</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4937359E" w:rsidR="00943205" w:rsidRPr="00CB5F08" w:rsidRDefault="00943205" w:rsidP="00C7667A">
            <w:pPr>
              <w:pStyle w:val="NoSpacing"/>
              <w:jc w:val="center"/>
            </w:pPr>
          </w:p>
        </w:tc>
      </w:tr>
      <w:tr w:rsidR="00943205" w:rsidRPr="00CB5F08" w14:paraId="76FD7234" w14:textId="77777777" w:rsidTr="00C7667A">
        <w:trPr>
          <w:trHeight w:val="113"/>
        </w:trPr>
        <w:tc>
          <w:tcPr>
            <w:tcW w:w="2942" w:type="dxa"/>
          </w:tcPr>
          <w:p w14:paraId="6CDA9447" w14:textId="5FD9A1DB" w:rsidR="00731BD8" w:rsidRPr="00CB5F08" w:rsidRDefault="00943205" w:rsidP="00731BD8">
            <w:pPr>
              <w:pStyle w:val="NoSpacing"/>
              <w:contextualSpacing/>
              <w:jc w:val="center"/>
            </w:pPr>
            <w:r w:rsidRPr="00CB5F08">
              <w:t xml:space="preserve">Week 2  </w:t>
            </w:r>
          </w:p>
          <w:p w14:paraId="239D0C38" w14:textId="473AC17C" w:rsidR="00943205" w:rsidRPr="00CB5F08" w:rsidRDefault="00943205" w:rsidP="00731BD8">
            <w:pPr>
              <w:pStyle w:val="NoSpacing"/>
              <w:contextualSpacing/>
              <w:jc w:val="center"/>
            </w:pPr>
            <w:r w:rsidRPr="00CB5F08">
              <w:t>August 2</w:t>
            </w:r>
            <w:r w:rsidR="00660DA4">
              <w:t>7</w:t>
            </w:r>
            <w:r w:rsidR="00660DA4">
              <w:rPr>
                <w:vertAlign w:val="superscript"/>
              </w:rPr>
              <w:t>t</w:t>
            </w:r>
            <w:r w:rsidR="00731BD8" w:rsidRPr="00CB5F08">
              <w:rPr>
                <w:vertAlign w:val="superscript"/>
              </w:rPr>
              <w:t>h</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6C8CF770" w14:textId="3153A6DC" w:rsidR="00170B0F" w:rsidRPr="00170B0F" w:rsidRDefault="00067D29" w:rsidP="00C7667A">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tc>
      </w:tr>
      <w:tr w:rsidR="00943205" w:rsidRPr="00CB5F08" w14:paraId="75D062A0" w14:textId="77777777" w:rsidTr="00C7667A">
        <w:trPr>
          <w:trHeight w:val="113"/>
        </w:trPr>
        <w:tc>
          <w:tcPr>
            <w:tcW w:w="2942" w:type="dxa"/>
          </w:tcPr>
          <w:p w14:paraId="5AEA8EA4" w14:textId="3B2332C7" w:rsidR="00731BD8" w:rsidRPr="00CB5F08" w:rsidRDefault="00943205" w:rsidP="00731BD8">
            <w:pPr>
              <w:pStyle w:val="NoSpacing"/>
              <w:contextualSpacing/>
              <w:jc w:val="center"/>
            </w:pPr>
            <w:r w:rsidRPr="00CB5F08">
              <w:t xml:space="preserve">Week 3  </w:t>
            </w:r>
          </w:p>
          <w:p w14:paraId="74133218" w14:textId="5B847F08" w:rsidR="00943205" w:rsidRPr="00CB5F08" w:rsidRDefault="00731BD8" w:rsidP="00731BD8">
            <w:pPr>
              <w:pStyle w:val="NoSpacing"/>
              <w:contextualSpacing/>
              <w:jc w:val="center"/>
            </w:pPr>
            <w:r w:rsidRPr="00CB5F08">
              <w:t xml:space="preserve">September </w:t>
            </w:r>
            <w:r w:rsidR="00660DA4">
              <w:t>3</w:t>
            </w:r>
            <w:r w:rsidR="00660DA4" w:rsidRPr="00660DA4">
              <w:rPr>
                <w:vertAlign w:val="superscript"/>
              </w:rPr>
              <w:t>rd</w:t>
            </w:r>
            <w:r w:rsidR="00660DA4">
              <w:t xml:space="preserve"> </w:t>
            </w:r>
            <w:r w:rsidR="00A109CE">
              <w:t xml:space="preserve"> </w:t>
            </w:r>
            <w:r w:rsidR="00FD2BC3">
              <w:t xml:space="preserve"> </w:t>
            </w:r>
          </w:p>
          <w:p w14:paraId="1F75B0A4" w14:textId="77777777" w:rsidR="00943205" w:rsidRPr="00CB5F08" w:rsidRDefault="00943205" w:rsidP="00C7667A">
            <w:pPr>
              <w:pStyle w:val="NoSpacing"/>
              <w:jc w:val="center"/>
            </w:pPr>
          </w:p>
        </w:tc>
        <w:tc>
          <w:tcPr>
            <w:tcW w:w="2942" w:type="dxa"/>
          </w:tcPr>
          <w:p w14:paraId="0106490A" w14:textId="5C717AFF" w:rsidR="00943205" w:rsidRPr="00CB5F08" w:rsidRDefault="00067D29" w:rsidP="00C7667A">
            <w:pPr>
              <w:pStyle w:val="NoSpacing"/>
              <w:jc w:val="center"/>
            </w:pPr>
            <w:r>
              <w:t>Review of relevant theories (MI, BSFT, CBT)</w:t>
            </w:r>
          </w:p>
        </w:tc>
        <w:tc>
          <w:tcPr>
            <w:tcW w:w="2942" w:type="dxa"/>
          </w:tcPr>
          <w:p w14:paraId="692CC6B8" w14:textId="1CC79A6D" w:rsidR="00B0116F" w:rsidRPr="00CB5F08" w:rsidRDefault="00067D29" w:rsidP="00987368">
            <w:pPr>
              <w:pStyle w:val="NoSpacing"/>
              <w:ind w:left="420"/>
              <w:jc w:val="center"/>
            </w:pPr>
            <w:r w:rsidRPr="00170B0F">
              <w:rPr>
                <w:b/>
              </w:rPr>
              <w:t>M</w:t>
            </w:r>
            <w:r>
              <w:rPr>
                <w:b/>
              </w:rPr>
              <w:t>andated reporter t</w:t>
            </w:r>
            <w:r w:rsidRPr="00170B0F">
              <w:rPr>
                <w:b/>
              </w:rPr>
              <w:t>raining due</w:t>
            </w:r>
          </w:p>
        </w:tc>
      </w:tr>
      <w:tr w:rsidR="00943205" w:rsidRPr="00CB5F08" w14:paraId="778F28C1" w14:textId="77777777" w:rsidTr="00C7667A">
        <w:trPr>
          <w:trHeight w:val="575"/>
        </w:trPr>
        <w:tc>
          <w:tcPr>
            <w:tcW w:w="2942" w:type="dxa"/>
          </w:tcPr>
          <w:p w14:paraId="313DFF41" w14:textId="04736CE3" w:rsidR="00731BD8" w:rsidRPr="00CB5F08" w:rsidRDefault="00943205" w:rsidP="00731BD8">
            <w:pPr>
              <w:pStyle w:val="NoSpacing"/>
              <w:contextualSpacing/>
              <w:jc w:val="center"/>
            </w:pPr>
            <w:r w:rsidRPr="00CB5F08">
              <w:t xml:space="preserve">Week 4 </w:t>
            </w:r>
          </w:p>
          <w:p w14:paraId="56647B00" w14:textId="2047EF23" w:rsidR="00943205" w:rsidRPr="00CB5F08" w:rsidRDefault="00943205" w:rsidP="00731BD8">
            <w:pPr>
              <w:pStyle w:val="NoSpacing"/>
              <w:contextualSpacing/>
              <w:jc w:val="center"/>
            </w:pPr>
            <w:r w:rsidRPr="00CB5F08">
              <w:t xml:space="preserve">September </w:t>
            </w:r>
            <w:r w:rsidR="00660DA4">
              <w:t>10</w:t>
            </w:r>
            <w:r w:rsidR="00FD2BC3" w:rsidRPr="00FD2BC3">
              <w:rPr>
                <w:vertAlign w:val="superscript"/>
              </w:rPr>
              <w:t>th</w:t>
            </w:r>
            <w:r w:rsidR="00FD2BC3">
              <w:t xml:space="preserve"> </w:t>
            </w:r>
            <w:r w:rsidR="00415A90">
              <w:t xml:space="preserve"> </w:t>
            </w:r>
          </w:p>
        </w:tc>
        <w:tc>
          <w:tcPr>
            <w:tcW w:w="2942" w:type="dxa"/>
          </w:tcPr>
          <w:p w14:paraId="220617A8" w14:textId="4408BCDE" w:rsidR="00943205" w:rsidRPr="00CB5F08" w:rsidRDefault="00067D29" w:rsidP="00C7667A">
            <w:pPr>
              <w:pStyle w:val="NoSpacing"/>
              <w:jc w:val="center"/>
            </w:pPr>
            <w:r>
              <w:t>Review of relevant theories (MI, BSFT, CBT)</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C7667A">
        <w:trPr>
          <w:trHeight w:val="440"/>
        </w:trPr>
        <w:tc>
          <w:tcPr>
            <w:tcW w:w="2942" w:type="dxa"/>
          </w:tcPr>
          <w:p w14:paraId="5460F800" w14:textId="34CFACE2" w:rsidR="00731BD8" w:rsidRPr="00CB5F08" w:rsidRDefault="00943205" w:rsidP="00731BD8">
            <w:pPr>
              <w:pStyle w:val="NoSpacing"/>
              <w:contextualSpacing/>
              <w:jc w:val="center"/>
            </w:pPr>
            <w:r w:rsidRPr="00CB5F08">
              <w:t>Week 5</w:t>
            </w:r>
          </w:p>
          <w:p w14:paraId="4A1B77C3" w14:textId="6155A4BF" w:rsidR="00943205" w:rsidRPr="00CB5F08" w:rsidRDefault="00943205" w:rsidP="00731BD8">
            <w:pPr>
              <w:pStyle w:val="NoSpacing"/>
              <w:contextualSpacing/>
              <w:jc w:val="center"/>
            </w:pPr>
            <w:r w:rsidRPr="00CB5F08">
              <w:t>September 1</w:t>
            </w:r>
            <w:r w:rsidR="00660DA4">
              <w:t>7</w:t>
            </w:r>
            <w:r w:rsidR="00731BD8" w:rsidRPr="00415A90">
              <w:rPr>
                <w:vertAlign w:val="superscript"/>
              </w:rPr>
              <w:t>th</w:t>
            </w:r>
            <w:r w:rsidR="00415A90">
              <w:t xml:space="preserve"> </w:t>
            </w:r>
          </w:p>
        </w:tc>
        <w:tc>
          <w:tcPr>
            <w:tcW w:w="2942" w:type="dxa"/>
          </w:tcPr>
          <w:p w14:paraId="138F67E0" w14:textId="62FB2034" w:rsidR="00943205" w:rsidRDefault="00067D29" w:rsidP="00C7667A">
            <w:pPr>
              <w:pStyle w:val="NoSpacing"/>
              <w:jc w:val="center"/>
            </w:pPr>
            <w:r>
              <w:t>Rehabilitation Counselor Identity Development</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C7667A">
        <w:trPr>
          <w:trHeight w:val="113"/>
        </w:trPr>
        <w:tc>
          <w:tcPr>
            <w:tcW w:w="2942" w:type="dxa"/>
          </w:tcPr>
          <w:p w14:paraId="50E0745A" w14:textId="2010CEF3" w:rsidR="0083540A" w:rsidRPr="00CB5F08" w:rsidRDefault="00943205" w:rsidP="0083540A">
            <w:pPr>
              <w:pStyle w:val="NoSpacing"/>
              <w:contextualSpacing/>
              <w:jc w:val="center"/>
            </w:pPr>
            <w:r w:rsidRPr="00CB5F08">
              <w:t>Week 6</w:t>
            </w:r>
          </w:p>
          <w:p w14:paraId="484E4EE1" w14:textId="77777777" w:rsidR="00660DA4" w:rsidRDefault="00943205" w:rsidP="0083540A">
            <w:pPr>
              <w:pStyle w:val="NoSpacing"/>
              <w:contextualSpacing/>
              <w:jc w:val="center"/>
            </w:pPr>
            <w:r w:rsidRPr="00CB5F08">
              <w:t>September 2</w:t>
            </w:r>
            <w:r w:rsidR="00660DA4">
              <w:t>4</w:t>
            </w:r>
            <w:r w:rsidR="00660DA4" w:rsidRPr="00660DA4">
              <w:rPr>
                <w:vertAlign w:val="superscript"/>
              </w:rPr>
              <w:t>th</w:t>
            </w:r>
          </w:p>
          <w:p w14:paraId="4B43DD01" w14:textId="1654A518" w:rsidR="00943205" w:rsidRPr="00CB5F08" w:rsidRDefault="00415A90" w:rsidP="0083540A">
            <w:pPr>
              <w:pStyle w:val="NoSpacing"/>
              <w:contextualSpacing/>
              <w:jc w:val="center"/>
            </w:pPr>
            <w:r>
              <w:t xml:space="preserve"> </w:t>
            </w:r>
          </w:p>
        </w:tc>
        <w:tc>
          <w:tcPr>
            <w:tcW w:w="2942" w:type="dxa"/>
          </w:tcPr>
          <w:p w14:paraId="720E43C2" w14:textId="6F4A6994" w:rsidR="00943205" w:rsidRPr="00CB5F08" w:rsidRDefault="00D90D56" w:rsidP="00C7667A">
            <w:pPr>
              <w:pStyle w:val="NoSpacing"/>
              <w:jc w:val="center"/>
            </w:pPr>
            <w:r w:rsidRPr="00CB5F08">
              <w:t>Case Conceptualizations</w:t>
            </w:r>
            <w:r>
              <w:t xml:space="preserve"> &amp; group feedback</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C7667A">
        <w:trPr>
          <w:trHeight w:val="467"/>
        </w:trPr>
        <w:tc>
          <w:tcPr>
            <w:tcW w:w="2942" w:type="dxa"/>
          </w:tcPr>
          <w:p w14:paraId="0CDE9730" w14:textId="11FC6515" w:rsidR="0083540A" w:rsidRPr="00CB5F08" w:rsidRDefault="00943205" w:rsidP="007E4AB6">
            <w:pPr>
              <w:pStyle w:val="NoSpacing"/>
              <w:contextualSpacing/>
              <w:jc w:val="center"/>
            </w:pPr>
            <w:r w:rsidRPr="00CB5F08">
              <w:t>Week 7</w:t>
            </w:r>
          </w:p>
          <w:p w14:paraId="3AF7B0E1" w14:textId="24238861" w:rsidR="00943205" w:rsidRPr="00CB5F08" w:rsidRDefault="00660DA4" w:rsidP="007E4AB6">
            <w:pPr>
              <w:pStyle w:val="NoSpacing"/>
              <w:contextualSpacing/>
              <w:jc w:val="center"/>
            </w:pPr>
            <w:r>
              <w:t>October 1</w:t>
            </w:r>
            <w:r w:rsidRPr="00660DA4">
              <w:rPr>
                <w:vertAlign w:val="superscript"/>
              </w:rPr>
              <w:t>st</w:t>
            </w:r>
            <w:r>
              <w:t xml:space="preserve"> </w:t>
            </w:r>
            <w:r w:rsidR="00A109CE">
              <w:t xml:space="preserve"> </w:t>
            </w:r>
            <w:r w:rsidR="00176B27">
              <w:t xml:space="preserve"> </w:t>
            </w:r>
          </w:p>
        </w:tc>
        <w:tc>
          <w:tcPr>
            <w:tcW w:w="2942" w:type="dxa"/>
          </w:tcPr>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C7667A">
        <w:trPr>
          <w:trHeight w:val="113"/>
        </w:trPr>
        <w:tc>
          <w:tcPr>
            <w:tcW w:w="2942" w:type="dxa"/>
          </w:tcPr>
          <w:p w14:paraId="0727B95F" w14:textId="19944D31" w:rsidR="007E4AB6" w:rsidRPr="00CB5F08" w:rsidRDefault="00943205" w:rsidP="007E4AB6">
            <w:pPr>
              <w:pStyle w:val="NoSpacing"/>
              <w:contextualSpacing/>
              <w:jc w:val="center"/>
            </w:pPr>
            <w:r w:rsidRPr="00CB5F08">
              <w:t xml:space="preserve">Week 8 </w:t>
            </w:r>
          </w:p>
          <w:p w14:paraId="78D65F22" w14:textId="136DC4B5" w:rsidR="00943205" w:rsidRPr="00CB5F08" w:rsidRDefault="00943205" w:rsidP="007E4AB6">
            <w:pPr>
              <w:pStyle w:val="NoSpacing"/>
              <w:contextualSpacing/>
              <w:jc w:val="center"/>
            </w:pPr>
            <w:r w:rsidRPr="00CB5F08">
              <w:t xml:space="preserve">October </w:t>
            </w:r>
            <w:r w:rsidR="00660DA4">
              <w:t>8</w:t>
            </w:r>
            <w:r w:rsidR="007E4AB6" w:rsidRPr="00415A90">
              <w:rPr>
                <w:vertAlign w:val="superscript"/>
              </w:rPr>
              <w:t>th</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7272D0A2" w:rsidR="007E4AB6" w:rsidRPr="00CB5F08" w:rsidRDefault="00943205" w:rsidP="007E4AB6">
            <w:pPr>
              <w:pStyle w:val="NoSpacing"/>
              <w:contextualSpacing/>
              <w:jc w:val="center"/>
            </w:pPr>
            <w:r w:rsidRPr="00CB5F08">
              <w:t xml:space="preserve">Week 9 </w:t>
            </w:r>
          </w:p>
          <w:p w14:paraId="20A2F5E3" w14:textId="67B41743" w:rsidR="00943205" w:rsidRPr="00CB5F08" w:rsidRDefault="00943205" w:rsidP="007E4AB6">
            <w:pPr>
              <w:pStyle w:val="NoSpacing"/>
              <w:contextualSpacing/>
              <w:jc w:val="center"/>
            </w:pPr>
            <w:r w:rsidRPr="00CB5F08">
              <w:t>October 1</w:t>
            </w:r>
            <w:r w:rsidR="00660DA4">
              <w:t>5</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0C7A56F0" w:rsidR="00943205" w:rsidRPr="00CB5F08" w:rsidRDefault="00943205" w:rsidP="00C7667A">
            <w:pPr>
              <w:pStyle w:val="NoSpacing"/>
              <w:jc w:val="center"/>
            </w:pPr>
            <w:r w:rsidRPr="00CB5F08">
              <w:t xml:space="preserve">Week 10 </w:t>
            </w:r>
            <w:r w:rsidR="007E4AB6" w:rsidRPr="00CB5F08">
              <w:br/>
            </w:r>
            <w:r w:rsidRPr="00CB5F08">
              <w:t xml:space="preserve"> October </w:t>
            </w:r>
            <w:r w:rsidR="00DD701F">
              <w:t>2</w:t>
            </w:r>
            <w:r w:rsidR="00660DA4">
              <w:t>2</w:t>
            </w:r>
            <w:r w:rsidR="00660DA4" w:rsidRPr="00660DA4">
              <w:rPr>
                <w:vertAlign w:val="superscript"/>
              </w:rPr>
              <w:t>nd</w:t>
            </w:r>
            <w:r w:rsidR="00660DA4">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0B02AD58" w:rsidR="007E4AB6" w:rsidRPr="00CB5F08" w:rsidRDefault="00943205" w:rsidP="007E4AB6">
            <w:pPr>
              <w:pStyle w:val="NoSpacing"/>
              <w:contextualSpacing/>
              <w:jc w:val="center"/>
            </w:pPr>
            <w:r w:rsidRPr="00CB5F08">
              <w:lastRenderedPageBreak/>
              <w:t>Week 11</w:t>
            </w:r>
          </w:p>
          <w:p w14:paraId="4F0B156D" w14:textId="56419143" w:rsidR="00943205" w:rsidRPr="00CB5F08" w:rsidRDefault="00943205" w:rsidP="007E4AB6">
            <w:pPr>
              <w:pStyle w:val="NoSpacing"/>
              <w:contextualSpacing/>
              <w:jc w:val="center"/>
            </w:pPr>
            <w:r w:rsidRPr="00CB5F08">
              <w:t xml:space="preserve">October </w:t>
            </w:r>
            <w:r w:rsidR="00DD701F">
              <w:t>2</w:t>
            </w:r>
            <w:r w:rsidR="00660DA4">
              <w:t>9</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7ED8FE43" w:rsidR="007E4AB6" w:rsidRPr="00CB5F08" w:rsidRDefault="00943205" w:rsidP="007E4AB6">
            <w:pPr>
              <w:pStyle w:val="NoSpacing"/>
              <w:contextualSpacing/>
              <w:jc w:val="center"/>
            </w:pPr>
            <w:r w:rsidRPr="00CB5F08">
              <w:t xml:space="preserve">Week 12 </w:t>
            </w:r>
          </w:p>
          <w:p w14:paraId="36C3539D" w14:textId="63889207" w:rsidR="00943205" w:rsidRPr="00CB5F08" w:rsidRDefault="00943205" w:rsidP="007E4AB6">
            <w:pPr>
              <w:pStyle w:val="NoSpacing"/>
              <w:contextualSpacing/>
              <w:jc w:val="center"/>
            </w:pPr>
            <w:r w:rsidRPr="00CB5F08">
              <w:t xml:space="preserve">November </w:t>
            </w:r>
            <w:r w:rsidR="00660DA4">
              <w:t>5</w:t>
            </w:r>
            <w:r w:rsidR="00660DA4" w:rsidRPr="00660DA4">
              <w:rPr>
                <w:vertAlign w:val="superscript"/>
              </w:rPr>
              <w:t>th</w:t>
            </w:r>
            <w:r w:rsidR="00660DA4">
              <w:t xml:space="preserve"> </w:t>
            </w:r>
            <w:r w:rsidR="00A109CE">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0055E9A6" w:rsidR="00E9791B" w:rsidRPr="00CB5F08" w:rsidRDefault="00943205" w:rsidP="00E9791B">
            <w:pPr>
              <w:pStyle w:val="NoSpacing"/>
              <w:contextualSpacing/>
              <w:jc w:val="center"/>
            </w:pPr>
            <w:r w:rsidRPr="00CB5F08">
              <w:t xml:space="preserve">Week 13 </w:t>
            </w:r>
          </w:p>
          <w:p w14:paraId="3C0D8EE0" w14:textId="6C5B5734" w:rsidR="00943205" w:rsidRPr="00CB5F08" w:rsidRDefault="00943205" w:rsidP="00E9791B">
            <w:pPr>
              <w:pStyle w:val="NoSpacing"/>
              <w:contextualSpacing/>
              <w:jc w:val="center"/>
            </w:pPr>
            <w:r w:rsidRPr="00CB5F08">
              <w:t xml:space="preserve">November </w:t>
            </w:r>
            <w:r w:rsidR="00E9791B" w:rsidRPr="00CB5F08">
              <w:t>1</w:t>
            </w:r>
            <w:r w:rsidR="00660DA4">
              <w:t>2</w:t>
            </w:r>
            <w:r w:rsidR="00E9791B" w:rsidRPr="00CB5F08">
              <w:rPr>
                <w:vertAlign w:val="superscript"/>
              </w:rPr>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5501EFC4" w:rsidR="00943205" w:rsidRPr="00CB5F08" w:rsidRDefault="00067D29" w:rsidP="00C7667A">
            <w:pPr>
              <w:pStyle w:val="NoSpacing"/>
              <w:jc w:val="center"/>
            </w:pPr>
            <w:r>
              <w:t>TBD</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9AF700A" w:rsidR="00E9791B" w:rsidRPr="00CB5F08" w:rsidRDefault="00943205" w:rsidP="00E9791B">
            <w:pPr>
              <w:pStyle w:val="NoSpacing"/>
              <w:contextualSpacing/>
              <w:jc w:val="center"/>
            </w:pPr>
            <w:r w:rsidRPr="00CB5F08">
              <w:t>Week 1</w:t>
            </w:r>
            <w:r w:rsidR="00A109CE">
              <w:t>4</w:t>
            </w:r>
            <w:r w:rsidRPr="00CB5F08">
              <w:t xml:space="preserve"> </w:t>
            </w:r>
          </w:p>
          <w:p w14:paraId="6F2F06AE" w14:textId="724B28B4" w:rsidR="00943205" w:rsidRPr="00CB5F08" w:rsidRDefault="00EE3E70" w:rsidP="00E9791B">
            <w:pPr>
              <w:pStyle w:val="NoSpacing"/>
              <w:contextualSpacing/>
              <w:jc w:val="center"/>
            </w:pPr>
            <w:r w:rsidRPr="00CB5F08">
              <w:t xml:space="preserve">November </w:t>
            </w:r>
            <w:r w:rsidR="00E60AA1">
              <w:t>1</w:t>
            </w:r>
            <w:r w:rsidR="00660DA4">
              <w:t>9</w:t>
            </w:r>
            <w:r w:rsidRPr="00CB5F08">
              <w:rPr>
                <w:vertAlign w:val="superscript"/>
              </w:rPr>
              <w:t>th</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66B99783" w:rsidR="00943205" w:rsidRPr="00CB5F08" w:rsidRDefault="00067D29" w:rsidP="00C7667A">
            <w:pPr>
              <w:pStyle w:val="NoSpacing"/>
              <w:jc w:val="center"/>
            </w:pPr>
            <w:r>
              <w:t>TBD</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EC0C9C"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6A4FCC4A" w14:textId="009E622B" w:rsidR="00EC0C9C" w:rsidRPr="00CB5F08" w:rsidRDefault="00EC0C9C" w:rsidP="00EC0C9C">
            <w:pPr>
              <w:pStyle w:val="NoSpacing"/>
              <w:contextualSpacing/>
              <w:jc w:val="center"/>
            </w:pPr>
            <w:r w:rsidRPr="00CB5F08">
              <w:t>Week 1</w:t>
            </w:r>
            <w:r w:rsidR="004F3F73">
              <w:t>5</w:t>
            </w:r>
            <w:r w:rsidRPr="00CB5F08">
              <w:t xml:space="preserve"> </w:t>
            </w:r>
          </w:p>
          <w:p w14:paraId="436F80DC" w14:textId="01A6D22A" w:rsidR="00EC0C9C" w:rsidRPr="00CB5F08" w:rsidRDefault="004F3F73" w:rsidP="00EC0C9C">
            <w:pPr>
              <w:pStyle w:val="NoSpacing"/>
              <w:contextualSpacing/>
              <w:jc w:val="center"/>
            </w:pPr>
            <w:r>
              <w:t>November</w:t>
            </w:r>
            <w:r w:rsidR="00EC0C9C">
              <w:t xml:space="preserve"> </w:t>
            </w:r>
            <w:r>
              <w:t>2</w:t>
            </w:r>
            <w:r w:rsidR="00EC0C9C">
              <w:t>3</w:t>
            </w:r>
            <w:r w:rsidR="00EC0C9C" w:rsidRPr="00EC0C9C">
              <w:rPr>
                <w:vertAlign w:val="superscript"/>
              </w:rPr>
              <w:t>rd</w:t>
            </w:r>
            <w:r w:rsidR="00EC0C9C">
              <w:t xml:space="preserve">  </w:t>
            </w:r>
            <w:r w:rsidR="00EC0C9C"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0F12D228" w:rsidR="00EC0C9C" w:rsidRPr="00CB5F08" w:rsidRDefault="00067D29"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14B7F1B8" w14:textId="20ED11C7" w:rsidR="00EC0C9C" w:rsidRPr="00CB5F08" w:rsidRDefault="00EC0C9C" w:rsidP="00EC0C9C">
            <w:pPr>
              <w:pStyle w:val="NoSpacing"/>
              <w:jc w:val="center"/>
              <w:rPr>
                <w:b/>
              </w:rPr>
            </w:pPr>
            <w:r>
              <w:rPr>
                <w:b/>
              </w:rPr>
              <w:t xml:space="preserve">Final </w:t>
            </w:r>
            <w:r w:rsidR="00067D29">
              <w:rPr>
                <w:b/>
              </w:rPr>
              <w:t>E</w:t>
            </w:r>
            <w:r>
              <w:rPr>
                <w:b/>
              </w:rPr>
              <w:t xml:space="preserve">valuations </w:t>
            </w:r>
            <w:r w:rsidR="00067D29">
              <w:rPr>
                <w:b/>
              </w:rPr>
              <w:t>Due</w:t>
            </w:r>
          </w:p>
          <w:p w14:paraId="0A95E663" w14:textId="6FC0EBF8" w:rsidR="00EC0C9C" w:rsidRDefault="00EC0C9C" w:rsidP="00EC0C9C">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12FF32E"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0078571F" w:rsidRPr="0078571F">
        <w:rPr>
          <w:b/>
          <w:bCs/>
        </w:rPr>
        <w:t>8-</w:t>
      </w:r>
      <w:r w:rsidRPr="00CB5F08">
        <w:rPr>
          <w:b/>
        </w:rPr>
        <w:t>10 hours on site per week</w:t>
      </w:r>
      <w:r w:rsidR="00F4526E">
        <w:rPr>
          <w:b/>
        </w:rPr>
        <w:t xml:space="preserve">. </w:t>
      </w:r>
      <w:r w:rsidR="0078571F" w:rsidRPr="00742419">
        <w:rPr>
          <w:bCs/>
          <w:highlight w:val="yellow"/>
        </w:rPr>
        <w:t>Given the uncertainties surrounding COVID 19, it is recommended that students get as many hours as possible earlier in the semester in case of a possible shutdown.</w:t>
      </w:r>
      <w:r w:rsidR="0078571F">
        <w:rPr>
          <w:bCs/>
        </w:rPr>
        <w:t xml:space="preserve"> </w:t>
      </w:r>
      <w:r w:rsidRPr="00CB5F08">
        <w:t>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00943205" w:rsidP="00943205">
      <w:pPr>
        <w:pStyle w:val="ListParagraph"/>
        <w:numPr>
          <w:ilvl w:val="0"/>
          <w:numId w:val="9"/>
        </w:numPr>
        <w:autoSpaceDE w:val="0"/>
        <w:autoSpaceDN w:val="0"/>
        <w:adjustRightInd w:val="0"/>
        <w:ind w:right="-360"/>
      </w:pPr>
      <w:r w:rsidRPr="00FF3F9D">
        <w:rPr>
          <w:b/>
          <w:highlight w:val="yellow"/>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w:t>
      </w:r>
      <w:r w:rsidR="00742419">
        <w:t xml:space="preserve">These samples should be submitted to your university or site supervisor, depending on whom is conducting your weekly supervision. </w:t>
      </w:r>
      <w:r w:rsidRPr="00CB5F08">
        <w:t xml:space="preserve">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3C3F6BBB" w14:textId="1558523D" w:rsidR="004A31CF" w:rsidRPr="00CB5F08" w:rsidRDefault="004A31CF" w:rsidP="00943205">
      <w:pPr>
        <w:tabs>
          <w:tab w:val="left" w:pos="720"/>
        </w:tabs>
        <w:autoSpaceDE w:val="0"/>
        <w:autoSpaceDN w:val="0"/>
        <w:adjustRightInd w:val="0"/>
        <w:ind w:left="1080" w:right="-360"/>
      </w:pPr>
      <w:r>
        <w:t>*Students will submit the Practicum Session Tracking Form each week in Canvas.</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4C7E1A6C"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00943205">
      <w:pPr>
        <w:autoSpaceDE w:val="0"/>
        <w:autoSpaceDN w:val="0"/>
        <w:adjustRightInd w:val="0"/>
        <w:ind w:right="-360" w:hanging="720"/>
      </w:pPr>
    </w:p>
    <w:p w14:paraId="0802F9C6" w14:textId="0A3402AF"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w:t>
      </w:r>
      <w:r w:rsidR="00A109CE">
        <w:t xml:space="preserve"> or site supervisor</w:t>
      </w:r>
      <w:r w:rsidRPr="00CB5F08">
        <w:t xml:space="preserve"> will provide individual supervision weekly.  Prior to this meeting, students should review tapes on their own and complete a typed session summary form for every client weekly.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w:t>
      </w:r>
      <w:r w:rsidR="004A31CF">
        <w:t xml:space="preserve"> Canvas</w:t>
      </w:r>
      <w:r w:rsidRPr="00CB5F08">
        <w:t xml:space="preserve">. Please note that individual supervisors may request additional materials to be </w:t>
      </w:r>
      <w:r w:rsidR="004A31CF">
        <w:t>submitted</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3C49D3F3" w14:textId="4423A737" w:rsidR="009A339E" w:rsidRPr="009A339E" w:rsidRDefault="009A339E" w:rsidP="009A339E">
      <w:pPr>
        <w:tabs>
          <w:tab w:val="left" w:pos="-540"/>
        </w:tabs>
        <w:autoSpaceDE w:val="0"/>
        <w:autoSpaceDN w:val="0"/>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w:t>
      </w:r>
      <w:r w:rsidR="00A109CE">
        <w:rPr>
          <w:b/>
          <w:bCs/>
          <w:i/>
          <w:iCs/>
        </w:rPr>
        <w:t xml:space="preserve"> or site supervisor</w:t>
      </w:r>
      <w:r w:rsidRPr="009A339E">
        <w:rPr>
          <w:b/>
          <w:bCs/>
          <w:i/>
          <w:iCs/>
        </w:rPr>
        <w:t xml:space="preserve">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w:t>
      </w:r>
      <w:r w:rsidRPr="009A339E">
        <w:lastRenderedPageBreak/>
        <w:t xml:space="preserve">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009A339E">
      <w:pPr>
        <w:tabs>
          <w:tab w:val="left" w:pos="-540"/>
        </w:tabs>
        <w:autoSpaceDE w:val="0"/>
        <w:autoSpaceDN w:val="0"/>
        <w:adjustRightInd w:val="0"/>
        <w:ind w:right="-360"/>
      </w:pPr>
    </w:p>
    <w:p w14:paraId="72B5EC2C" w14:textId="759E2BCD"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1464B457"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w:t>
      </w:r>
      <w:r w:rsidR="0078571F">
        <w:t xml:space="preserve">on Zoom </w:t>
      </w:r>
      <w:r w:rsidRPr="00CB5F08">
        <w:t>during the designat</w:t>
      </w:r>
      <w:r w:rsidR="00A109CE">
        <w:t>ed</w:t>
      </w:r>
      <w:r w:rsidRPr="00CB5F08">
        <w:t xml:space="preserve"> class time for practicum</w:t>
      </w:r>
      <w:r w:rsidR="00FF3F9D">
        <w:t xml:space="preserve"> (Tuesdays from 4:00-5:30pm)</w:t>
      </w:r>
      <w:r w:rsidRPr="00CB5F08">
        <w:t xml:space="preserve">,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lastRenderedPageBreak/>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2DA6A942" w:rsidR="00305D3B"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 xml:space="preserve">only load on </w:t>
      </w:r>
      <w:r w:rsidR="00A109CE">
        <w:rPr>
          <w:color w:val="000000"/>
          <w:u w:val="single"/>
        </w:rPr>
        <w:t>Canvas</w:t>
      </w:r>
      <w:r>
        <w:rPr>
          <w:color w:val="000000"/>
          <w:u w:val="single"/>
        </w:rPr>
        <w:t>; these materials need to be permanently erased after being reviewed by your group supervisor at the end of the semester.</w:t>
      </w:r>
      <w:r>
        <w:rPr>
          <w:color w:val="000000"/>
        </w:rPr>
        <w:t>)</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276C1CE3" w:rsidR="00F2657E" w:rsidRPr="00D57965" w:rsidRDefault="002D36EA" w:rsidP="00F2657E">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4F8027BB"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w:t>
      </w:r>
      <w:r w:rsidR="00A109CE">
        <w:rPr>
          <w:bCs/>
        </w:rPr>
        <w:t>/7916</w:t>
      </w:r>
      <w:r w:rsidRPr="00CB5F08">
        <w:rPr>
          <w:bCs/>
        </w:rPr>
        <w:t xml:space="preserve">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 xml:space="preserve">Social media and other public forums are not </w:t>
      </w:r>
      <w:proofErr w:type="gramStart"/>
      <w:r w:rsidRPr="0078571F">
        <w:rPr>
          <w:color w:val="FF0000"/>
          <w:shd w:val="clear" w:color="auto" w:fill="FFFF00"/>
        </w:rPr>
        <w:t>places</w:t>
      </w:r>
      <w:proofErr w:type="gramEnd"/>
      <w:r w:rsidRPr="0078571F">
        <w:rPr>
          <w:color w:val="FF0000"/>
          <w:shd w:val="clear" w:color="auto" w:fill="FFFF00"/>
        </w:rPr>
        <w:t xml:space="preserve">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Pr="00D065EC" w:rsidRDefault="00D065EC" w:rsidP="00D065EC">
      <w:pPr>
        <w:shd w:val="clear" w:color="auto" w:fill="FFFFFF"/>
        <w:spacing w:after="220"/>
        <w:ind w:left="720"/>
        <w:rPr>
          <w:rFonts w:ascii="-webkit-standard" w:hAnsi="-webkit-standard"/>
          <w:color w:val="000000"/>
        </w:rPr>
      </w:pPr>
      <w:r w:rsidRPr="00D065EC">
        <w:rPr>
          <w:color w:val="000000"/>
        </w:rPr>
        <w:lastRenderedPageBreak/>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660DA4" w:rsidP="004F3F73">
      <w:pPr>
        <w:autoSpaceDE w:val="0"/>
        <w:autoSpaceDN w:val="0"/>
        <w:adjustRightInd w:val="0"/>
        <w:ind w:left="-360"/>
        <w:outlineLvl w:val="0"/>
        <w:rPr>
          <w:bCs/>
        </w:rPr>
      </w:pPr>
      <w:hyperlink r:id="rId12"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660DA4" w:rsidP="004F3F73">
      <w:pPr>
        <w:autoSpaceDE w:val="0"/>
        <w:autoSpaceDN w:val="0"/>
        <w:adjustRightInd w:val="0"/>
        <w:ind w:left="-360"/>
        <w:outlineLvl w:val="0"/>
        <w:rPr>
          <w:bCs/>
        </w:rPr>
      </w:pPr>
      <w:hyperlink r:id="rId13"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660DA4" w:rsidP="00CF5E57">
      <w:pPr>
        <w:autoSpaceDE w:val="0"/>
        <w:autoSpaceDN w:val="0"/>
        <w:adjustRightInd w:val="0"/>
        <w:ind w:left="-360"/>
        <w:outlineLvl w:val="0"/>
        <w:rPr>
          <w:bCs/>
        </w:rPr>
      </w:pPr>
      <w:hyperlink r:id="rId14"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660DA4" w:rsidP="004F3F73">
      <w:pPr>
        <w:autoSpaceDE w:val="0"/>
        <w:autoSpaceDN w:val="0"/>
        <w:adjustRightInd w:val="0"/>
        <w:ind w:left="-360"/>
        <w:outlineLvl w:val="0"/>
        <w:rPr>
          <w:bCs/>
        </w:rPr>
      </w:pPr>
      <w:hyperlink r:id="rId15"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660DA4" w:rsidP="00CF5E57">
      <w:pPr>
        <w:autoSpaceDE w:val="0"/>
        <w:autoSpaceDN w:val="0"/>
        <w:adjustRightInd w:val="0"/>
        <w:ind w:left="-360"/>
        <w:outlineLvl w:val="0"/>
        <w:rPr>
          <w:rStyle w:val="Hyperlink"/>
          <w:bCs/>
        </w:rPr>
      </w:pPr>
      <w:hyperlink r:id="rId16"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660DA4" w:rsidP="00CF5E57">
      <w:pPr>
        <w:autoSpaceDE w:val="0"/>
        <w:autoSpaceDN w:val="0"/>
        <w:adjustRightInd w:val="0"/>
        <w:ind w:left="-360"/>
        <w:outlineLvl w:val="0"/>
        <w:rPr>
          <w:bCs/>
        </w:rPr>
      </w:pPr>
      <w:hyperlink r:id="rId17"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3DF86054" w14:textId="61573DD7" w:rsidR="00CF5E57" w:rsidRPr="00CF5E57" w:rsidRDefault="00CF5E57" w:rsidP="00CF5E57">
      <w:pPr>
        <w:autoSpaceDE w:val="0"/>
        <w:autoSpaceDN w:val="0"/>
        <w:adjustRightInd w:val="0"/>
        <w:ind w:left="-360"/>
        <w:outlineLvl w:val="0"/>
        <w:rPr>
          <w:bCs/>
        </w:rPr>
        <w:sectPr w:rsidR="00CF5E57" w:rsidRPr="00CF5E57" w:rsidSect="00F4526E">
          <w:pgSz w:w="12240" w:h="15840"/>
          <w:pgMar w:top="1440" w:right="1440" w:bottom="1440" w:left="1440" w:header="720" w:footer="720" w:gutter="0"/>
          <w:cols w:space="720"/>
          <w:docGrid w:linePitch="326"/>
        </w:sectPr>
      </w:pPr>
    </w:p>
    <w:p w14:paraId="148830C4" w14:textId="2BB2CD15" w:rsidR="00943205" w:rsidRPr="00CB5F08" w:rsidRDefault="002B0999" w:rsidP="00CF5E57">
      <w:pPr>
        <w:autoSpaceDE w:val="0"/>
        <w:autoSpaceDN w:val="0"/>
        <w:adjustRightInd w:val="0"/>
        <w:jc w:val="center"/>
        <w:outlineLvl w:val="0"/>
        <w:rPr>
          <w:b/>
        </w:rPr>
      </w:pPr>
      <w:r>
        <w:rPr>
          <w:b/>
        </w:rPr>
        <w:lastRenderedPageBreak/>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7FE0"/>
    <w:rsid w:val="00401234"/>
    <w:rsid w:val="00415A90"/>
    <w:rsid w:val="00416596"/>
    <w:rsid w:val="00424BD0"/>
    <w:rsid w:val="00473248"/>
    <w:rsid w:val="0048024A"/>
    <w:rsid w:val="004851CD"/>
    <w:rsid w:val="00485A55"/>
    <w:rsid w:val="00485AA1"/>
    <w:rsid w:val="004A31CF"/>
    <w:rsid w:val="004E2B94"/>
    <w:rsid w:val="004E64D1"/>
    <w:rsid w:val="004F2CAF"/>
    <w:rsid w:val="004F3F73"/>
    <w:rsid w:val="00501887"/>
    <w:rsid w:val="00535938"/>
    <w:rsid w:val="00552BD7"/>
    <w:rsid w:val="00583DD2"/>
    <w:rsid w:val="005B61F3"/>
    <w:rsid w:val="00660DA4"/>
    <w:rsid w:val="00696703"/>
    <w:rsid w:val="006D061D"/>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647F3"/>
    <w:rsid w:val="00A6776B"/>
    <w:rsid w:val="00A92F99"/>
    <w:rsid w:val="00AB406F"/>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E3A40"/>
    <w:rsid w:val="00FF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ch0153@auburn.edu" TargetMode="Externa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Julie Hill</cp:lastModifiedBy>
  <cp:revision>2</cp:revision>
  <dcterms:created xsi:type="dcterms:W3CDTF">2020-08-03T19:04:00Z</dcterms:created>
  <dcterms:modified xsi:type="dcterms:W3CDTF">2020-08-03T19:04:00Z</dcterms:modified>
</cp:coreProperties>
</file>