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2446858"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1659AC14"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292E4A">
        <w:rPr>
          <w:color w:val="000000" w:themeColor="text1"/>
        </w:rPr>
        <w:t>Ashley Brown</w:t>
      </w:r>
      <w:r w:rsidRPr="00FA7F94">
        <w:rPr>
          <w:color w:val="000000" w:themeColor="text1"/>
        </w:rPr>
        <w:t>, PhD, NCC</w:t>
      </w:r>
    </w:p>
    <w:p w14:paraId="371EFEB6" w14:textId="014BD896" w:rsidR="00943205" w:rsidRPr="00FA7F94" w:rsidRDefault="00943205" w:rsidP="00943205">
      <w:pPr>
        <w:ind w:left="360" w:right="-360" w:firstLine="1080"/>
        <w:rPr>
          <w:color w:val="000000" w:themeColor="text1"/>
        </w:rPr>
      </w:pPr>
      <w:r w:rsidRPr="00FA7F94">
        <w:rPr>
          <w:color w:val="000000" w:themeColor="text1"/>
        </w:rPr>
        <w:t>20</w:t>
      </w:r>
      <w:r w:rsidR="00292E4A">
        <w:rPr>
          <w:color w:val="000000" w:themeColor="text1"/>
        </w:rPr>
        <w:t>02</w:t>
      </w:r>
      <w:r w:rsidRPr="00FA7F94">
        <w:rPr>
          <w:color w:val="000000" w:themeColor="text1"/>
        </w:rPr>
        <w:t xml:space="preserve"> Haley Center </w:t>
      </w:r>
    </w:p>
    <w:p w14:paraId="3B1E6D00" w14:textId="3EF996ED"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292E4A" w:rsidRPr="00642F87">
          <w:rPr>
            <w:rStyle w:val="Hyperlink"/>
          </w:rPr>
          <w:t>abb0010@auburn.edu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2852D097"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4A693C2A"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649D0316" w14:textId="42360075" w:rsidR="0074446C" w:rsidRPr="00FA7F94" w:rsidRDefault="0074446C" w:rsidP="0074207C">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4B62003F" w14:textId="77777777" w:rsidR="0074446C" w:rsidRPr="00FA7F94" w:rsidRDefault="0074446C" w:rsidP="0074207C">
      <w:pPr>
        <w:ind w:left="-360" w:right="-360"/>
        <w:outlineLvl w:val="0"/>
        <w:rPr>
          <w:bCs/>
          <w:color w:val="000000" w:themeColor="text1"/>
        </w:rPr>
      </w:pPr>
    </w:p>
    <w:p w14:paraId="52381A17"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80E9DFB" w14:textId="4D4DB2A8" w:rsidR="0074446C" w:rsidRPr="00FA7F94" w:rsidRDefault="0074446C" w:rsidP="0074207C">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4158A8FA" w14:textId="015767B9" w:rsidR="0074446C" w:rsidRPr="00FA7F94" w:rsidRDefault="0074446C" w:rsidP="0074207C">
      <w:pPr>
        <w:ind w:left="-360" w:right="-360"/>
        <w:outlineLvl w:val="0"/>
        <w:rPr>
          <w:bCs/>
          <w:color w:val="000000" w:themeColor="text1"/>
        </w:rPr>
      </w:pPr>
    </w:p>
    <w:p w14:paraId="783C18F7" w14:textId="77777777" w:rsidR="0074446C" w:rsidRPr="00FA7F94" w:rsidRDefault="0074446C" w:rsidP="0074207C">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02E0E416" w14:textId="77777777" w:rsidR="00E21370" w:rsidRPr="00FA7F94" w:rsidRDefault="0074446C" w:rsidP="00E21370">
      <w:pPr>
        <w:ind w:left="-360" w:right="-360"/>
        <w:outlineLvl w:val="0"/>
        <w:rPr>
          <w:bCs/>
          <w:color w:val="000000" w:themeColor="text1"/>
        </w:rPr>
      </w:pPr>
      <w:r w:rsidRPr="00FA7F94">
        <w:rPr>
          <w:bCs/>
          <w:color w:val="000000" w:themeColor="text1"/>
        </w:rPr>
        <w:tab/>
        <w:t>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Pr="00FA7F94"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p w14:paraId="0249CDA0" w14:textId="77777777" w:rsidR="00292E4A" w:rsidRP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9328D9">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9328D9">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9328D9">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9328D9">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9328D9">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9328D9">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9328D9">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9328D9">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9328D9">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9328D9">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9328D9">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9328D9">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9328D9">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9328D9">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9328D9">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9328D9">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9328D9">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9328D9">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9328D9">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9328D9">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9328D9">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9328D9">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9328D9">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9328D9">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9328D9">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8D49A08" w14:textId="702B4889" w:rsidR="00943205" w:rsidRPr="00FA7F94" w:rsidRDefault="00943205" w:rsidP="00731BD8">
            <w:pPr>
              <w:pStyle w:val="NoSpacing"/>
              <w:contextualSpacing/>
              <w:jc w:val="center"/>
              <w:rPr>
                <w:color w:val="000000" w:themeColor="text1"/>
              </w:rPr>
            </w:pPr>
            <w:r w:rsidRPr="00FA7F94">
              <w:rPr>
                <w:color w:val="000000" w:themeColor="text1"/>
              </w:rPr>
              <w:t xml:space="preserve">August </w:t>
            </w:r>
            <w:r w:rsidR="00FA7F94">
              <w:rPr>
                <w:color w:val="000000" w:themeColor="text1"/>
              </w:rPr>
              <w:t>1</w:t>
            </w:r>
            <w:r w:rsidR="00962E18">
              <w:rPr>
                <w:color w:val="000000" w:themeColor="text1"/>
              </w:rPr>
              <w:t>6</w:t>
            </w:r>
            <w:r w:rsidR="00FA7F94" w:rsidRPr="00FA7F94">
              <w:rPr>
                <w:color w:val="000000" w:themeColor="text1"/>
                <w:vertAlign w:val="superscript"/>
              </w:rPr>
              <w:t>th</w:t>
            </w:r>
            <w:r w:rsidR="00415A90" w:rsidRPr="00FA7F94">
              <w:rPr>
                <w:color w:val="000000" w:themeColor="text1"/>
              </w:rPr>
              <w:t xml:space="preserve"> </w:t>
            </w: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1D0D01E5" w:rsidR="00943205" w:rsidRPr="00FA7F94" w:rsidRDefault="00943205" w:rsidP="00731BD8">
            <w:pPr>
              <w:pStyle w:val="NoSpacing"/>
              <w:contextualSpacing/>
              <w:jc w:val="center"/>
              <w:rPr>
                <w:color w:val="000000" w:themeColor="text1"/>
              </w:rPr>
            </w:pPr>
            <w:r w:rsidRPr="00FA7F94">
              <w:rPr>
                <w:color w:val="000000" w:themeColor="text1"/>
              </w:rPr>
              <w:t>August 2</w:t>
            </w:r>
            <w:r w:rsidR="00962E18">
              <w:rPr>
                <w:color w:val="000000" w:themeColor="text1"/>
              </w:rPr>
              <w:t>3</w:t>
            </w:r>
            <w:r w:rsidR="00962E18">
              <w:rPr>
                <w:color w:val="000000" w:themeColor="text1"/>
                <w:vertAlign w:val="superscript"/>
              </w:rPr>
              <w:t>rd</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19B5BFD4" w14:textId="729BDDF9" w:rsidR="00943205" w:rsidRPr="00FA7F94"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2942"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046633ED" w:rsidR="00943205" w:rsidRPr="00FA7F94" w:rsidRDefault="009328D9" w:rsidP="00731BD8">
            <w:pPr>
              <w:pStyle w:val="NoSpacing"/>
              <w:contextualSpacing/>
              <w:jc w:val="center"/>
              <w:rPr>
                <w:color w:val="000000" w:themeColor="text1"/>
              </w:rPr>
            </w:pPr>
            <w:r>
              <w:rPr>
                <w:color w:val="000000" w:themeColor="text1"/>
              </w:rPr>
              <w:t>August 3</w:t>
            </w:r>
            <w:r w:rsidR="00962E18">
              <w:rPr>
                <w:color w:val="000000" w:themeColor="text1"/>
              </w:rPr>
              <w:t>0</w:t>
            </w:r>
            <w:r w:rsidR="00962E18">
              <w:rPr>
                <w:color w:val="000000" w:themeColor="text1"/>
                <w:vertAlign w:val="superscript"/>
              </w:rPr>
              <w:t>th</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0106490A" w14:textId="476AE477" w:rsidR="0006034C" w:rsidRPr="00FA7F94" w:rsidRDefault="0006034C" w:rsidP="0006034C">
            <w:pPr>
              <w:pStyle w:val="NoSpacing"/>
              <w:jc w:val="center"/>
              <w:rPr>
                <w:color w:val="000000" w:themeColor="text1"/>
              </w:rPr>
            </w:pPr>
            <w:r w:rsidRPr="0006034C">
              <w:rPr>
                <w:color w:val="000000" w:themeColor="text1"/>
                <w:highlight w:val="yellow"/>
              </w:rPr>
              <w:t>Colin</w:t>
            </w:r>
          </w:p>
        </w:tc>
        <w:tc>
          <w:tcPr>
            <w:tcW w:w="2942" w:type="dxa"/>
          </w:tcPr>
          <w:p w14:paraId="3586FBC2" w14:textId="75B80178" w:rsidR="001B6E56" w:rsidRPr="00FA7F94" w:rsidRDefault="001B6E56" w:rsidP="00AB7B2C">
            <w:pPr>
              <w:pStyle w:val="NoSpacing"/>
              <w:ind w:left="420"/>
              <w:jc w:val="center"/>
              <w:rPr>
                <w:bCs/>
                <w:iCs/>
                <w:color w:val="000000" w:themeColor="text1"/>
              </w:rPr>
            </w:pPr>
            <w:r w:rsidRPr="00FA7F94">
              <w:rPr>
                <w:bCs/>
                <w:iCs/>
                <w:color w:val="000000" w:themeColor="text1"/>
              </w:rPr>
              <w:t>Ametrano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F8414B7" w14:textId="77777777"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1D4174BF"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962E18">
              <w:rPr>
                <w:color w:val="000000" w:themeColor="text1"/>
              </w:rPr>
              <w:t>6</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6F26D3CD" w:rsidR="00943205" w:rsidRPr="00FA7F94" w:rsidRDefault="00D90D56" w:rsidP="009328D9">
            <w:pPr>
              <w:pStyle w:val="NoSpacing"/>
              <w:jc w:val="center"/>
              <w:rPr>
                <w:color w:val="000000" w:themeColor="text1"/>
              </w:rPr>
            </w:pPr>
            <w:r w:rsidRPr="00FA7F94">
              <w:rPr>
                <w:color w:val="000000" w:themeColor="text1"/>
              </w:rPr>
              <w:t>Case Conceptualizations &amp; group feedback</w:t>
            </w:r>
          </w:p>
        </w:tc>
        <w:tc>
          <w:tcPr>
            <w:tcW w:w="2942" w:type="dxa"/>
          </w:tcPr>
          <w:p w14:paraId="34F1AAD8" w14:textId="0CE87DD4" w:rsidR="00943205" w:rsidRPr="00FA7F94" w:rsidRDefault="00552BD7" w:rsidP="00AB7B2C">
            <w:pPr>
              <w:pStyle w:val="NoSpacing"/>
              <w:jc w:val="center"/>
              <w:rPr>
                <w:color w:val="000000" w:themeColor="text1"/>
              </w:rPr>
            </w:pPr>
            <w:proofErr w:type="spellStart"/>
            <w:r w:rsidRPr="00FA7F94">
              <w:rPr>
                <w:color w:val="000000" w:themeColor="text1"/>
              </w:rPr>
              <w:t>Moerman</w:t>
            </w:r>
            <w:proofErr w:type="spellEnd"/>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3EE710DC" w14:textId="77777777" w:rsidR="000B2994" w:rsidRDefault="00F63E78" w:rsidP="00AB7B2C">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5EC64698" w14:textId="491B7F14" w:rsidR="00100207" w:rsidRPr="00FA7F94" w:rsidRDefault="00100207" w:rsidP="00AB7B2C">
            <w:pPr>
              <w:pStyle w:val="NoSpacing"/>
              <w:jc w:val="center"/>
              <w:rPr>
                <w:color w:val="000000" w:themeColor="text1"/>
              </w:rPr>
            </w:pP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71FD529C" w:rsidR="00943205" w:rsidRPr="00FA7F94" w:rsidRDefault="00943205" w:rsidP="00731BD8">
            <w:pPr>
              <w:pStyle w:val="NoSpacing"/>
              <w:contextualSpacing/>
              <w:jc w:val="center"/>
              <w:rPr>
                <w:color w:val="000000" w:themeColor="text1"/>
              </w:rPr>
            </w:pPr>
            <w:r w:rsidRPr="00FA7F94">
              <w:rPr>
                <w:color w:val="000000" w:themeColor="text1"/>
              </w:rPr>
              <w:t>September 1</w:t>
            </w:r>
            <w:r w:rsidR="00962E18">
              <w:rPr>
                <w:color w:val="000000" w:themeColor="text1"/>
              </w:rPr>
              <w:t>3</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138F67E0" w14:textId="69E850D5" w:rsidR="00943205" w:rsidRDefault="00D90D56" w:rsidP="009328D9">
            <w:pPr>
              <w:pStyle w:val="NoSpacing"/>
              <w:jc w:val="center"/>
              <w:rPr>
                <w:color w:val="000000" w:themeColor="text1"/>
              </w:rPr>
            </w:pPr>
            <w:r w:rsidRPr="00FA7F94">
              <w:rPr>
                <w:color w:val="000000" w:themeColor="text1"/>
              </w:rPr>
              <w:t>Case Conceptualizations &amp; group feedback</w:t>
            </w:r>
          </w:p>
          <w:p w14:paraId="785B944F" w14:textId="3DFFA5FB" w:rsidR="00D90D56" w:rsidRPr="00FA7F94" w:rsidRDefault="00D90D56" w:rsidP="00A10960">
            <w:pPr>
              <w:pStyle w:val="NoSpacing"/>
              <w:jc w:val="center"/>
              <w:rPr>
                <w:color w:val="000000" w:themeColor="text1"/>
              </w:rPr>
            </w:pP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2F42F044" w14:textId="77777777" w:rsidR="003817A6" w:rsidRPr="00FA7F94" w:rsidRDefault="003817A6" w:rsidP="00AB7B2C">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6C559C66" w14:textId="36082D48" w:rsidR="00993AA6" w:rsidRPr="00FA7F94" w:rsidRDefault="00993AA6" w:rsidP="00AB7B2C">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25A92C7D"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962E18">
              <w:rPr>
                <w:color w:val="000000" w:themeColor="text1"/>
              </w:rPr>
              <w:t>0</w:t>
            </w:r>
            <w:r w:rsidR="00962E18">
              <w:rPr>
                <w:color w:val="000000" w:themeColor="text1"/>
                <w:vertAlign w:val="superscript"/>
              </w:rPr>
              <w:t>th</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1D8F8E48" w14:textId="77777777" w:rsidR="00943205" w:rsidRDefault="00D90D56" w:rsidP="009328D9">
            <w:pPr>
              <w:pStyle w:val="NoSpacing"/>
              <w:jc w:val="center"/>
              <w:rPr>
                <w:color w:val="000000" w:themeColor="text1"/>
              </w:rPr>
            </w:pPr>
            <w:r w:rsidRPr="00A10960">
              <w:rPr>
                <w:color w:val="000000" w:themeColor="text1"/>
              </w:rPr>
              <w:t>Case Conceptualizations &amp; group feedback</w:t>
            </w:r>
          </w:p>
          <w:p w14:paraId="720E43C2" w14:textId="05E83331" w:rsidR="0006034C" w:rsidRPr="00FA7F94" w:rsidRDefault="0006034C" w:rsidP="009328D9">
            <w:pPr>
              <w:pStyle w:val="NoSpacing"/>
              <w:jc w:val="center"/>
              <w:rPr>
                <w:color w:val="000000" w:themeColor="text1"/>
              </w:rPr>
            </w:pPr>
            <w:r w:rsidRPr="0006034C">
              <w:rPr>
                <w:color w:val="000000" w:themeColor="text1"/>
                <w:highlight w:val="yellow"/>
              </w:rPr>
              <w:t>Colin</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7285EF1B" w14:textId="7BD97AC8" w:rsidR="00A92F99" w:rsidRPr="00FA7F94" w:rsidRDefault="00A92F99" w:rsidP="00AB7B2C">
            <w:pPr>
              <w:pStyle w:val="NoSpacing"/>
              <w:jc w:val="center"/>
              <w:rPr>
                <w:color w:val="000000" w:themeColor="text1"/>
              </w:rPr>
            </w:pPr>
            <w:r w:rsidRPr="00FA7F94">
              <w:rPr>
                <w:color w:val="000000" w:themeColor="text1"/>
              </w:rPr>
              <w:t>Moss, Gibson, &amp; Dollarhide (2014)</w:t>
            </w:r>
          </w:p>
          <w:p w14:paraId="284A6290" w14:textId="3F5672FB" w:rsidR="00A92F99" w:rsidRPr="00FA7F94" w:rsidRDefault="00A92F99" w:rsidP="00AB7B2C">
            <w:pPr>
              <w:pStyle w:val="NoSpacing"/>
              <w:jc w:val="center"/>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6BFDEF78" w:rsidR="00943205" w:rsidRPr="00FA7F94" w:rsidRDefault="00FA7F94" w:rsidP="007E4AB6">
            <w:pPr>
              <w:pStyle w:val="NoSpacing"/>
              <w:contextualSpacing/>
              <w:jc w:val="center"/>
              <w:rPr>
                <w:color w:val="000000" w:themeColor="text1"/>
              </w:rPr>
            </w:pPr>
            <w:r>
              <w:rPr>
                <w:color w:val="000000" w:themeColor="text1"/>
              </w:rPr>
              <w:t>September 2</w:t>
            </w:r>
            <w:r w:rsidR="00962E18">
              <w:rPr>
                <w:color w:val="000000" w:themeColor="text1"/>
              </w:rPr>
              <w:t>7</w:t>
            </w:r>
            <w:r w:rsidRPr="00FA7F94">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6DA1F55A" w14:textId="77777777" w:rsidR="00943205" w:rsidRDefault="00D90D56" w:rsidP="009328D9">
            <w:pPr>
              <w:pStyle w:val="NoSpacing"/>
              <w:jc w:val="center"/>
              <w:rPr>
                <w:color w:val="000000" w:themeColor="text1"/>
              </w:rPr>
            </w:pPr>
            <w:r w:rsidRPr="00FA7F94">
              <w:rPr>
                <w:color w:val="000000" w:themeColor="text1"/>
              </w:rPr>
              <w:t>Case Conceptualizations &amp; group feedback</w:t>
            </w:r>
          </w:p>
          <w:p w14:paraId="5CA9ABB2" w14:textId="4F4603F9" w:rsidR="00C6215F" w:rsidRPr="00FA7F94" w:rsidRDefault="00C6215F" w:rsidP="00A10960">
            <w:pPr>
              <w:pStyle w:val="NoSpacing"/>
              <w:rPr>
                <w:color w:val="000000" w:themeColor="text1"/>
              </w:rPr>
            </w:pPr>
          </w:p>
        </w:tc>
        <w:tc>
          <w:tcPr>
            <w:tcW w:w="2942"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224EA79F"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962E18">
              <w:rPr>
                <w:color w:val="000000" w:themeColor="text1"/>
              </w:rPr>
              <w:t>4</w:t>
            </w:r>
            <w:r w:rsidR="00FA7F94" w:rsidRPr="00FA7F94">
              <w:rPr>
                <w:color w:val="000000" w:themeColor="text1"/>
                <w:vertAlign w:val="superscript"/>
              </w:rPr>
              <w:t>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6C249EEA" w:rsidR="00943205" w:rsidRPr="00FA7F94" w:rsidRDefault="00D90D56" w:rsidP="009328D9">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0F71E17B"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5528F454" w14:textId="6886BFBC" w:rsidR="00583DD2" w:rsidRPr="00FA7F94" w:rsidRDefault="007E0154" w:rsidP="00AB7B2C">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p w14:paraId="09109F32" w14:textId="384BF5FE" w:rsidR="00583DD2" w:rsidRPr="00FA7F94" w:rsidRDefault="00583DD2" w:rsidP="00AB7B2C">
            <w:pPr>
              <w:pStyle w:val="NoSpacing"/>
              <w:jc w:val="center"/>
              <w:rPr>
                <w:b/>
                <w:color w:val="000000" w:themeColor="text1"/>
              </w:rPr>
            </w:pPr>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00371FE5" w:rsidR="00943205" w:rsidRPr="00FA7F94" w:rsidRDefault="00943205" w:rsidP="007E4AB6">
            <w:pPr>
              <w:pStyle w:val="NoSpacing"/>
              <w:contextualSpacing/>
              <w:jc w:val="center"/>
              <w:rPr>
                <w:color w:val="000000" w:themeColor="text1"/>
              </w:rPr>
            </w:pPr>
            <w:r w:rsidRPr="00FA7F94">
              <w:rPr>
                <w:color w:val="000000" w:themeColor="text1"/>
              </w:rPr>
              <w:t>October 1</w:t>
            </w:r>
            <w:r w:rsidR="00962E18">
              <w:rPr>
                <w:color w:val="000000" w:themeColor="text1"/>
              </w:rPr>
              <w:t>1</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32A600CA" w14:textId="0E144732" w:rsidR="00943205" w:rsidRDefault="00D90D56" w:rsidP="009328D9">
            <w:pPr>
              <w:pStyle w:val="NoSpacing"/>
              <w:jc w:val="center"/>
              <w:rPr>
                <w:color w:val="000000" w:themeColor="text1"/>
              </w:rPr>
            </w:pPr>
            <w:r w:rsidRPr="00FA7F94">
              <w:rPr>
                <w:color w:val="000000" w:themeColor="text1"/>
              </w:rPr>
              <w:t>Case Conceptualizations &amp; group feedback</w:t>
            </w:r>
          </w:p>
          <w:p w14:paraId="54BF2BFD" w14:textId="77777777" w:rsidR="00C6215F" w:rsidRDefault="00C6215F" w:rsidP="009328D9">
            <w:pPr>
              <w:pStyle w:val="NoSpacing"/>
              <w:jc w:val="center"/>
              <w:rPr>
                <w:color w:val="000000" w:themeColor="text1"/>
              </w:rPr>
            </w:pPr>
          </w:p>
          <w:p w14:paraId="5A00AB36" w14:textId="417EA5A8" w:rsidR="00100207" w:rsidRPr="00FA7F94" w:rsidRDefault="00100207" w:rsidP="009328D9">
            <w:pPr>
              <w:pStyle w:val="NoSpacing"/>
              <w:jc w:val="center"/>
              <w:rPr>
                <w:color w:val="000000" w:themeColor="text1"/>
              </w:rPr>
            </w:pPr>
          </w:p>
        </w:tc>
        <w:tc>
          <w:tcPr>
            <w:tcW w:w="2942"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t>Barrio Minton &amp; Myers (2008)</w:t>
            </w:r>
          </w:p>
        </w:tc>
      </w:tr>
      <w:tr w:rsidR="00FA7F94" w:rsidRPr="00FA7F94" w14:paraId="0601D792" w14:textId="77777777" w:rsidTr="009328D9">
        <w:trPr>
          <w:trHeight w:val="773"/>
        </w:trPr>
        <w:tc>
          <w:tcPr>
            <w:tcW w:w="2942" w:type="dxa"/>
          </w:tcPr>
          <w:p w14:paraId="60D5EC5C" w14:textId="70DB40E0"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9328D9" w:rsidRPr="00A10960">
              <w:rPr>
                <w:color w:val="000000" w:themeColor="text1"/>
              </w:rPr>
              <w:t>1</w:t>
            </w:r>
            <w:r w:rsidR="00962E18" w:rsidRPr="00A10960">
              <w:rPr>
                <w:color w:val="000000" w:themeColor="text1"/>
              </w:rPr>
              <w:t>8</w:t>
            </w:r>
            <w:r w:rsidR="00FA7F94" w:rsidRPr="00A10960">
              <w:rPr>
                <w:color w:val="000000" w:themeColor="text1"/>
                <w:vertAlign w:val="superscript"/>
              </w:rPr>
              <w:t>th</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F4006F4" w14:textId="77777777" w:rsidR="00943205" w:rsidRPr="00A10960" w:rsidRDefault="00D90D56" w:rsidP="009328D9">
            <w:pPr>
              <w:pStyle w:val="NoSpacing"/>
              <w:jc w:val="center"/>
              <w:rPr>
                <w:color w:val="000000" w:themeColor="text1"/>
              </w:rPr>
            </w:pPr>
            <w:r w:rsidRPr="00A10960">
              <w:rPr>
                <w:color w:val="000000" w:themeColor="text1"/>
              </w:rPr>
              <w:lastRenderedPageBreak/>
              <w:t>Case Conceptualizations &amp; group feedback</w:t>
            </w:r>
          </w:p>
          <w:p w14:paraId="09D97106" w14:textId="2579084C" w:rsidR="00100207" w:rsidRPr="00A10960" w:rsidRDefault="00100207" w:rsidP="009328D9">
            <w:pPr>
              <w:pStyle w:val="NoSpacing"/>
              <w:jc w:val="center"/>
              <w:rPr>
                <w:color w:val="000000" w:themeColor="text1"/>
              </w:rPr>
            </w:pP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lastRenderedPageBreak/>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1B24B8B1"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D701F" w:rsidRPr="00FA7F94">
              <w:rPr>
                <w:color w:val="000000" w:themeColor="text1"/>
              </w:rPr>
              <w:t>2</w:t>
            </w:r>
            <w:r w:rsidR="00962E18">
              <w:rPr>
                <w:color w:val="000000" w:themeColor="text1"/>
              </w:rPr>
              <w:t>5</w:t>
            </w:r>
            <w:r w:rsidR="002D36EA" w:rsidRPr="00FA7F94">
              <w:rPr>
                <w:color w:val="000000" w:themeColor="text1"/>
                <w:vertAlign w:val="superscript"/>
              </w:rPr>
              <w:t>th</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28B281AB" w14:textId="527537C9" w:rsidR="00943205" w:rsidRDefault="00D90D56" w:rsidP="009328D9">
            <w:pPr>
              <w:pStyle w:val="NoSpacing"/>
              <w:jc w:val="center"/>
              <w:rPr>
                <w:color w:val="000000" w:themeColor="text1"/>
              </w:rPr>
            </w:pPr>
            <w:r w:rsidRPr="00FA7F94">
              <w:rPr>
                <w:color w:val="000000" w:themeColor="text1"/>
              </w:rPr>
              <w:t>Case Conceptualizations &amp; group feedback</w:t>
            </w:r>
          </w:p>
          <w:p w14:paraId="14EC2B98" w14:textId="46579316" w:rsidR="00100207" w:rsidRPr="00FA7F94" w:rsidRDefault="00100207" w:rsidP="00A10960">
            <w:pPr>
              <w:pStyle w:val="NoSpacing"/>
              <w:jc w:val="center"/>
              <w:rPr>
                <w:color w:val="000000" w:themeColor="text1"/>
              </w:rPr>
            </w:pPr>
          </w:p>
        </w:tc>
        <w:tc>
          <w:tcPr>
            <w:tcW w:w="2942" w:type="dxa"/>
          </w:tcPr>
          <w:p w14:paraId="43511EA4" w14:textId="2CC07B4B" w:rsidR="00943205" w:rsidRPr="00FA7F94" w:rsidRDefault="00D863AD" w:rsidP="00AB7B2C">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24E11B3"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962E18">
              <w:rPr>
                <w:color w:val="000000" w:themeColor="text1"/>
              </w:rPr>
              <w:t>1</w:t>
            </w:r>
            <w:r w:rsidR="00962E18">
              <w:rPr>
                <w:color w:val="000000" w:themeColor="text1"/>
                <w:vertAlign w:val="superscript"/>
              </w:rPr>
              <w:t>st</w:t>
            </w:r>
            <w:r w:rsidR="009328D9">
              <w:rPr>
                <w:color w:val="000000" w:themeColor="text1"/>
              </w:rPr>
              <w:t xml:space="preserve"> </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14767FFE" w:rsidR="00943205" w:rsidRDefault="00D90D56" w:rsidP="009328D9">
            <w:pPr>
              <w:pStyle w:val="NoSpacing"/>
              <w:jc w:val="center"/>
              <w:rPr>
                <w:color w:val="000000" w:themeColor="text1"/>
              </w:rPr>
            </w:pPr>
            <w:r w:rsidRPr="00FA7F94">
              <w:rPr>
                <w:color w:val="000000" w:themeColor="text1"/>
              </w:rPr>
              <w:t>Case Conceptualizations &amp; group feedback</w:t>
            </w:r>
            <w:r w:rsidR="00AB7B2C">
              <w:rPr>
                <w:color w:val="000000" w:themeColor="text1"/>
              </w:rPr>
              <w:t>s</w:t>
            </w:r>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C0D8EE0" w14:textId="1A8267A5"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sidR="00962E18">
              <w:rPr>
                <w:color w:val="000000" w:themeColor="text1"/>
              </w:rPr>
              <w:t>8</w:t>
            </w:r>
            <w:r w:rsidRPr="00FA7F94">
              <w:rPr>
                <w:color w:val="000000" w:themeColor="text1"/>
                <w:vertAlign w:val="superscript"/>
              </w:rPr>
              <w:t>th</w:t>
            </w:r>
          </w:p>
          <w:p w14:paraId="1072B4D3" w14:textId="74A249F9"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68F5C06" w14:textId="53183314" w:rsidR="00FA7F94" w:rsidRPr="00FA7F94" w:rsidRDefault="00FA7F94" w:rsidP="009328D9">
            <w:pPr>
              <w:pStyle w:val="NoSpacing"/>
              <w:jc w:val="center"/>
              <w:rPr>
                <w:color w:val="000000" w:themeColor="text1"/>
              </w:rPr>
            </w:pPr>
            <w:r w:rsidRPr="00FA7F94">
              <w:rPr>
                <w:color w:val="000000" w:themeColor="text1"/>
              </w:rPr>
              <w:t>Case Conceptualizations &amp; group feedback</w:t>
            </w:r>
          </w:p>
        </w:tc>
      </w:tr>
      <w:tr w:rsidR="00FA7F94" w:rsidRPr="00FA7F94" w14:paraId="62D8784E"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6F2F06AE" w14:textId="78455087" w:rsidR="00FA7F94" w:rsidRPr="00FA7F94" w:rsidRDefault="00FA7F94" w:rsidP="00FA7F94">
            <w:pPr>
              <w:pStyle w:val="NoSpacing"/>
              <w:contextualSpacing/>
              <w:jc w:val="center"/>
              <w:rPr>
                <w:color w:val="000000" w:themeColor="text1"/>
              </w:rPr>
            </w:pPr>
            <w:r w:rsidRPr="00FA7F94">
              <w:rPr>
                <w:color w:val="000000" w:themeColor="text1"/>
              </w:rPr>
              <w:t>November 1</w:t>
            </w:r>
            <w:r w:rsidR="00962E18">
              <w:rPr>
                <w:color w:val="000000" w:themeColor="text1"/>
              </w:rPr>
              <w:t>5</w:t>
            </w:r>
            <w:r w:rsidRPr="00FA7F94">
              <w:rPr>
                <w:color w:val="000000" w:themeColor="text1"/>
                <w:vertAlign w:val="superscript"/>
              </w:rPr>
              <w:t>th</w:t>
            </w:r>
            <w:r w:rsidRPr="00FA7F94">
              <w:rPr>
                <w:color w:val="000000" w:themeColor="text1"/>
              </w:rPr>
              <w:t xml:space="preserve"> </w:t>
            </w:r>
          </w:p>
          <w:p w14:paraId="0F37BD41" w14:textId="03CD0D06"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2D6BB33" w14:textId="4661EF91" w:rsidR="00FA7F94" w:rsidRPr="00FA7F94" w:rsidRDefault="00FA7F94" w:rsidP="009328D9">
            <w:pPr>
              <w:pStyle w:val="NoSpacing"/>
              <w:jc w:val="center"/>
              <w:rPr>
                <w:color w:val="000000" w:themeColor="text1"/>
              </w:rPr>
            </w:pPr>
            <w:r w:rsidRPr="00FA7F94">
              <w:rPr>
                <w:color w:val="000000" w:themeColor="text1"/>
              </w:rPr>
              <w:t>Case Conceptualizations &amp; group feedback</w:t>
            </w:r>
          </w:p>
        </w:tc>
      </w:tr>
      <w:tr w:rsidR="00FA7F94"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64171626" w:rsidR="00EC0C9C" w:rsidRDefault="00EC0C9C" w:rsidP="00E9791B">
            <w:pPr>
              <w:pStyle w:val="NoSpacing"/>
              <w:contextualSpacing/>
              <w:jc w:val="center"/>
              <w:rPr>
                <w:color w:val="000000" w:themeColor="text1"/>
              </w:rPr>
            </w:pPr>
            <w:r w:rsidRPr="00FA7F94">
              <w:rPr>
                <w:color w:val="000000" w:themeColor="text1"/>
              </w:rPr>
              <w:t xml:space="preserve">November </w:t>
            </w:r>
            <w:r w:rsidR="00962E18">
              <w:rPr>
                <w:color w:val="000000" w:themeColor="text1"/>
              </w:rPr>
              <w:t>29</w:t>
            </w:r>
            <w:r w:rsidRPr="00FA7F94">
              <w:rPr>
                <w:color w:val="000000" w:themeColor="text1"/>
                <w:vertAlign w:val="superscript"/>
              </w:rPr>
              <w:t>th</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6297FBC" w14:textId="77777777" w:rsidR="00EC0C9C" w:rsidRDefault="00FA7F94" w:rsidP="009328D9">
            <w:pPr>
              <w:pStyle w:val="NoSpacing"/>
              <w:jc w:val="center"/>
              <w:rPr>
                <w:color w:val="000000" w:themeColor="text1"/>
              </w:rPr>
            </w:pPr>
            <w:r w:rsidRPr="00FA7F94">
              <w:rPr>
                <w:color w:val="000000" w:themeColor="text1"/>
              </w:rPr>
              <w:t>Case Conceptualizations &amp; group feedback</w:t>
            </w:r>
          </w:p>
          <w:p w14:paraId="4E40655E" w14:textId="0116107D" w:rsidR="00731FA7" w:rsidRPr="00FA7F94" w:rsidRDefault="00731FA7" w:rsidP="009328D9">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5451234A" w14:textId="77777777"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University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3807A5C7" w14:textId="43D4B58C"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more than 12 hours (unless otherwise directed by the Program Coordinator, </w:t>
      </w:r>
      <w:r w:rsidRPr="00FA7F94">
        <w:rPr>
          <w:b/>
          <w:color w:val="000000" w:themeColor="text1"/>
        </w:rPr>
        <w:lastRenderedPageBreak/>
        <w:t>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0C05FD5F" w14:textId="18238182"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433C7CF7" w14:textId="77777777" w:rsidR="00943205" w:rsidRPr="00FA7F94" w:rsidRDefault="00943205" w:rsidP="00943205">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292F437"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note for each counseling session </w:t>
      </w:r>
    </w:p>
    <w:p w14:paraId="5AAF8558" w14:textId="77777777" w:rsidR="00943205" w:rsidRPr="00FA7F94" w:rsidRDefault="00943205" w:rsidP="00943205">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1A9B76FC"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59306F3F" w14:textId="1A3BD39A"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3228AB97" w14:textId="4C7E1A6C" w:rsidR="00943205" w:rsidRPr="00FA7F94"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xml:space="preserve">* Due (Week 15):  Field Experience </w:t>
      </w:r>
      <w:r w:rsidR="00AF7580" w:rsidRPr="00FA7F94">
        <w:rPr>
          <w:rFonts w:ascii="Times New Roman" w:hAnsi="Times New Roman" w:cs="Times New Roman"/>
          <w:b/>
          <w:bCs/>
          <w:color w:val="000000" w:themeColor="text1"/>
          <w:sz w:val="24"/>
          <w:szCs w:val="24"/>
        </w:rPr>
        <w:t xml:space="preserve">Documentation </w:t>
      </w:r>
      <w:r w:rsidRPr="00FA7F94">
        <w:rPr>
          <w:rFonts w:ascii="Times New Roman" w:hAnsi="Times New Roman" w:cs="Times New Roman"/>
          <w:b/>
          <w:bCs/>
          <w:color w:val="000000" w:themeColor="text1"/>
          <w:sz w:val="24"/>
          <w:szCs w:val="24"/>
        </w:rPr>
        <w:t>Due</w:t>
      </w:r>
    </w:p>
    <w:p w14:paraId="5D4B8251"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34D33BB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26A595BF" w14:textId="147A3EE6"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396E8CD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611CEBE4"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2D926BFC"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5457A70"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3576F700"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2FEE8C73"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6D8EDC42"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1CA4D0EE"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3D9E629C"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w:t>
      </w:r>
      <w:proofErr w:type="spellStart"/>
      <w:r w:rsidRPr="00FA7F94">
        <w:rPr>
          <w:color w:val="000000" w:themeColor="text1"/>
        </w:rPr>
        <w:t>etc</w:t>
      </w:r>
      <w:proofErr w:type="spellEnd"/>
      <w:r w:rsidRPr="00FA7F94">
        <w:rPr>
          <w:color w:val="000000" w:themeColor="text1"/>
        </w:rPr>
        <w:t xml:space="preserve">). </w:t>
      </w:r>
      <w:r w:rsidRPr="00FA7F94">
        <w:rPr>
          <w:color w:val="000000" w:themeColor="text1"/>
        </w:rPr>
        <w:lastRenderedPageBreak/>
        <w:t>The individual supervisor will complete both a midterm and a final evaluation of the student (it is the practicum student’s responsibility to provide blank copies of the evaluation to their supervisor).</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3C49D3F3" w14:textId="38E17786" w:rsidR="009A339E" w:rsidRPr="00FA7F94" w:rsidRDefault="009A339E" w:rsidP="009A339E">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University-appointed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72B5EC2C" w14:textId="759E2BCD" w:rsidR="00943205" w:rsidRPr="00FA7F94" w:rsidRDefault="00943205" w:rsidP="002632C1">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4AF1C87F" w14:textId="77777777" w:rsidR="00943205" w:rsidRPr="00FA7F94" w:rsidRDefault="00943205" w:rsidP="00943205">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481166A9"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procedures for students; and (5) relevant training in counseling supervision.  Site supervisors will complete both a midterm and a final evaluation of the student and sign their log weekly.</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lastRenderedPageBreak/>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7D6FA29" w14:textId="67B4D9AF" w:rsidR="00305D3B" w:rsidRPr="00FA7F94" w:rsidRDefault="00943205" w:rsidP="00305D3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00305D3B" w:rsidRPr="00FA7F94">
        <w:rPr>
          <w:color w:val="000000" w:themeColor="text1"/>
        </w:rPr>
        <w:t xml:space="preserve">Students must submit the following items (shared in Box and in hard copy) to their </w:t>
      </w:r>
      <w:r w:rsidR="00305D3B" w:rsidRPr="00FA7F94">
        <w:rPr>
          <w:i/>
          <w:iCs/>
          <w:color w:val="000000" w:themeColor="text1"/>
        </w:rPr>
        <w:t xml:space="preserve">university group supervisor </w:t>
      </w:r>
      <w:r w:rsidR="00305D3B" w:rsidRPr="00FA7F94">
        <w:rPr>
          <w:color w:val="000000" w:themeColor="text1"/>
        </w:rPr>
        <w:t>to receive final grades. These items will be placed in each student’s file stored in 2084 Haley Center. The items include:</w:t>
      </w:r>
    </w:p>
    <w:p w14:paraId="5D47A101"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1FF8805A"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1B60C022"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69B79E1C" w14:textId="20100D21" w:rsidR="00305D3B" w:rsidRPr="00FA7F94" w:rsidRDefault="00305D3B" w:rsidP="00305D3B">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44397622" w14:textId="77777777" w:rsidR="00305D3B" w:rsidRPr="00FA7F94"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7"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w:t>
      </w:r>
      <w:r w:rsidRPr="00FA7F94">
        <w:rPr>
          <w:bCs/>
          <w:color w:val="000000" w:themeColor="text1"/>
        </w:rPr>
        <w:lastRenderedPageBreak/>
        <w:t>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15C6F926"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 xml:space="preserve">Students who engage in behavior that violates a client’s confidentiality or creates the appearance of lack of privacy by discussing client-related issues in public (including social media) will be </w:t>
      </w:r>
      <w:r w:rsidRPr="00FA7F94">
        <w:rPr>
          <w:color w:val="000000" w:themeColor="text1"/>
          <w:shd w:val="clear" w:color="auto" w:fill="FFFF00"/>
        </w:rPr>
        <w:lastRenderedPageBreak/>
        <w:t>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13201C08" w14:textId="77777777" w:rsidR="00376D75" w:rsidRPr="001F0856" w:rsidRDefault="00376D75" w:rsidP="00376D75">
      <w:pPr>
        <w:rPr>
          <w:b/>
          <w:bCs/>
          <w:color w:val="000000" w:themeColor="text1"/>
        </w:rPr>
      </w:pPr>
      <w:r w:rsidRPr="001F0856">
        <w:rPr>
          <w:b/>
          <w:bCs/>
          <w:color w:val="000000" w:themeColor="text1"/>
          <w:spacing w:val="20"/>
        </w:rPr>
        <w:t>COVID Related Policies</w:t>
      </w:r>
    </w:p>
    <w:p w14:paraId="03A82AD6" w14:textId="1ACB0898"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758C7A9F" w14:textId="77777777" w:rsidR="005F704E" w:rsidRPr="001F0856" w:rsidRDefault="005F704E" w:rsidP="005F704E">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w:t>
      </w:r>
      <w:r>
        <w:rPr>
          <w:color w:val="000000" w:themeColor="text1"/>
        </w:rPr>
        <w:t xml:space="preserve"> not</w:t>
      </w:r>
      <w:r w:rsidRPr="001F0856">
        <w:rPr>
          <w:color w:val="000000" w:themeColor="text1"/>
        </w:rPr>
        <w:t xml:space="preserve"> required</w:t>
      </w:r>
      <w:r>
        <w:rPr>
          <w:color w:val="000000" w:themeColor="text1"/>
        </w:rPr>
        <w:t xml:space="preserve">. I will  update the class and our syllabus regarding COVID-19 policies.  </w:t>
      </w:r>
    </w:p>
    <w:p w14:paraId="7D77A71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72522FFD" w14:textId="77777777" w:rsidR="00376D75" w:rsidRPr="001F0856" w:rsidRDefault="00376D75" w:rsidP="00376D75">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607E8E1" w14:textId="77777777" w:rsidR="00376D75" w:rsidRPr="001F0856" w:rsidRDefault="00376D75" w:rsidP="00376D75">
      <w:pPr>
        <w:rPr>
          <w:color w:val="000000" w:themeColor="text1"/>
          <w:shd w:val="clear" w:color="auto" w:fill="FFFFFF"/>
        </w:rPr>
      </w:pPr>
    </w:p>
    <w:p w14:paraId="087DF634"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635AE308"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21EDB7B" w14:textId="77777777" w:rsidR="00376D75" w:rsidRPr="001F0856" w:rsidRDefault="00376D75" w:rsidP="00376D75">
      <w:pPr>
        <w:rPr>
          <w:b/>
          <w:color w:val="000000" w:themeColor="text1"/>
        </w:rPr>
      </w:pPr>
    </w:p>
    <w:p w14:paraId="24D6E94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lastRenderedPageBreak/>
        <w:t>In the event that I test positive or am required to quarantine</w:t>
      </w:r>
    </w:p>
    <w:p w14:paraId="63C042B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1CBBB2C"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5FD86145" w14:textId="71C485AC" w:rsidR="00376D75" w:rsidRPr="001F0856" w:rsidRDefault="001E02F8" w:rsidP="00376D75">
      <w:pPr>
        <w:pStyle w:val="NormalWeb"/>
        <w:shd w:val="clear" w:color="auto" w:fill="FFFFFF"/>
        <w:spacing w:before="180" w:after="180"/>
        <w:rPr>
          <w:color w:val="000000" w:themeColor="text1"/>
        </w:rPr>
      </w:pPr>
      <w:r>
        <w:rPr>
          <w:color w:val="000000" w:themeColor="text1"/>
        </w:rPr>
        <w:t xml:space="preserve">If we meet </w:t>
      </w:r>
      <w:r w:rsidR="005F704E">
        <w:rPr>
          <w:color w:val="000000" w:themeColor="text1"/>
        </w:rPr>
        <w:t>on</w:t>
      </w:r>
      <w:r w:rsidR="00376D75" w:rsidRPr="001F0856">
        <w:rPr>
          <w:color w:val="000000" w:themeColor="text1"/>
        </w:rPr>
        <w:t xml:space="preserve">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B188F8D"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4847D4E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BED8F1"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2954C2C"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14:paraId="14981DC9"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2ABB6DC8"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736F4940"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0F5A13EA" w14:textId="77777777" w:rsidR="00376D75" w:rsidRPr="00F63136" w:rsidRDefault="00376D75" w:rsidP="00376D75">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142AC0E0"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w:t>
      </w:r>
      <w:r w:rsidRPr="001F0856">
        <w:rPr>
          <w:color w:val="000000" w:themeColor="text1"/>
        </w:rPr>
        <w:lastRenderedPageBreak/>
        <w:t xml:space="preserve">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r w:rsidRPr="00FA7F94">
        <w:rPr>
          <w:color w:val="000000" w:themeColor="text1"/>
        </w:rPr>
        <w:t xml:space="preserve">Ametrano,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doi:10.1002/j.1556-6676.2014.00143.x</w:t>
      </w:r>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Dollarhide,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doi:10.1002/j.1556-6676.2014.00124.x</w:t>
      </w:r>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doi:10.1002/j.2161-007X.2014.00045.x</w:t>
      </w:r>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51627"/>
    <w:rsid w:val="0006034C"/>
    <w:rsid w:val="0007038F"/>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248C"/>
    <w:rsid w:val="001B6E56"/>
    <w:rsid w:val="001E02F8"/>
    <w:rsid w:val="001E37A9"/>
    <w:rsid w:val="001F554D"/>
    <w:rsid w:val="00236B1B"/>
    <w:rsid w:val="002632C1"/>
    <w:rsid w:val="002717A3"/>
    <w:rsid w:val="00292E4A"/>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324B"/>
    <w:rsid w:val="00415A90"/>
    <w:rsid w:val="00416596"/>
    <w:rsid w:val="00424BD0"/>
    <w:rsid w:val="00473248"/>
    <w:rsid w:val="0048024A"/>
    <w:rsid w:val="004851CD"/>
    <w:rsid w:val="00485A55"/>
    <w:rsid w:val="00485AA1"/>
    <w:rsid w:val="004E2B94"/>
    <w:rsid w:val="004E64D1"/>
    <w:rsid w:val="004F2CAF"/>
    <w:rsid w:val="00501887"/>
    <w:rsid w:val="005269D6"/>
    <w:rsid w:val="00535938"/>
    <w:rsid w:val="00552BD7"/>
    <w:rsid w:val="00583DD2"/>
    <w:rsid w:val="005B61F3"/>
    <w:rsid w:val="005D5968"/>
    <w:rsid w:val="005F704E"/>
    <w:rsid w:val="00695077"/>
    <w:rsid w:val="00696703"/>
    <w:rsid w:val="006D061D"/>
    <w:rsid w:val="006F42F7"/>
    <w:rsid w:val="007161E5"/>
    <w:rsid w:val="00731BD8"/>
    <w:rsid w:val="00731FA7"/>
    <w:rsid w:val="0074207C"/>
    <w:rsid w:val="00743A3D"/>
    <w:rsid w:val="0074446C"/>
    <w:rsid w:val="00744AB0"/>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955EC"/>
    <w:rsid w:val="008E4D2F"/>
    <w:rsid w:val="008F46DF"/>
    <w:rsid w:val="009328D9"/>
    <w:rsid w:val="00943205"/>
    <w:rsid w:val="00952297"/>
    <w:rsid w:val="00962E18"/>
    <w:rsid w:val="009671F3"/>
    <w:rsid w:val="00987368"/>
    <w:rsid w:val="0099064A"/>
    <w:rsid w:val="00993AA6"/>
    <w:rsid w:val="00994F58"/>
    <w:rsid w:val="009A32D5"/>
    <w:rsid w:val="009A339E"/>
    <w:rsid w:val="009B73E7"/>
    <w:rsid w:val="009E1AFA"/>
    <w:rsid w:val="009E4239"/>
    <w:rsid w:val="009E69A2"/>
    <w:rsid w:val="009E7FEC"/>
    <w:rsid w:val="00A10960"/>
    <w:rsid w:val="00A359B3"/>
    <w:rsid w:val="00A46431"/>
    <w:rsid w:val="00A647F3"/>
    <w:rsid w:val="00A6776B"/>
    <w:rsid w:val="00A92F99"/>
    <w:rsid w:val="00AB406F"/>
    <w:rsid w:val="00AB7B2C"/>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A2195"/>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abb0010@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Ashley Brown</cp:lastModifiedBy>
  <cp:revision>2</cp:revision>
  <cp:lastPrinted>2021-08-24T20:07:00Z</cp:lastPrinted>
  <dcterms:created xsi:type="dcterms:W3CDTF">2022-08-11T23:21:00Z</dcterms:created>
  <dcterms:modified xsi:type="dcterms:W3CDTF">2022-08-11T23:21:00Z</dcterms:modified>
</cp:coreProperties>
</file>