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026FD7D4" w:rsidR="00AC77BB" w:rsidRDefault="00A768E1" w:rsidP="00ED26E4">
      <w:pPr>
        <w:pStyle w:val="Heading1"/>
      </w:pPr>
      <w:r w:rsidRPr="00F81BF5">
        <w:t xml:space="preserve">EDMD </w:t>
      </w:r>
      <w:r w:rsidR="00411ED9">
        <w:t>51</w:t>
      </w:r>
      <w:r w:rsidRPr="00F81BF5">
        <w:t>00</w:t>
      </w:r>
      <w:r w:rsidR="00F81BF5">
        <w:t xml:space="preserve"> </w:t>
      </w:r>
      <w:r w:rsidR="00411ED9">
        <w:t>–</w:t>
      </w:r>
      <w:r w:rsidR="00F81BF5">
        <w:t xml:space="preserve"> </w:t>
      </w:r>
      <w:r w:rsidR="00411ED9">
        <w:t>Media for Children and Youth</w:t>
      </w:r>
    </w:p>
    <w:p w14:paraId="6AE77610" w14:textId="77777777" w:rsidR="00ED26E4" w:rsidRDefault="00ED26E4" w:rsidP="00ED26E4">
      <w:pPr>
        <w:pStyle w:val="Heading2"/>
        <w:spacing w:before="240"/>
        <w:rPr>
          <w:rStyle w:val="Heading2Char"/>
        </w:rPr>
      </w:pPr>
      <w:r>
        <w:t>Credit Hours</w:t>
      </w:r>
    </w:p>
    <w:p w14:paraId="4CA93D1F" w14:textId="7FE378F9" w:rsidR="0046064C" w:rsidRDefault="00411ED9" w:rsidP="0046064C">
      <w:r>
        <w:t>3</w:t>
      </w:r>
      <w:r w:rsidR="00632AC5" w:rsidRPr="00D87C26">
        <w:t xml:space="preserve"> semester hours </w:t>
      </w:r>
    </w:p>
    <w:p w14:paraId="139AAB1A" w14:textId="76E8829C" w:rsidR="0046064C" w:rsidRPr="00D87C26" w:rsidRDefault="0046064C" w:rsidP="0046064C">
      <w:r w:rsidRPr="0046064C">
        <w:t>Date Syllabus Prepared:</w:t>
      </w:r>
      <w:r w:rsidRPr="00D87C26">
        <w:t xml:space="preserve">  </w:t>
      </w:r>
      <w:r w:rsidR="00B727A4">
        <w:t>August</w:t>
      </w:r>
      <w:r w:rsidR="008B3973">
        <w:t>202</w:t>
      </w:r>
      <w:r w:rsidR="004B60F4">
        <w:t>2</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1E8E2EBD" w:rsidR="00EC12B5" w:rsidRDefault="00EC12B5" w:rsidP="00ED26E4">
      <w:pPr>
        <w:tabs>
          <w:tab w:val="left" w:pos="3240"/>
        </w:tabs>
      </w:pPr>
      <w:r>
        <w:t xml:space="preserve">Zoom Room address:  </w:t>
      </w:r>
      <w:r w:rsidR="004D11A5" w:rsidRPr="004D11A5">
        <w:t>https://auburn.zoom.us/j/81577094681</w:t>
      </w:r>
    </w:p>
    <w:p w14:paraId="074298F7" w14:textId="77777777" w:rsidR="0046064C" w:rsidRDefault="00A768E1" w:rsidP="0046064C">
      <w:pPr>
        <w:pStyle w:val="Heading2"/>
      </w:pPr>
      <w:r w:rsidRPr="0046064C">
        <w:t>Text</w:t>
      </w:r>
      <w:r w:rsidR="0046064C">
        <w:t>(s)</w:t>
      </w:r>
      <w:r w:rsidRPr="00D87C26">
        <w:t>:</w:t>
      </w:r>
      <w:r w:rsidRPr="00D87C26">
        <w:tab/>
      </w:r>
    </w:p>
    <w:tbl>
      <w:tblPr>
        <w:tblStyle w:val="TableGrid"/>
        <w:tblW w:w="0" w:type="auto"/>
        <w:tblLook w:val="04A0" w:firstRow="1" w:lastRow="0" w:firstColumn="1" w:lastColumn="0" w:noHBand="0" w:noVBand="1"/>
      </w:tblPr>
      <w:tblGrid>
        <w:gridCol w:w="3583"/>
        <w:gridCol w:w="3612"/>
        <w:gridCol w:w="2078"/>
      </w:tblGrid>
      <w:tr w:rsidR="00365116" w:rsidRPr="00365116" w14:paraId="1CC8A0DC" w14:textId="77777777" w:rsidTr="00365116">
        <w:tc>
          <w:tcPr>
            <w:tcW w:w="3583" w:type="dxa"/>
          </w:tcPr>
          <w:p w14:paraId="2E66F68B" w14:textId="0FA01A71" w:rsidR="00365116" w:rsidRPr="00365116" w:rsidRDefault="00365116" w:rsidP="0079506B">
            <w:pPr>
              <w:tabs>
                <w:tab w:val="left" w:pos="720"/>
                <w:tab w:val="left" w:pos="1440"/>
              </w:tabs>
              <w:rPr>
                <w:b/>
                <w:bCs/>
              </w:rPr>
            </w:pPr>
            <w:r w:rsidRPr="00365116">
              <w:rPr>
                <w:b/>
                <w:bCs/>
              </w:rPr>
              <w:t>Award</w:t>
            </w:r>
          </w:p>
        </w:tc>
        <w:tc>
          <w:tcPr>
            <w:tcW w:w="3612" w:type="dxa"/>
          </w:tcPr>
          <w:p w14:paraId="3F0CFA34" w14:textId="7A270FC7" w:rsidR="00365116" w:rsidRPr="00365116" w:rsidRDefault="00365116" w:rsidP="0079506B">
            <w:pPr>
              <w:tabs>
                <w:tab w:val="left" w:pos="720"/>
                <w:tab w:val="left" w:pos="1440"/>
              </w:tabs>
              <w:rPr>
                <w:b/>
                <w:bCs/>
              </w:rPr>
            </w:pPr>
            <w:r w:rsidRPr="00365116">
              <w:rPr>
                <w:b/>
                <w:bCs/>
              </w:rPr>
              <w:t>Title, Author</w:t>
            </w:r>
          </w:p>
        </w:tc>
        <w:tc>
          <w:tcPr>
            <w:tcW w:w="2078" w:type="dxa"/>
          </w:tcPr>
          <w:p w14:paraId="6FE77035" w14:textId="3CA036C3" w:rsidR="00365116" w:rsidRPr="00365116" w:rsidRDefault="00365116" w:rsidP="0079506B">
            <w:pPr>
              <w:tabs>
                <w:tab w:val="left" w:pos="720"/>
                <w:tab w:val="left" w:pos="1440"/>
              </w:tabs>
              <w:rPr>
                <w:b/>
                <w:bCs/>
              </w:rPr>
            </w:pPr>
            <w:r w:rsidRPr="00365116">
              <w:rPr>
                <w:b/>
                <w:bCs/>
              </w:rPr>
              <w:t>Syllabus Shortcut</w:t>
            </w:r>
          </w:p>
        </w:tc>
      </w:tr>
      <w:tr w:rsidR="00365116" w:rsidRPr="00953FDD" w14:paraId="4642ECB2" w14:textId="0237667D" w:rsidTr="00365116">
        <w:tc>
          <w:tcPr>
            <w:tcW w:w="3583" w:type="dxa"/>
          </w:tcPr>
          <w:p w14:paraId="01C03877" w14:textId="77777777" w:rsidR="00365116" w:rsidRPr="00953FDD" w:rsidRDefault="00365116" w:rsidP="0079506B">
            <w:pPr>
              <w:tabs>
                <w:tab w:val="left" w:pos="720"/>
                <w:tab w:val="left" w:pos="1440"/>
              </w:tabs>
            </w:pPr>
            <w:r w:rsidRPr="00953FDD">
              <w:t>2022 Newberry Medal Award Winner</w:t>
            </w:r>
          </w:p>
        </w:tc>
        <w:tc>
          <w:tcPr>
            <w:tcW w:w="3612" w:type="dxa"/>
          </w:tcPr>
          <w:p w14:paraId="4C2579C3" w14:textId="4E4BD129" w:rsidR="00365116" w:rsidRPr="00953FDD" w:rsidRDefault="00365116" w:rsidP="0079506B">
            <w:pPr>
              <w:tabs>
                <w:tab w:val="left" w:pos="720"/>
                <w:tab w:val="left" w:pos="1440"/>
              </w:tabs>
            </w:pPr>
            <w:r>
              <w:t xml:space="preserve">The Last </w:t>
            </w:r>
            <w:proofErr w:type="spellStart"/>
            <w:r>
              <w:t>Cuentista</w:t>
            </w:r>
            <w:proofErr w:type="spellEnd"/>
            <w:r>
              <w:t>, Donna Barba Higuera</w:t>
            </w:r>
          </w:p>
        </w:tc>
        <w:tc>
          <w:tcPr>
            <w:tcW w:w="2078" w:type="dxa"/>
          </w:tcPr>
          <w:p w14:paraId="226369EE" w14:textId="3D74A7ED" w:rsidR="00365116" w:rsidRDefault="00365116" w:rsidP="0079506B">
            <w:pPr>
              <w:tabs>
                <w:tab w:val="left" w:pos="720"/>
                <w:tab w:val="left" w:pos="1440"/>
              </w:tabs>
            </w:pPr>
            <w:proofErr w:type="spellStart"/>
            <w:r>
              <w:t>Cuentista</w:t>
            </w:r>
            <w:proofErr w:type="spellEnd"/>
          </w:p>
        </w:tc>
      </w:tr>
      <w:tr w:rsidR="00365116" w:rsidRPr="00953FDD" w14:paraId="7C49E17E" w14:textId="0FD03909" w:rsidTr="00365116">
        <w:tc>
          <w:tcPr>
            <w:tcW w:w="3583" w:type="dxa"/>
          </w:tcPr>
          <w:p w14:paraId="107F3CBD" w14:textId="77777777" w:rsidR="00365116" w:rsidRPr="00953FDD" w:rsidRDefault="00365116" w:rsidP="0079506B">
            <w:pPr>
              <w:tabs>
                <w:tab w:val="left" w:pos="720"/>
                <w:tab w:val="left" w:pos="1440"/>
              </w:tabs>
            </w:pPr>
            <w:r w:rsidRPr="00953FDD">
              <w:t>2022 Caldecott Medal Award Winner</w:t>
            </w:r>
          </w:p>
        </w:tc>
        <w:tc>
          <w:tcPr>
            <w:tcW w:w="3612" w:type="dxa"/>
          </w:tcPr>
          <w:p w14:paraId="5B017501" w14:textId="6CEA8D90" w:rsidR="00365116" w:rsidRPr="00953FDD" w:rsidRDefault="00365116" w:rsidP="0079506B">
            <w:pPr>
              <w:tabs>
                <w:tab w:val="left" w:pos="720"/>
                <w:tab w:val="left" w:pos="1440"/>
              </w:tabs>
            </w:pPr>
            <w:r>
              <w:t xml:space="preserve">Watercress, Andrea </w:t>
            </w:r>
            <w:proofErr w:type="gramStart"/>
            <w:r>
              <w:t>Wang</w:t>
            </w:r>
            <w:proofErr w:type="gramEnd"/>
            <w:r>
              <w:t xml:space="preserve"> and Jason Chin</w:t>
            </w:r>
          </w:p>
        </w:tc>
        <w:tc>
          <w:tcPr>
            <w:tcW w:w="2078" w:type="dxa"/>
          </w:tcPr>
          <w:p w14:paraId="4228BD1A" w14:textId="2F338BCD" w:rsidR="00365116" w:rsidRDefault="00365116" w:rsidP="0079506B">
            <w:pPr>
              <w:tabs>
                <w:tab w:val="left" w:pos="720"/>
                <w:tab w:val="left" w:pos="1440"/>
              </w:tabs>
            </w:pPr>
            <w:r>
              <w:t>Watercress</w:t>
            </w:r>
          </w:p>
        </w:tc>
      </w:tr>
      <w:tr w:rsidR="00365116" w:rsidRPr="00953FDD" w14:paraId="316E2D04" w14:textId="5047CFC2" w:rsidTr="00365116">
        <w:tc>
          <w:tcPr>
            <w:tcW w:w="3583" w:type="dxa"/>
          </w:tcPr>
          <w:p w14:paraId="395C9FE0" w14:textId="77777777" w:rsidR="00365116" w:rsidRPr="00953FDD" w:rsidRDefault="00365116" w:rsidP="0079506B">
            <w:pPr>
              <w:tabs>
                <w:tab w:val="left" w:pos="720"/>
                <w:tab w:val="left" w:pos="1440"/>
              </w:tabs>
            </w:pPr>
            <w:r w:rsidRPr="00953FDD">
              <w:t>2022 Coretta Scott King (Author &amp; Illustrator) Award Winner</w:t>
            </w:r>
          </w:p>
        </w:tc>
        <w:tc>
          <w:tcPr>
            <w:tcW w:w="3612" w:type="dxa"/>
          </w:tcPr>
          <w:p w14:paraId="29C40144" w14:textId="245DBD6A" w:rsidR="00365116" w:rsidRPr="00953FDD" w:rsidRDefault="00365116" w:rsidP="0079506B">
            <w:pPr>
              <w:tabs>
                <w:tab w:val="left" w:pos="720"/>
                <w:tab w:val="left" w:pos="1440"/>
              </w:tabs>
            </w:pPr>
            <w:r>
              <w:t xml:space="preserve">Unspeakable: The Tulsa Race Massacre, Carole Boston </w:t>
            </w:r>
            <w:proofErr w:type="gramStart"/>
            <w:r>
              <w:t>Weatherford</w:t>
            </w:r>
            <w:proofErr w:type="gramEnd"/>
            <w:r>
              <w:t xml:space="preserve"> and Floyd Cooper</w:t>
            </w:r>
          </w:p>
        </w:tc>
        <w:tc>
          <w:tcPr>
            <w:tcW w:w="2078" w:type="dxa"/>
          </w:tcPr>
          <w:p w14:paraId="6DFA2BE7" w14:textId="508996BE" w:rsidR="00365116" w:rsidRDefault="00365116" w:rsidP="0079506B">
            <w:pPr>
              <w:tabs>
                <w:tab w:val="left" w:pos="720"/>
                <w:tab w:val="left" w:pos="1440"/>
              </w:tabs>
            </w:pPr>
            <w:r>
              <w:t>Unspeakable</w:t>
            </w:r>
          </w:p>
        </w:tc>
      </w:tr>
      <w:tr w:rsidR="00365116" w:rsidRPr="00953FDD" w14:paraId="2717D2CF" w14:textId="2A6481FD" w:rsidTr="00365116">
        <w:tc>
          <w:tcPr>
            <w:tcW w:w="3583" w:type="dxa"/>
          </w:tcPr>
          <w:p w14:paraId="6AC1C7B8" w14:textId="77777777" w:rsidR="00365116" w:rsidRPr="00953FDD" w:rsidRDefault="00365116" w:rsidP="0079506B">
            <w:pPr>
              <w:tabs>
                <w:tab w:val="left" w:pos="720"/>
                <w:tab w:val="left" w:pos="1440"/>
              </w:tabs>
            </w:pPr>
            <w:r w:rsidRPr="00953FDD">
              <w:t>2022 Michael Printz Award Winner</w:t>
            </w:r>
          </w:p>
        </w:tc>
        <w:tc>
          <w:tcPr>
            <w:tcW w:w="3612" w:type="dxa"/>
          </w:tcPr>
          <w:p w14:paraId="1163DFCF" w14:textId="3EC38952" w:rsidR="00365116" w:rsidRPr="00953FDD" w:rsidRDefault="00365116" w:rsidP="0079506B">
            <w:pPr>
              <w:tabs>
                <w:tab w:val="left" w:pos="720"/>
                <w:tab w:val="left" w:pos="1440"/>
              </w:tabs>
            </w:pPr>
            <w:r>
              <w:t xml:space="preserve">Firekeeper’s Daughter, Angeline </w:t>
            </w:r>
            <w:proofErr w:type="spellStart"/>
            <w:r>
              <w:t>Boulley</w:t>
            </w:r>
            <w:proofErr w:type="spellEnd"/>
          </w:p>
        </w:tc>
        <w:tc>
          <w:tcPr>
            <w:tcW w:w="2078" w:type="dxa"/>
          </w:tcPr>
          <w:p w14:paraId="6CDBA099" w14:textId="6B8499F2" w:rsidR="00365116" w:rsidRDefault="00365116" w:rsidP="0079506B">
            <w:pPr>
              <w:tabs>
                <w:tab w:val="left" w:pos="720"/>
                <w:tab w:val="left" w:pos="1440"/>
              </w:tabs>
            </w:pPr>
            <w:r>
              <w:t>Firekeeper</w:t>
            </w:r>
          </w:p>
        </w:tc>
      </w:tr>
      <w:tr w:rsidR="00365116" w:rsidRPr="00953FDD" w14:paraId="7032B4B2" w14:textId="03B4BEF3" w:rsidTr="00365116">
        <w:tc>
          <w:tcPr>
            <w:tcW w:w="3583" w:type="dxa"/>
          </w:tcPr>
          <w:p w14:paraId="57FF176E" w14:textId="77777777" w:rsidR="00365116" w:rsidRPr="00953FDD" w:rsidRDefault="00365116" w:rsidP="0079506B">
            <w:pPr>
              <w:tabs>
                <w:tab w:val="left" w:pos="720"/>
                <w:tab w:val="left" w:pos="1440"/>
              </w:tabs>
            </w:pPr>
            <w:r w:rsidRPr="00953FDD">
              <w:t>2022 Schneider Family Book award winner</w:t>
            </w:r>
          </w:p>
        </w:tc>
        <w:tc>
          <w:tcPr>
            <w:tcW w:w="3612" w:type="dxa"/>
          </w:tcPr>
          <w:p w14:paraId="17A72E5A" w14:textId="63B15A6F" w:rsidR="00365116" w:rsidRPr="00953FDD" w:rsidRDefault="00365116" w:rsidP="0079506B">
            <w:pPr>
              <w:tabs>
                <w:tab w:val="left" w:pos="720"/>
                <w:tab w:val="left" w:pos="1440"/>
              </w:tabs>
            </w:pPr>
            <w:r>
              <w:t xml:space="preserve">My City Speaks, Darren </w:t>
            </w:r>
            <w:proofErr w:type="spellStart"/>
            <w:r>
              <w:t>Lebeuf</w:t>
            </w:r>
            <w:proofErr w:type="spellEnd"/>
          </w:p>
        </w:tc>
        <w:tc>
          <w:tcPr>
            <w:tcW w:w="2078" w:type="dxa"/>
          </w:tcPr>
          <w:p w14:paraId="480E1CB6" w14:textId="74EFC13B" w:rsidR="00365116" w:rsidRDefault="00365116" w:rsidP="0079506B">
            <w:pPr>
              <w:tabs>
                <w:tab w:val="left" w:pos="720"/>
                <w:tab w:val="left" w:pos="1440"/>
              </w:tabs>
            </w:pPr>
            <w:r>
              <w:t>City</w:t>
            </w:r>
          </w:p>
        </w:tc>
      </w:tr>
      <w:tr w:rsidR="00365116" w:rsidRPr="00953FDD" w14:paraId="2A69394C" w14:textId="18704350" w:rsidTr="00365116">
        <w:tc>
          <w:tcPr>
            <w:tcW w:w="3583" w:type="dxa"/>
          </w:tcPr>
          <w:p w14:paraId="644AF36B" w14:textId="77777777" w:rsidR="00365116" w:rsidRPr="00953FDD" w:rsidRDefault="00365116" w:rsidP="0079506B">
            <w:pPr>
              <w:tabs>
                <w:tab w:val="left" w:pos="720"/>
                <w:tab w:val="left" w:pos="1440"/>
              </w:tabs>
            </w:pPr>
            <w:r w:rsidRPr="00953FDD">
              <w:t>2022 Mildred Batchelder Award Winner</w:t>
            </w:r>
          </w:p>
        </w:tc>
        <w:tc>
          <w:tcPr>
            <w:tcW w:w="3612" w:type="dxa"/>
          </w:tcPr>
          <w:p w14:paraId="1B6D9598" w14:textId="2464DA0B" w:rsidR="00365116" w:rsidRPr="00953FDD" w:rsidRDefault="00365116" w:rsidP="0079506B">
            <w:pPr>
              <w:tabs>
                <w:tab w:val="left" w:pos="720"/>
                <w:tab w:val="left" w:pos="1440"/>
              </w:tabs>
            </w:pPr>
            <w:r>
              <w:t xml:space="preserve">Temple Alley Summer, Sachiko </w:t>
            </w:r>
            <w:proofErr w:type="spellStart"/>
            <w:r>
              <w:t>Kashiwaba</w:t>
            </w:r>
            <w:proofErr w:type="spellEnd"/>
            <w:r>
              <w:t xml:space="preserve"> and Miho </w:t>
            </w:r>
            <w:proofErr w:type="spellStart"/>
            <w:r>
              <w:t>Satake</w:t>
            </w:r>
            <w:proofErr w:type="spellEnd"/>
          </w:p>
        </w:tc>
        <w:tc>
          <w:tcPr>
            <w:tcW w:w="2078" w:type="dxa"/>
          </w:tcPr>
          <w:p w14:paraId="25D31195" w14:textId="57619811" w:rsidR="00365116" w:rsidRDefault="00365116" w:rsidP="0079506B">
            <w:pPr>
              <w:tabs>
                <w:tab w:val="left" w:pos="720"/>
                <w:tab w:val="left" w:pos="1440"/>
              </w:tabs>
            </w:pPr>
            <w:r>
              <w:t>Temple</w:t>
            </w:r>
          </w:p>
        </w:tc>
      </w:tr>
      <w:tr w:rsidR="00365116" w:rsidRPr="00D43CD4" w14:paraId="0C31B409" w14:textId="59E02C77" w:rsidTr="00365116">
        <w:tc>
          <w:tcPr>
            <w:tcW w:w="3583" w:type="dxa"/>
          </w:tcPr>
          <w:p w14:paraId="21C7E1E4" w14:textId="77777777" w:rsidR="00365116" w:rsidRPr="00953FDD" w:rsidRDefault="00365116" w:rsidP="0079506B">
            <w:pPr>
              <w:tabs>
                <w:tab w:val="left" w:pos="720"/>
                <w:tab w:val="left" w:pos="1440"/>
              </w:tabs>
            </w:pPr>
            <w:r w:rsidRPr="00953FDD">
              <w:t>2022 Odyssey Audiobook Award Winner</w:t>
            </w:r>
          </w:p>
        </w:tc>
        <w:tc>
          <w:tcPr>
            <w:tcW w:w="3612" w:type="dxa"/>
          </w:tcPr>
          <w:p w14:paraId="2D6F6CDD" w14:textId="5809A699" w:rsidR="00365116" w:rsidRPr="000D3EC3" w:rsidRDefault="00365116" w:rsidP="0079506B">
            <w:pPr>
              <w:tabs>
                <w:tab w:val="left" w:pos="720"/>
                <w:tab w:val="left" w:pos="1440"/>
              </w:tabs>
              <w:rPr>
                <w:lang w:val="es-ES"/>
              </w:rPr>
            </w:pPr>
            <w:proofErr w:type="spellStart"/>
            <w:r w:rsidRPr="000D3EC3">
              <w:rPr>
                <w:lang w:val="es-ES"/>
              </w:rPr>
              <w:t>Boogie</w:t>
            </w:r>
            <w:proofErr w:type="spellEnd"/>
            <w:r w:rsidRPr="000D3EC3">
              <w:rPr>
                <w:lang w:val="es-ES"/>
              </w:rPr>
              <w:t xml:space="preserve"> </w:t>
            </w:r>
            <w:proofErr w:type="spellStart"/>
            <w:r w:rsidRPr="000D3EC3">
              <w:rPr>
                <w:lang w:val="es-ES"/>
              </w:rPr>
              <w:t>Boogie</w:t>
            </w:r>
            <w:proofErr w:type="spellEnd"/>
            <w:r w:rsidRPr="000D3EC3">
              <w:rPr>
                <w:lang w:val="es-ES"/>
              </w:rPr>
              <w:t xml:space="preserve">, </w:t>
            </w:r>
            <w:proofErr w:type="spellStart"/>
            <w:r w:rsidRPr="000D3EC3">
              <w:rPr>
                <w:lang w:val="es-ES"/>
              </w:rPr>
              <w:t>Y’all</w:t>
            </w:r>
            <w:proofErr w:type="spellEnd"/>
            <w:r w:rsidRPr="000D3EC3">
              <w:rPr>
                <w:lang w:val="es-ES"/>
              </w:rPr>
              <w:t>, C. G. Esperanza</w:t>
            </w:r>
          </w:p>
        </w:tc>
        <w:tc>
          <w:tcPr>
            <w:tcW w:w="2078" w:type="dxa"/>
          </w:tcPr>
          <w:p w14:paraId="0816B7D0" w14:textId="1E38F97C" w:rsidR="00365116" w:rsidRPr="000D3EC3" w:rsidRDefault="00365116" w:rsidP="0079506B">
            <w:pPr>
              <w:tabs>
                <w:tab w:val="left" w:pos="720"/>
                <w:tab w:val="left" w:pos="1440"/>
              </w:tabs>
              <w:rPr>
                <w:lang w:val="es-ES"/>
              </w:rPr>
            </w:pPr>
            <w:proofErr w:type="spellStart"/>
            <w:r>
              <w:rPr>
                <w:lang w:val="es-ES"/>
              </w:rPr>
              <w:t>Boogie</w:t>
            </w:r>
            <w:proofErr w:type="spellEnd"/>
            <w:r>
              <w:rPr>
                <w:lang w:val="es-ES"/>
              </w:rPr>
              <w:t xml:space="preserve"> </w:t>
            </w:r>
            <w:proofErr w:type="spellStart"/>
            <w:r>
              <w:rPr>
                <w:lang w:val="es-ES"/>
              </w:rPr>
              <w:t>Boogie</w:t>
            </w:r>
            <w:proofErr w:type="spellEnd"/>
          </w:p>
        </w:tc>
      </w:tr>
      <w:tr w:rsidR="00365116" w:rsidRPr="00953FDD" w14:paraId="1466930A" w14:textId="3CC7E56C" w:rsidTr="00365116">
        <w:tc>
          <w:tcPr>
            <w:tcW w:w="3583" w:type="dxa"/>
          </w:tcPr>
          <w:p w14:paraId="69D46654" w14:textId="77777777" w:rsidR="00365116" w:rsidRPr="00953FDD" w:rsidRDefault="00365116" w:rsidP="0079506B">
            <w:pPr>
              <w:tabs>
                <w:tab w:val="left" w:pos="720"/>
                <w:tab w:val="left" w:pos="1440"/>
              </w:tabs>
            </w:pPr>
            <w:r w:rsidRPr="00953FDD">
              <w:t>2022 Robert Sibert Informational Book Award Winner</w:t>
            </w:r>
          </w:p>
        </w:tc>
        <w:tc>
          <w:tcPr>
            <w:tcW w:w="3612" w:type="dxa"/>
          </w:tcPr>
          <w:p w14:paraId="628DFC18" w14:textId="25D9F171" w:rsidR="00365116" w:rsidRPr="00953FDD" w:rsidRDefault="00365116" w:rsidP="0079506B">
            <w:pPr>
              <w:tabs>
                <w:tab w:val="left" w:pos="720"/>
                <w:tab w:val="left" w:pos="1440"/>
              </w:tabs>
            </w:pPr>
            <w:r>
              <w:t xml:space="preserve">The People’s Painter: How Ben Shahn Fought for Justice with Art, Cynthia </w:t>
            </w:r>
            <w:proofErr w:type="gramStart"/>
            <w:r>
              <w:t>Levinson</w:t>
            </w:r>
            <w:proofErr w:type="gramEnd"/>
            <w:r>
              <w:t xml:space="preserve"> and Evan Turk</w:t>
            </w:r>
          </w:p>
        </w:tc>
        <w:tc>
          <w:tcPr>
            <w:tcW w:w="2078" w:type="dxa"/>
          </w:tcPr>
          <w:p w14:paraId="5BB93B1F" w14:textId="501C51F1" w:rsidR="00365116" w:rsidRDefault="00365116" w:rsidP="0079506B">
            <w:pPr>
              <w:tabs>
                <w:tab w:val="left" w:pos="720"/>
                <w:tab w:val="left" w:pos="1440"/>
              </w:tabs>
            </w:pPr>
            <w:r>
              <w:t>People</w:t>
            </w:r>
          </w:p>
        </w:tc>
      </w:tr>
    </w:tbl>
    <w:p w14:paraId="25B254B1" w14:textId="67B4B3F4" w:rsidR="000D5D55" w:rsidRPr="00176E9A" w:rsidRDefault="00176E9A" w:rsidP="00ED26E4">
      <w:pPr>
        <w:tabs>
          <w:tab w:val="left" w:pos="720"/>
          <w:tab w:val="left" w:pos="1440"/>
        </w:tabs>
        <w:rPr>
          <w:i/>
        </w:rPr>
      </w:pPr>
      <w:r w:rsidRPr="00176E9A">
        <w:rPr>
          <w:i/>
        </w:rPr>
        <w:t xml:space="preserve">*note: </w:t>
      </w:r>
      <w:proofErr w:type="spellStart"/>
      <w:r w:rsidR="0092291C">
        <w:rPr>
          <w:i/>
        </w:rPr>
        <w:t>Coursepack</w:t>
      </w:r>
      <w:proofErr w:type="spellEnd"/>
      <w:r w:rsidRPr="00176E9A">
        <w:rPr>
          <w:i/>
        </w:rPr>
        <w:t xml:space="preserve"> will be available in Canvas.</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074AB10F"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t>
      </w:r>
      <w:r w:rsidR="00601D10">
        <w:t xml:space="preserve">I </w:t>
      </w:r>
      <w:r w:rsidR="00F605CF">
        <w:t xml:space="preserve">strongly recommend that students make use of the University provided OneDrive account that each Auburn Student may access.  This account is accessible </w:t>
      </w:r>
      <w:r w:rsidR="007A6EA4">
        <w:t>wherever</w:t>
      </w:r>
      <w:r w:rsidR="00F605CF">
        <w:t xml:space="preserve">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w:t>
      </w:r>
      <w:proofErr w:type="gramStart"/>
      <w:r>
        <w:t>is capable of accessing</w:t>
      </w:r>
      <w:proofErr w:type="gramEnd"/>
      <w:r>
        <w:t xml:space="preserve">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lastRenderedPageBreak/>
        <w:t>Recommended:</w:t>
      </w:r>
    </w:p>
    <w:p w14:paraId="2A5D5E8B" w14:textId="4DA192E3" w:rsidR="006D1E8B" w:rsidRPr="00D86AE4" w:rsidRDefault="006D1E8B" w:rsidP="00E2748A">
      <w:pPr>
        <w:ind w:left="720"/>
      </w:pPr>
      <w:r w:rsidRPr="00D86AE4">
        <w:rPr>
          <w:i/>
        </w:rPr>
        <w:t>3-ring binder</w:t>
      </w:r>
      <w:r w:rsidRPr="00D86AE4">
        <w:t xml:space="preserve">.  Students </w:t>
      </w:r>
      <w:r w:rsidR="00EC12B5">
        <w:t xml:space="preserve">who elect to </w:t>
      </w:r>
      <w:r w:rsidR="007A6EA4">
        <w:t xml:space="preserve">print Canvas pages or other informational online resources </w:t>
      </w:r>
      <w:r w:rsidR="00EC12B5">
        <w:t>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2FFDF8E0" w14:textId="7E228AC6" w:rsidR="00A768E1" w:rsidRPr="00A13320" w:rsidRDefault="00A13320" w:rsidP="00A13320">
      <w:pPr>
        <w:pStyle w:val="Expectn"/>
        <w:numPr>
          <w:ilvl w:val="0"/>
          <w:numId w:val="0"/>
        </w:numPr>
        <w:tabs>
          <w:tab w:val="clear" w:pos="540"/>
          <w:tab w:val="clear" w:pos="4680"/>
          <w:tab w:val="clear" w:pos="8640"/>
          <w:tab w:val="clear" w:pos="9360"/>
        </w:tabs>
        <w:spacing w:line="240" w:lineRule="auto"/>
        <w:rPr>
          <w:szCs w:val="24"/>
        </w:rPr>
      </w:pPr>
      <w:r w:rsidRPr="00A13320">
        <w:rPr>
          <w:szCs w:val="24"/>
        </w:rPr>
        <w:t>Examination and evaluation of current literature in print and other formats, including oral literature. Focuses on literary and instructional criteria for selecting and utilizing media</w:t>
      </w:r>
    </w:p>
    <w:p w14:paraId="3D417607" w14:textId="77777777" w:rsidR="00323278" w:rsidRPr="00D87C26" w:rsidRDefault="00615190" w:rsidP="00006E9A">
      <w:pPr>
        <w:pStyle w:val="Heading2"/>
      </w:pPr>
      <w:r w:rsidRPr="00D87C26">
        <w:t>Course Objectives:</w:t>
      </w:r>
    </w:p>
    <w:p w14:paraId="528CFA69" w14:textId="77777777" w:rsidR="00D767B6" w:rsidRPr="00D767B6" w:rsidRDefault="00D767B6" w:rsidP="00D767B6">
      <w:pPr>
        <w:numPr>
          <w:ilvl w:val="0"/>
          <w:numId w:val="33"/>
        </w:numPr>
        <w:tabs>
          <w:tab w:val="clear" w:pos="720"/>
        </w:tabs>
        <w:ind w:left="540"/>
      </w:pPr>
      <w:r w:rsidRPr="00D767B6">
        <w:t>Specify types of media and instructional rationale for each.</w:t>
      </w:r>
    </w:p>
    <w:p w14:paraId="056F6717" w14:textId="77777777" w:rsidR="00D767B6" w:rsidRPr="00D767B6" w:rsidRDefault="00D767B6" w:rsidP="00D767B6">
      <w:pPr>
        <w:numPr>
          <w:ilvl w:val="0"/>
          <w:numId w:val="33"/>
        </w:numPr>
        <w:tabs>
          <w:tab w:val="clear" w:pos="720"/>
        </w:tabs>
        <w:ind w:left="540"/>
      </w:pPr>
      <w:r w:rsidRPr="00D767B6">
        <w:t>Evaluate books and digital media, for use with children from preschool into junior high and possibly beyond.</w:t>
      </w:r>
    </w:p>
    <w:p w14:paraId="1DD298C7" w14:textId="77777777" w:rsidR="00D767B6" w:rsidRPr="00D767B6" w:rsidRDefault="00D767B6" w:rsidP="00D767B6">
      <w:pPr>
        <w:numPr>
          <w:ilvl w:val="0"/>
          <w:numId w:val="33"/>
        </w:numPr>
        <w:tabs>
          <w:tab w:val="clear" w:pos="720"/>
        </w:tabs>
        <w:ind w:left="540"/>
      </w:pPr>
      <w:r w:rsidRPr="00D767B6">
        <w:t xml:space="preserve">Distinguish </w:t>
      </w:r>
      <w:proofErr w:type="gramStart"/>
      <w:r w:rsidRPr="00D767B6">
        <w:t>between:</w:t>
      </w:r>
      <w:proofErr w:type="gramEnd"/>
      <w:r w:rsidRPr="00D767B6">
        <w:t xml:space="preserve">  picture books, chapter books, graphic novels and state uses of each.</w:t>
      </w:r>
    </w:p>
    <w:p w14:paraId="333BBF58" w14:textId="77777777" w:rsidR="00D767B6" w:rsidRPr="00D767B6" w:rsidRDefault="00D767B6" w:rsidP="00D767B6">
      <w:pPr>
        <w:numPr>
          <w:ilvl w:val="0"/>
          <w:numId w:val="33"/>
        </w:numPr>
        <w:tabs>
          <w:tab w:val="clear" w:pos="720"/>
        </w:tabs>
        <w:ind w:left="540"/>
      </w:pPr>
      <w:r w:rsidRPr="00D767B6">
        <w:t>List characteristic developments of childhood, the abilities, and needs of children, as related to media use.</w:t>
      </w:r>
    </w:p>
    <w:p w14:paraId="16285D86" w14:textId="77777777" w:rsidR="00D767B6" w:rsidRPr="00D767B6" w:rsidRDefault="00D767B6" w:rsidP="00D767B6">
      <w:pPr>
        <w:numPr>
          <w:ilvl w:val="0"/>
          <w:numId w:val="33"/>
        </w:numPr>
        <w:tabs>
          <w:tab w:val="clear" w:pos="720"/>
        </w:tabs>
        <w:ind w:left="540"/>
      </w:pPr>
      <w:r w:rsidRPr="00D767B6">
        <w:t>Outline stages of children’s interests and reading/viewing/listening habits.</w:t>
      </w:r>
    </w:p>
    <w:p w14:paraId="2598AD41" w14:textId="77777777" w:rsidR="00D767B6" w:rsidRPr="00D767B6" w:rsidRDefault="00D767B6" w:rsidP="00D767B6">
      <w:pPr>
        <w:numPr>
          <w:ilvl w:val="0"/>
          <w:numId w:val="33"/>
        </w:numPr>
        <w:tabs>
          <w:tab w:val="clear" w:pos="720"/>
        </w:tabs>
        <w:ind w:left="540"/>
      </w:pPr>
      <w:r w:rsidRPr="00D767B6">
        <w:t>Identify works by type (genre), such as fable, myth, epic and hero tale, folktale, fantasy, fiction (including historical), biography, nonfiction (informational/factual).</w:t>
      </w:r>
    </w:p>
    <w:p w14:paraId="6D3B6CB4" w14:textId="58B53B8E" w:rsidR="00D767B6" w:rsidRPr="00D767B6" w:rsidRDefault="00D767B6" w:rsidP="00D767B6">
      <w:pPr>
        <w:numPr>
          <w:ilvl w:val="0"/>
          <w:numId w:val="33"/>
        </w:numPr>
        <w:tabs>
          <w:tab w:val="clear" w:pos="720"/>
        </w:tabs>
        <w:ind w:left="540"/>
      </w:pPr>
      <w:r w:rsidRPr="00D767B6">
        <w:t>D</w:t>
      </w:r>
      <w:r w:rsidR="00593BB0">
        <w:t>escribe</w:t>
      </w:r>
      <w:r w:rsidRPr="00D767B6">
        <w:t xml:space="preserve"> curricular uses of specific stories and genres.</w:t>
      </w:r>
    </w:p>
    <w:p w14:paraId="1BC62A48" w14:textId="77777777" w:rsidR="00D767B6" w:rsidRPr="00D767B6" w:rsidRDefault="00D767B6" w:rsidP="00D767B6">
      <w:pPr>
        <w:numPr>
          <w:ilvl w:val="0"/>
          <w:numId w:val="33"/>
        </w:numPr>
        <w:tabs>
          <w:tab w:val="clear" w:pos="720"/>
        </w:tabs>
        <w:ind w:left="540"/>
      </w:pPr>
      <w:r w:rsidRPr="00D767B6">
        <w:t>State use, including limitations and advantages of Audio Books &amp; E-</w:t>
      </w:r>
      <w:proofErr w:type="gramStart"/>
      <w:r w:rsidRPr="00D767B6">
        <w:t>books..</w:t>
      </w:r>
      <w:proofErr w:type="gramEnd"/>
    </w:p>
    <w:p w14:paraId="1C50CD6C" w14:textId="77777777" w:rsidR="00D767B6" w:rsidRPr="00D767B6" w:rsidRDefault="00D767B6" w:rsidP="00D767B6">
      <w:pPr>
        <w:numPr>
          <w:ilvl w:val="0"/>
          <w:numId w:val="33"/>
        </w:numPr>
        <w:tabs>
          <w:tab w:val="clear" w:pos="720"/>
        </w:tabs>
        <w:ind w:left="540"/>
      </w:pPr>
      <w:r w:rsidRPr="00D767B6">
        <w:t>Define, name, and use selection and finding aids.</w:t>
      </w:r>
    </w:p>
    <w:p w14:paraId="62E563BA" w14:textId="77777777" w:rsidR="00D767B6" w:rsidRPr="00D767B6" w:rsidRDefault="00D767B6" w:rsidP="00D767B6">
      <w:pPr>
        <w:numPr>
          <w:ilvl w:val="0"/>
          <w:numId w:val="33"/>
        </w:numPr>
        <w:tabs>
          <w:tab w:val="clear" w:pos="720"/>
        </w:tabs>
        <w:ind w:left="540"/>
      </w:pPr>
      <w:r w:rsidRPr="00D767B6">
        <w:t>List the principles governing the selection of materials for school collections (classroom and media center).</w:t>
      </w:r>
    </w:p>
    <w:p w14:paraId="152FB8F4" w14:textId="58FFCAC0" w:rsidR="00D767B6" w:rsidRPr="00D767B6" w:rsidRDefault="00D767B6" w:rsidP="00D767B6">
      <w:pPr>
        <w:numPr>
          <w:ilvl w:val="0"/>
          <w:numId w:val="33"/>
        </w:numPr>
        <w:tabs>
          <w:tab w:val="clear" w:pos="720"/>
        </w:tabs>
        <w:ind w:left="540"/>
      </w:pPr>
      <w:r w:rsidRPr="00D767B6">
        <w:t>Select materials based on recommended criteria.</w:t>
      </w:r>
    </w:p>
    <w:p w14:paraId="62D72F12" w14:textId="77777777" w:rsidR="00D767B6" w:rsidRPr="00D767B6" w:rsidRDefault="00D767B6" w:rsidP="00D767B6">
      <w:pPr>
        <w:numPr>
          <w:ilvl w:val="0"/>
          <w:numId w:val="33"/>
        </w:numPr>
        <w:tabs>
          <w:tab w:val="clear" w:pos="720"/>
        </w:tabs>
        <w:ind w:left="540"/>
      </w:pPr>
      <w:r w:rsidRPr="00D767B6">
        <w:t>State the purpose of a materials selection policy.</w:t>
      </w:r>
    </w:p>
    <w:p w14:paraId="7435BBD9" w14:textId="77777777" w:rsidR="00D767B6" w:rsidRPr="00D767B6" w:rsidRDefault="00D767B6" w:rsidP="00D767B6">
      <w:pPr>
        <w:numPr>
          <w:ilvl w:val="0"/>
          <w:numId w:val="33"/>
        </w:numPr>
        <w:tabs>
          <w:tab w:val="clear" w:pos="720"/>
        </w:tabs>
        <w:ind w:left="540"/>
      </w:pPr>
      <w:r w:rsidRPr="00D767B6">
        <w:t>Outline steps to defend intellectual freedom and handle citizens’ complaints (censorship).</w:t>
      </w:r>
    </w:p>
    <w:p w14:paraId="4C746CC4" w14:textId="77777777" w:rsidR="00D767B6" w:rsidRPr="00D767B6" w:rsidRDefault="00D767B6" w:rsidP="00D767B6">
      <w:pPr>
        <w:numPr>
          <w:ilvl w:val="0"/>
          <w:numId w:val="33"/>
        </w:numPr>
        <w:tabs>
          <w:tab w:val="clear" w:pos="720"/>
        </w:tabs>
        <w:ind w:left="540"/>
      </w:pPr>
      <w:r w:rsidRPr="00D767B6">
        <w:t>Promote literacy and stimulate children’s reading interests by making displays, organizing media areas, reading stories aloud.</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32472FF0"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9"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w:t>
      </w:r>
      <w:r w:rsidR="00D767B6">
        <w:rPr>
          <w:rFonts w:ascii="Times New Roman" w:hAnsi="Times New Roman" w:cs="Times New Roman"/>
        </w:rPr>
        <w:t>5100</w:t>
      </w:r>
      <w:r w:rsidR="00FC422F" w:rsidRPr="00D87C26">
        <w:rPr>
          <w:rFonts w:ascii="Times New Roman" w:hAnsi="Times New Roman" w:cs="Times New Roman"/>
        </w:rPr>
        <w:t xml:space="preserve"> (a </w:t>
      </w:r>
      <w:proofErr w:type="gramStart"/>
      <w:r w:rsidR="00D767B6">
        <w:rPr>
          <w:rFonts w:ascii="Times New Roman" w:hAnsi="Times New Roman" w:cs="Times New Roman"/>
        </w:rPr>
        <w:t>3</w:t>
      </w:r>
      <w:r w:rsidR="00FC422F" w:rsidRPr="00D87C26">
        <w:rPr>
          <w:rFonts w:ascii="Times New Roman" w:hAnsi="Times New Roman" w:cs="Times New Roman"/>
        </w:rPr>
        <w:t xml:space="preserve"> credit</w:t>
      </w:r>
      <w:proofErr w:type="gramEnd"/>
      <w:r w:rsidR="00FC422F" w:rsidRPr="00D87C26">
        <w:rPr>
          <w:rFonts w:ascii="Times New Roman" w:hAnsi="Times New Roman" w:cs="Times New Roman"/>
        </w:rPr>
        <w:t xml:space="preserve"> hour course) students should expect to spend </w:t>
      </w:r>
      <w:r w:rsidR="00D767B6">
        <w:rPr>
          <w:rFonts w:ascii="Times New Roman" w:hAnsi="Times New Roman" w:cs="Times New Roman"/>
          <w:b/>
        </w:rPr>
        <w:t>9-</w:t>
      </w:r>
      <w:r w:rsidR="00A40799">
        <w:rPr>
          <w:rFonts w:ascii="Times New Roman" w:hAnsi="Times New Roman" w:cs="Times New Roman"/>
          <w:b/>
        </w:rPr>
        <w:t>10</w:t>
      </w:r>
      <w:r w:rsidR="00A40799" w:rsidRPr="00A40799">
        <w:rPr>
          <w:rFonts w:ascii="Times New Roman" w:hAnsi="Times New Roman" w:cs="Times New Roman"/>
          <w:b/>
          <w:bCs/>
        </w:rPr>
        <w:t>½</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032358" w:rsidRPr="00D87C26">
        <w:rPr>
          <w:rFonts w:ascii="Times New Roman" w:hAnsi="Times New Roman" w:cs="Times New Roman"/>
        </w:rPr>
        <w:t>As a rule, the</w:t>
      </w:r>
      <w:r w:rsidR="004059FC">
        <w:rPr>
          <w:rFonts w:ascii="Times New Roman" w:hAnsi="Times New Roman" w:cs="Times New Roman"/>
        </w:rPr>
        <w:t xml:space="preserve"> </w:t>
      </w:r>
      <w:r w:rsidR="00A40799">
        <w:rPr>
          <w:rFonts w:ascii="Times New Roman" w:hAnsi="Times New Roman" w:cs="Times New Roman"/>
        </w:rPr>
        <w:t>9-10½</w:t>
      </w:r>
      <w:r w:rsidR="004059FC">
        <w:rPr>
          <w:rFonts w:ascii="Times New Roman" w:hAnsi="Times New Roman" w:cs="Times New Roman"/>
        </w:rPr>
        <w:t xml:space="preserve">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Pr="00523B99" w:rsidRDefault="00A768E1" w:rsidP="00AB41EF">
      <w:pPr>
        <w:pStyle w:val="Heading2"/>
      </w:pPr>
      <w:r w:rsidRPr="00523B99">
        <w:t xml:space="preserve">Course Content:  </w:t>
      </w:r>
    </w:p>
    <w:p w14:paraId="612E0F5E" w14:textId="0949BB56" w:rsidR="001240C7" w:rsidRPr="00523B99" w:rsidRDefault="00EF0BE2" w:rsidP="00907DC0">
      <w:pPr>
        <w:tabs>
          <w:tab w:val="left" w:pos="360"/>
        </w:tabs>
        <w:ind w:left="720" w:hanging="720"/>
        <w:rPr>
          <w:b/>
          <w:bCs/>
        </w:rPr>
      </w:pPr>
      <w:r w:rsidRPr="00523B99">
        <w:rPr>
          <w:b/>
          <w:bCs/>
        </w:rPr>
        <w:t xml:space="preserve">Key:  </w:t>
      </w:r>
    </w:p>
    <w:p w14:paraId="6ED5BDB2" w14:textId="72B44862" w:rsidR="00230604" w:rsidRPr="00523B99" w:rsidRDefault="001828D7" w:rsidP="00287661">
      <w:pPr>
        <w:tabs>
          <w:tab w:val="left" w:pos="360"/>
        </w:tabs>
        <w:ind w:left="720" w:hanging="720"/>
        <w:rPr>
          <w:b/>
          <w:bCs/>
        </w:rPr>
      </w:pPr>
      <w:r w:rsidRPr="00523B99">
        <w:rPr>
          <w:b/>
          <w:bCs/>
        </w:rPr>
        <w:t>Note</w:t>
      </w:r>
      <w:r w:rsidR="00230604" w:rsidRPr="00523B99">
        <w:rPr>
          <w:b/>
          <w:bCs/>
        </w:rPr>
        <w:t>1</w:t>
      </w:r>
      <w:r w:rsidRPr="00523B99">
        <w:rPr>
          <w:b/>
          <w:bCs/>
        </w:rPr>
        <w:t xml:space="preserve">:  </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40"/>
        <w:gridCol w:w="3840"/>
        <w:gridCol w:w="2700"/>
      </w:tblGrid>
      <w:tr w:rsidR="00523B99" w:rsidRPr="00523B99" w14:paraId="61A91242" w14:textId="5D015FC5" w:rsidTr="00941291">
        <w:trPr>
          <w:cantSplit/>
          <w:tblHeader/>
        </w:trPr>
        <w:tc>
          <w:tcPr>
            <w:tcW w:w="1080" w:type="dxa"/>
            <w:shd w:val="clear" w:color="auto" w:fill="auto"/>
            <w:vAlign w:val="center"/>
          </w:tcPr>
          <w:p w14:paraId="298004B1" w14:textId="77777777" w:rsidR="00287661" w:rsidRPr="00523B99" w:rsidRDefault="00287661" w:rsidP="00824748">
            <w:pPr>
              <w:jc w:val="center"/>
              <w:rPr>
                <w:b/>
              </w:rPr>
            </w:pPr>
            <w:r w:rsidRPr="00523B99">
              <w:rPr>
                <w:b/>
              </w:rPr>
              <w:t>Date</w:t>
            </w:r>
          </w:p>
        </w:tc>
        <w:tc>
          <w:tcPr>
            <w:tcW w:w="2640" w:type="dxa"/>
            <w:vAlign w:val="center"/>
          </w:tcPr>
          <w:p w14:paraId="45ECC435" w14:textId="4E58DF45" w:rsidR="00287661" w:rsidRPr="00523B99" w:rsidRDefault="00287661" w:rsidP="001240C7">
            <w:pPr>
              <w:rPr>
                <w:b/>
              </w:rPr>
            </w:pPr>
            <w:r w:rsidRPr="00523B99">
              <w:rPr>
                <w:b/>
              </w:rPr>
              <w:t>Topic</w:t>
            </w:r>
          </w:p>
        </w:tc>
        <w:tc>
          <w:tcPr>
            <w:tcW w:w="3840" w:type="dxa"/>
            <w:vAlign w:val="center"/>
          </w:tcPr>
          <w:p w14:paraId="5B543080" w14:textId="60575ABC" w:rsidR="00287661" w:rsidRPr="00523B99" w:rsidRDefault="00287661" w:rsidP="001240C7">
            <w:pPr>
              <w:rPr>
                <w:b/>
              </w:rPr>
            </w:pPr>
            <w:r w:rsidRPr="00523B99">
              <w:rPr>
                <w:b/>
              </w:rPr>
              <w:t>Activities</w:t>
            </w:r>
          </w:p>
        </w:tc>
        <w:tc>
          <w:tcPr>
            <w:tcW w:w="2700" w:type="dxa"/>
            <w:vAlign w:val="center"/>
          </w:tcPr>
          <w:p w14:paraId="18C3FAFC" w14:textId="50C7A9A5" w:rsidR="00287661" w:rsidRPr="00523B99" w:rsidRDefault="00287661" w:rsidP="001240C7">
            <w:pPr>
              <w:rPr>
                <w:b/>
              </w:rPr>
            </w:pPr>
            <w:r w:rsidRPr="00523B99">
              <w:rPr>
                <w:b/>
              </w:rPr>
              <w:t>Assignments Due (Date)</w:t>
            </w:r>
          </w:p>
        </w:tc>
      </w:tr>
      <w:tr w:rsidR="00523B99" w:rsidRPr="00523B99" w14:paraId="1FD9131B" w14:textId="1060AA24" w:rsidTr="00941291">
        <w:trPr>
          <w:cantSplit/>
          <w:trHeight w:val="867"/>
        </w:trPr>
        <w:tc>
          <w:tcPr>
            <w:tcW w:w="1080" w:type="dxa"/>
            <w:shd w:val="clear" w:color="auto" w:fill="auto"/>
            <w:vAlign w:val="center"/>
          </w:tcPr>
          <w:p w14:paraId="335184AB" w14:textId="4A57E8C9" w:rsidR="00D43CD4" w:rsidRPr="00523B99" w:rsidRDefault="00D43CD4" w:rsidP="00173A50">
            <w:pPr>
              <w:jc w:val="center"/>
            </w:pPr>
            <w:r w:rsidRPr="00523B99">
              <w:t>Aug 22</w:t>
            </w:r>
          </w:p>
        </w:tc>
        <w:tc>
          <w:tcPr>
            <w:tcW w:w="2640" w:type="dxa"/>
          </w:tcPr>
          <w:p w14:paraId="51FBFCE0" w14:textId="763A12FA" w:rsidR="00D43CD4" w:rsidRPr="00523B99" w:rsidRDefault="00D43CD4" w:rsidP="001240C7"/>
        </w:tc>
        <w:tc>
          <w:tcPr>
            <w:tcW w:w="3840" w:type="dxa"/>
            <w:vAlign w:val="center"/>
          </w:tcPr>
          <w:p w14:paraId="5B506DC2" w14:textId="2CF6E7B3" w:rsidR="00D43CD4" w:rsidRPr="00523B99" w:rsidRDefault="00D43CD4" w:rsidP="001240C7">
            <w:r w:rsidRPr="00523B99">
              <w:t>Cancelled</w:t>
            </w:r>
          </w:p>
        </w:tc>
        <w:tc>
          <w:tcPr>
            <w:tcW w:w="2700" w:type="dxa"/>
            <w:vMerge w:val="restart"/>
            <w:vAlign w:val="center"/>
          </w:tcPr>
          <w:p w14:paraId="676BEEA2" w14:textId="1DD11AE6" w:rsidR="00D43CD4" w:rsidRPr="00523B99" w:rsidRDefault="00D43CD4" w:rsidP="001240C7">
            <w:r w:rsidRPr="00523B99">
              <w:t>See Canvas for all assignment due dates and details</w:t>
            </w:r>
          </w:p>
        </w:tc>
      </w:tr>
      <w:tr w:rsidR="00523B99" w:rsidRPr="00523B99" w14:paraId="41F061E7" w14:textId="32AEA899" w:rsidTr="00694372">
        <w:trPr>
          <w:cantSplit/>
          <w:trHeight w:val="1043"/>
        </w:trPr>
        <w:tc>
          <w:tcPr>
            <w:tcW w:w="1080" w:type="dxa"/>
            <w:shd w:val="clear" w:color="auto" w:fill="auto"/>
            <w:vAlign w:val="center"/>
          </w:tcPr>
          <w:p w14:paraId="625C3DE2" w14:textId="79884409" w:rsidR="00D43CD4" w:rsidRPr="00523B99" w:rsidRDefault="00D43CD4" w:rsidP="00944D1C">
            <w:pPr>
              <w:jc w:val="center"/>
            </w:pPr>
            <w:r w:rsidRPr="00523B99">
              <w:t>Aug 29</w:t>
            </w:r>
          </w:p>
        </w:tc>
        <w:tc>
          <w:tcPr>
            <w:tcW w:w="2640" w:type="dxa"/>
          </w:tcPr>
          <w:p w14:paraId="35ABEE97" w14:textId="77777777" w:rsidR="00D43CD4" w:rsidRPr="00523B99" w:rsidRDefault="00D43CD4" w:rsidP="00290108">
            <w:r w:rsidRPr="00523B99">
              <w:t xml:space="preserve">Introduction to Course &amp; Canvas; Favorite </w:t>
            </w:r>
            <w:proofErr w:type="gramStart"/>
            <w:r w:rsidRPr="00523B99">
              <w:t>Book;</w:t>
            </w:r>
            <w:proofErr w:type="gramEnd"/>
          </w:p>
          <w:p w14:paraId="3BE96E64" w14:textId="7EA9E7D3" w:rsidR="009E721D" w:rsidRPr="00523B99" w:rsidRDefault="00D43CD4" w:rsidP="009E721D">
            <w:r w:rsidRPr="00523B99">
              <w:t>Syllabus/Projects;</w:t>
            </w:r>
            <w:r w:rsidR="009E721D" w:rsidRPr="00523B99">
              <w:t xml:space="preserve"> Picture Books vs. Chapter Books; Caldecott &amp; Newberry Awards</w:t>
            </w:r>
          </w:p>
          <w:p w14:paraId="4E9E3DC7" w14:textId="053CCBDF" w:rsidR="00D43CD4" w:rsidRPr="00523B99" w:rsidRDefault="00D43CD4" w:rsidP="00290108"/>
        </w:tc>
        <w:tc>
          <w:tcPr>
            <w:tcW w:w="3840" w:type="dxa"/>
            <w:vAlign w:val="center"/>
          </w:tcPr>
          <w:p w14:paraId="136CCA35" w14:textId="1F7D4EBF" w:rsidR="00C033B0" w:rsidRPr="00523B99" w:rsidRDefault="00C033B0" w:rsidP="001240C7">
            <w:r w:rsidRPr="00523B99">
              <w:t>Writing Media Critiques</w:t>
            </w:r>
          </w:p>
          <w:p w14:paraId="48F4AC76" w14:textId="5488BB1D" w:rsidR="00C033B0" w:rsidRPr="00523B99" w:rsidRDefault="00C033B0" w:rsidP="001240C7"/>
          <w:p w14:paraId="1C7F372E" w14:textId="7ED77761" w:rsidR="009E721D" w:rsidRPr="00523B99" w:rsidRDefault="009E721D" w:rsidP="001240C7">
            <w:r w:rsidRPr="00523B99">
              <w:t>To Do:</w:t>
            </w:r>
          </w:p>
          <w:p w14:paraId="18AB0F29" w14:textId="7FF0DACE" w:rsidR="00D43CD4" w:rsidRPr="00523B99" w:rsidRDefault="002733A9" w:rsidP="001240C7">
            <w:r w:rsidRPr="00523B99">
              <w:rPr>
                <w:b/>
                <w:bCs/>
              </w:rPr>
              <w:t>Read</w:t>
            </w:r>
            <w:r w:rsidR="009E721D" w:rsidRPr="00523B99">
              <w:rPr>
                <w:b/>
                <w:bCs/>
              </w:rPr>
              <w:t>:</w:t>
            </w:r>
            <w:r w:rsidRPr="00523B99">
              <w:rPr>
                <w:b/>
                <w:bCs/>
              </w:rPr>
              <w:t xml:space="preserve"> </w:t>
            </w:r>
            <w:r w:rsidRPr="00523B99">
              <w:rPr>
                <w:i/>
                <w:iCs/>
              </w:rPr>
              <w:t>Watercress</w:t>
            </w:r>
            <w:r w:rsidRPr="00523B99">
              <w:t xml:space="preserve"> for next</w:t>
            </w:r>
            <w:r w:rsidR="005E0A31" w:rsidRPr="00523B99">
              <w:t xml:space="preserve"> week</w:t>
            </w:r>
          </w:p>
          <w:p w14:paraId="1BF6B831" w14:textId="19CD9C46" w:rsidR="005E0A31" w:rsidRPr="00523B99" w:rsidRDefault="009E721D" w:rsidP="001240C7">
            <w:r w:rsidRPr="00523B99">
              <w:rPr>
                <w:b/>
                <w:bCs/>
              </w:rPr>
              <w:t>Begin Reading:</w:t>
            </w:r>
            <w:r w:rsidR="005E0A31" w:rsidRPr="00523B99">
              <w:t xml:space="preserve"> </w:t>
            </w:r>
            <w:r w:rsidR="005E0A31" w:rsidRPr="00523B99">
              <w:rPr>
                <w:i/>
                <w:iCs/>
              </w:rPr>
              <w:t>Temple Alley Summer</w:t>
            </w:r>
          </w:p>
        </w:tc>
        <w:tc>
          <w:tcPr>
            <w:tcW w:w="2700" w:type="dxa"/>
            <w:vMerge/>
            <w:vAlign w:val="center"/>
          </w:tcPr>
          <w:p w14:paraId="7186D710" w14:textId="1D16C863" w:rsidR="00D43CD4" w:rsidRPr="00523B99" w:rsidRDefault="00D43CD4" w:rsidP="001240C7"/>
        </w:tc>
      </w:tr>
      <w:tr w:rsidR="00523B99" w:rsidRPr="00523B99" w14:paraId="5303DEAD" w14:textId="36479D65" w:rsidTr="00D157A4">
        <w:trPr>
          <w:cantSplit/>
          <w:trHeight w:val="1358"/>
        </w:trPr>
        <w:tc>
          <w:tcPr>
            <w:tcW w:w="1080" w:type="dxa"/>
            <w:shd w:val="clear" w:color="auto" w:fill="auto"/>
            <w:vAlign w:val="center"/>
          </w:tcPr>
          <w:p w14:paraId="28D19342" w14:textId="491FE3F7" w:rsidR="00D43CD4" w:rsidRPr="00523B99" w:rsidRDefault="00D43CD4" w:rsidP="00944D1C">
            <w:pPr>
              <w:jc w:val="center"/>
            </w:pPr>
            <w:r w:rsidRPr="00523B99">
              <w:t>Sep 05</w:t>
            </w:r>
          </w:p>
        </w:tc>
        <w:tc>
          <w:tcPr>
            <w:tcW w:w="2640" w:type="dxa"/>
          </w:tcPr>
          <w:p w14:paraId="416BE775" w14:textId="08F64FA3" w:rsidR="00621F0D" w:rsidRPr="00523B99" w:rsidRDefault="00DA288F" w:rsidP="0037656A">
            <w:r w:rsidRPr="00523B99">
              <w:t>Literary Terms</w:t>
            </w:r>
            <w:r w:rsidR="0037656A" w:rsidRPr="00523B99">
              <w:t xml:space="preserve">; </w:t>
            </w:r>
            <w:r w:rsidRPr="00523B99">
              <w:t>Terms for Illustrations</w:t>
            </w:r>
            <w:r w:rsidR="0037656A" w:rsidRPr="00523B99">
              <w:t xml:space="preserve">; </w:t>
            </w:r>
            <w:r w:rsidR="00C76119" w:rsidRPr="00523B99">
              <w:t xml:space="preserve">Book Talks; </w:t>
            </w:r>
            <w:r w:rsidR="00621F0D" w:rsidRPr="00523B99">
              <w:t>Sample Media Critique</w:t>
            </w:r>
          </w:p>
        </w:tc>
        <w:tc>
          <w:tcPr>
            <w:tcW w:w="3840" w:type="dxa"/>
            <w:vAlign w:val="center"/>
          </w:tcPr>
          <w:p w14:paraId="37A21B8D" w14:textId="77777777" w:rsidR="00D43CD4" w:rsidRPr="00523B99" w:rsidRDefault="000E2E22" w:rsidP="001240C7">
            <w:r w:rsidRPr="00523B99">
              <w:t>RBD Juvenile Collection Overview: Todd Shipman Guest Speaker</w:t>
            </w:r>
          </w:p>
          <w:p w14:paraId="264F5712" w14:textId="77777777" w:rsidR="00DA288F" w:rsidRPr="00523B99" w:rsidRDefault="00DA288F" w:rsidP="001240C7">
            <w:r w:rsidRPr="00523B99">
              <w:t>Watercress discussion</w:t>
            </w:r>
          </w:p>
          <w:p w14:paraId="4E0FB16B" w14:textId="77777777" w:rsidR="00E66D2D" w:rsidRPr="00523B99" w:rsidRDefault="00E66D2D" w:rsidP="001240C7"/>
          <w:p w14:paraId="46FEA4C7" w14:textId="682E1AF9" w:rsidR="00E66D2D" w:rsidRPr="00523B99" w:rsidRDefault="00E66D2D" w:rsidP="001240C7">
            <w:r w:rsidRPr="00523B99">
              <w:rPr>
                <w:b/>
                <w:bCs/>
              </w:rPr>
              <w:t>Begin Reading:</w:t>
            </w:r>
            <w:r w:rsidRPr="00523B99">
              <w:t xml:space="preserve"> </w:t>
            </w:r>
            <w:r w:rsidRPr="00523B99">
              <w:rPr>
                <w:i/>
                <w:iCs/>
              </w:rPr>
              <w:t>Unspeakable</w:t>
            </w:r>
          </w:p>
        </w:tc>
        <w:tc>
          <w:tcPr>
            <w:tcW w:w="2700" w:type="dxa"/>
            <w:vMerge/>
            <w:vAlign w:val="center"/>
          </w:tcPr>
          <w:p w14:paraId="746DE981" w14:textId="19D171DB" w:rsidR="00D43CD4" w:rsidRPr="00523B99" w:rsidRDefault="00D43CD4" w:rsidP="001240C7"/>
        </w:tc>
      </w:tr>
      <w:tr w:rsidR="00523B99" w:rsidRPr="00523B99" w14:paraId="60E969B0" w14:textId="2E406B6C" w:rsidTr="00BF7D9A">
        <w:trPr>
          <w:cantSplit/>
          <w:trHeight w:val="1232"/>
        </w:trPr>
        <w:tc>
          <w:tcPr>
            <w:tcW w:w="1080" w:type="dxa"/>
            <w:shd w:val="clear" w:color="auto" w:fill="auto"/>
            <w:vAlign w:val="center"/>
          </w:tcPr>
          <w:p w14:paraId="54C42867" w14:textId="697A84AE" w:rsidR="00D43CD4" w:rsidRPr="00523B99" w:rsidRDefault="00D43CD4" w:rsidP="00944D1C">
            <w:pPr>
              <w:jc w:val="center"/>
            </w:pPr>
            <w:r w:rsidRPr="00523B99">
              <w:t>Sep 12</w:t>
            </w:r>
          </w:p>
        </w:tc>
        <w:tc>
          <w:tcPr>
            <w:tcW w:w="2640" w:type="dxa"/>
          </w:tcPr>
          <w:p w14:paraId="528ADB7F" w14:textId="2AD01292" w:rsidR="00673B51" w:rsidRPr="00523B99" w:rsidRDefault="00673B51" w:rsidP="001240C7">
            <w:r w:rsidRPr="00523B99">
              <w:t xml:space="preserve">Advanced Literary Terms; Types of </w:t>
            </w:r>
            <w:r w:rsidR="00167809" w:rsidRPr="00523B99">
              <w:t>fiction</w:t>
            </w:r>
            <w:r w:rsidR="00DB5F01" w:rsidRPr="00523B99">
              <w:t>; King and Batchelder Awards</w:t>
            </w:r>
          </w:p>
        </w:tc>
        <w:tc>
          <w:tcPr>
            <w:tcW w:w="3840" w:type="dxa"/>
            <w:vAlign w:val="center"/>
          </w:tcPr>
          <w:p w14:paraId="00621227" w14:textId="243C2116" w:rsidR="00D43CD4" w:rsidRPr="00523B99" w:rsidRDefault="0055679A" w:rsidP="001240C7">
            <w:r w:rsidRPr="00523B99">
              <w:t>Identifying Literary Terms in Literature</w:t>
            </w:r>
          </w:p>
        </w:tc>
        <w:tc>
          <w:tcPr>
            <w:tcW w:w="2700" w:type="dxa"/>
            <w:vMerge/>
            <w:vAlign w:val="center"/>
          </w:tcPr>
          <w:p w14:paraId="7865E6B9" w14:textId="6ABBAE5B" w:rsidR="00D43CD4" w:rsidRPr="00523B99" w:rsidRDefault="00D43CD4" w:rsidP="001240C7"/>
        </w:tc>
      </w:tr>
      <w:tr w:rsidR="00523B99" w:rsidRPr="00523B99" w14:paraId="074B1C91" w14:textId="3DC4F866" w:rsidTr="00AE3C14">
        <w:trPr>
          <w:cantSplit/>
          <w:trHeight w:val="1178"/>
        </w:trPr>
        <w:tc>
          <w:tcPr>
            <w:tcW w:w="1080" w:type="dxa"/>
            <w:shd w:val="clear" w:color="auto" w:fill="auto"/>
            <w:vAlign w:val="center"/>
          </w:tcPr>
          <w:p w14:paraId="5418642E" w14:textId="00AC2343" w:rsidR="00D43CD4" w:rsidRPr="00523B99" w:rsidRDefault="00D43CD4" w:rsidP="00944D1C">
            <w:pPr>
              <w:jc w:val="center"/>
            </w:pPr>
            <w:r w:rsidRPr="00523B99">
              <w:t>Sep 19</w:t>
            </w:r>
          </w:p>
        </w:tc>
        <w:tc>
          <w:tcPr>
            <w:tcW w:w="2640" w:type="dxa"/>
          </w:tcPr>
          <w:p w14:paraId="458695C7" w14:textId="248A3E60" w:rsidR="00D43CD4" w:rsidRPr="00523B99" w:rsidRDefault="00380314" w:rsidP="001240C7">
            <w:r w:rsidRPr="00523B99">
              <w:t>Fables</w:t>
            </w:r>
            <w:r w:rsidR="006C6723" w:rsidRPr="00523B99">
              <w:t>; Folktales</w:t>
            </w:r>
            <w:r w:rsidR="00905D28" w:rsidRPr="00523B99">
              <w:t>; Mythology</w:t>
            </w:r>
          </w:p>
        </w:tc>
        <w:tc>
          <w:tcPr>
            <w:tcW w:w="3840" w:type="dxa"/>
            <w:vAlign w:val="center"/>
          </w:tcPr>
          <w:p w14:paraId="5EEE573E" w14:textId="44D34FBF" w:rsidR="003C0B91" w:rsidRPr="00523B99" w:rsidRDefault="003C0B91" w:rsidP="001240C7">
            <w:r w:rsidRPr="00523B99">
              <w:t>Fable Writing Activity</w:t>
            </w:r>
          </w:p>
          <w:p w14:paraId="3BA9C83A" w14:textId="60D4CDF7" w:rsidR="00D43CD4" w:rsidRPr="00523B99" w:rsidRDefault="00392A6E" w:rsidP="001240C7">
            <w:r w:rsidRPr="00523B99">
              <w:t>Temple Alley discussion</w:t>
            </w:r>
          </w:p>
          <w:p w14:paraId="0C21B595" w14:textId="77777777" w:rsidR="00D27C79" w:rsidRPr="00523B99" w:rsidRDefault="00D27C79" w:rsidP="001240C7"/>
          <w:p w14:paraId="09B784BA" w14:textId="2E132572" w:rsidR="00D27C79" w:rsidRPr="00523B99" w:rsidRDefault="00D27C79" w:rsidP="001240C7">
            <w:pPr>
              <w:rPr>
                <w:i/>
                <w:iCs/>
              </w:rPr>
            </w:pPr>
            <w:r w:rsidRPr="00523B99">
              <w:rPr>
                <w:b/>
                <w:bCs/>
              </w:rPr>
              <w:t xml:space="preserve">Begin Reading: </w:t>
            </w:r>
            <w:r w:rsidRPr="00523B99">
              <w:rPr>
                <w:i/>
                <w:iCs/>
              </w:rPr>
              <w:t>My City Speaks</w:t>
            </w:r>
          </w:p>
        </w:tc>
        <w:tc>
          <w:tcPr>
            <w:tcW w:w="2700" w:type="dxa"/>
            <w:vMerge/>
            <w:vAlign w:val="center"/>
          </w:tcPr>
          <w:p w14:paraId="487A2670" w14:textId="17922650" w:rsidR="00D43CD4" w:rsidRPr="00523B99" w:rsidRDefault="00D43CD4" w:rsidP="001240C7"/>
        </w:tc>
      </w:tr>
      <w:tr w:rsidR="00523B99" w:rsidRPr="00523B99" w14:paraId="168E3445" w14:textId="00F0C2B9" w:rsidTr="000637FB">
        <w:trPr>
          <w:cantSplit/>
          <w:trHeight w:val="1403"/>
        </w:trPr>
        <w:tc>
          <w:tcPr>
            <w:tcW w:w="1080" w:type="dxa"/>
            <w:shd w:val="clear" w:color="auto" w:fill="auto"/>
            <w:vAlign w:val="center"/>
          </w:tcPr>
          <w:p w14:paraId="0EE214D4" w14:textId="43E15D78" w:rsidR="00D43CD4" w:rsidRPr="00523B99" w:rsidRDefault="00D43CD4" w:rsidP="00944D1C">
            <w:pPr>
              <w:jc w:val="center"/>
            </w:pPr>
            <w:r w:rsidRPr="00523B99">
              <w:t>Sep 26</w:t>
            </w:r>
          </w:p>
        </w:tc>
        <w:tc>
          <w:tcPr>
            <w:tcW w:w="2640" w:type="dxa"/>
          </w:tcPr>
          <w:p w14:paraId="2F889D6E" w14:textId="53FDDDBD" w:rsidR="00D43CD4" w:rsidRPr="00523B99" w:rsidRDefault="006C6723" w:rsidP="001240C7">
            <w:r w:rsidRPr="00523B99">
              <w:t>Child Development</w:t>
            </w:r>
            <w:r w:rsidR="00C55265" w:rsidRPr="00523B99">
              <w:t xml:space="preserve">; </w:t>
            </w:r>
            <w:r w:rsidR="00C76119" w:rsidRPr="00523B99">
              <w:t xml:space="preserve">Bulletin Board Assignment; </w:t>
            </w:r>
            <w:r w:rsidR="00C55265" w:rsidRPr="00523B99">
              <w:t xml:space="preserve">Printz </w:t>
            </w:r>
            <w:r w:rsidR="009D49E4" w:rsidRPr="00523B99">
              <w:t>and Schneider Awards</w:t>
            </w:r>
          </w:p>
        </w:tc>
        <w:tc>
          <w:tcPr>
            <w:tcW w:w="3840" w:type="dxa"/>
            <w:vAlign w:val="center"/>
          </w:tcPr>
          <w:p w14:paraId="4D00BADE" w14:textId="77777777" w:rsidR="00D43CD4" w:rsidRPr="00523B99" w:rsidRDefault="00520250" w:rsidP="001240C7">
            <w:r w:rsidRPr="00523B99">
              <w:t>Unspeakable discussion</w:t>
            </w:r>
          </w:p>
          <w:p w14:paraId="194F508A" w14:textId="77777777" w:rsidR="00D27C79" w:rsidRPr="00523B99" w:rsidRDefault="00D27C79" w:rsidP="001240C7"/>
          <w:p w14:paraId="0943E4FA" w14:textId="6E029615" w:rsidR="00D27C79" w:rsidRPr="00523B99" w:rsidRDefault="00D27C79" w:rsidP="001240C7">
            <w:pPr>
              <w:rPr>
                <w:i/>
                <w:iCs/>
              </w:rPr>
            </w:pPr>
            <w:r w:rsidRPr="00523B99">
              <w:rPr>
                <w:b/>
                <w:bCs/>
              </w:rPr>
              <w:t xml:space="preserve">Begin Reading: </w:t>
            </w:r>
            <w:r w:rsidRPr="00523B99">
              <w:rPr>
                <w:i/>
                <w:iCs/>
              </w:rPr>
              <w:t>Firekeeper</w:t>
            </w:r>
          </w:p>
        </w:tc>
        <w:tc>
          <w:tcPr>
            <w:tcW w:w="2700" w:type="dxa"/>
            <w:vMerge/>
            <w:vAlign w:val="center"/>
          </w:tcPr>
          <w:p w14:paraId="2F6ADAEC" w14:textId="04855CA3" w:rsidR="00D43CD4" w:rsidRPr="00523B99" w:rsidRDefault="00D43CD4" w:rsidP="001240C7"/>
        </w:tc>
      </w:tr>
      <w:tr w:rsidR="00523B99" w:rsidRPr="00523B99" w14:paraId="1908FF95" w14:textId="19A58156" w:rsidTr="00DA0E03">
        <w:trPr>
          <w:cantSplit/>
          <w:trHeight w:val="1107"/>
        </w:trPr>
        <w:tc>
          <w:tcPr>
            <w:tcW w:w="1080" w:type="dxa"/>
            <w:shd w:val="clear" w:color="auto" w:fill="auto"/>
            <w:vAlign w:val="center"/>
          </w:tcPr>
          <w:p w14:paraId="33CEA7DB" w14:textId="0D9357E4" w:rsidR="00D43CD4" w:rsidRPr="00523B99" w:rsidRDefault="00D43CD4" w:rsidP="00944D1C">
            <w:pPr>
              <w:jc w:val="center"/>
            </w:pPr>
            <w:r w:rsidRPr="00523B99">
              <w:t>Oct 03</w:t>
            </w:r>
          </w:p>
        </w:tc>
        <w:tc>
          <w:tcPr>
            <w:tcW w:w="2640" w:type="dxa"/>
          </w:tcPr>
          <w:p w14:paraId="5199C278" w14:textId="0B83FC6D" w:rsidR="00D43CD4" w:rsidRPr="00523B99" w:rsidRDefault="00CA1120" w:rsidP="001240C7">
            <w:r w:rsidRPr="00523B99">
              <w:t>Biblio</w:t>
            </w:r>
            <w:r w:rsidR="00EB421E" w:rsidRPr="00523B99">
              <w:t>therapy</w:t>
            </w:r>
          </w:p>
        </w:tc>
        <w:tc>
          <w:tcPr>
            <w:tcW w:w="3840" w:type="dxa"/>
            <w:vAlign w:val="center"/>
          </w:tcPr>
          <w:p w14:paraId="3014A023" w14:textId="041FD255" w:rsidR="00D43CD4" w:rsidRPr="00523B99" w:rsidRDefault="00520250" w:rsidP="001240C7">
            <w:r w:rsidRPr="00523B99">
              <w:t>My City Speaks discussion</w:t>
            </w:r>
          </w:p>
        </w:tc>
        <w:tc>
          <w:tcPr>
            <w:tcW w:w="2700" w:type="dxa"/>
            <w:vMerge/>
            <w:vAlign w:val="center"/>
          </w:tcPr>
          <w:p w14:paraId="7D5F75E3" w14:textId="32EA3D62" w:rsidR="00D43CD4" w:rsidRPr="00523B99" w:rsidRDefault="00D43CD4" w:rsidP="001240C7"/>
        </w:tc>
      </w:tr>
      <w:tr w:rsidR="00523B99" w:rsidRPr="00523B99" w14:paraId="54D7BF48" w14:textId="3BC233F2" w:rsidTr="00EB421E">
        <w:trPr>
          <w:cantSplit/>
          <w:trHeight w:val="1178"/>
        </w:trPr>
        <w:tc>
          <w:tcPr>
            <w:tcW w:w="1080" w:type="dxa"/>
            <w:shd w:val="clear" w:color="auto" w:fill="auto"/>
            <w:vAlign w:val="center"/>
          </w:tcPr>
          <w:p w14:paraId="2C33F0DA" w14:textId="0FEF3A29" w:rsidR="00EB421E" w:rsidRPr="00523B99" w:rsidRDefault="00EB421E" w:rsidP="00944D1C">
            <w:pPr>
              <w:jc w:val="center"/>
            </w:pPr>
            <w:r w:rsidRPr="00523B99">
              <w:t>Oct 10</w:t>
            </w:r>
          </w:p>
        </w:tc>
        <w:tc>
          <w:tcPr>
            <w:tcW w:w="6480" w:type="dxa"/>
            <w:gridSpan w:val="2"/>
            <w:vAlign w:val="center"/>
          </w:tcPr>
          <w:p w14:paraId="1005E05E" w14:textId="56A06A73" w:rsidR="00EB421E" w:rsidRPr="00523B99" w:rsidRDefault="00EB421E" w:rsidP="00EB421E">
            <w:pPr>
              <w:jc w:val="center"/>
            </w:pPr>
            <w:r w:rsidRPr="00523B99">
              <w:t>Midterm Examination</w:t>
            </w:r>
          </w:p>
        </w:tc>
        <w:tc>
          <w:tcPr>
            <w:tcW w:w="2700" w:type="dxa"/>
            <w:vMerge/>
            <w:vAlign w:val="center"/>
          </w:tcPr>
          <w:p w14:paraId="244F9F83" w14:textId="61A2278E" w:rsidR="00EB421E" w:rsidRPr="00523B99" w:rsidRDefault="00EB421E" w:rsidP="001240C7"/>
        </w:tc>
      </w:tr>
      <w:tr w:rsidR="00523B99" w:rsidRPr="00523B99" w14:paraId="14203C3E" w14:textId="34A74D2D" w:rsidTr="00233BC7">
        <w:trPr>
          <w:cantSplit/>
          <w:trHeight w:val="1205"/>
        </w:trPr>
        <w:tc>
          <w:tcPr>
            <w:tcW w:w="1080" w:type="dxa"/>
            <w:shd w:val="clear" w:color="auto" w:fill="auto"/>
            <w:vAlign w:val="center"/>
          </w:tcPr>
          <w:p w14:paraId="4160F3E0" w14:textId="07D4EBF1" w:rsidR="00EB421E" w:rsidRPr="00523B99" w:rsidRDefault="00EB421E" w:rsidP="00EB421E">
            <w:pPr>
              <w:jc w:val="center"/>
            </w:pPr>
            <w:r w:rsidRPr="00523B99">
              <w:lastRenderedPageBreak/>
              <w:t>Oct 17</w:t>
            </w:r>
          </w:p>
        </w:tc>
        <w:tc>
          <w:tcPr>
            <w:tcW w:w="2640" w:type="dxa"/>
          </w:tcPr>
          <w:p w14:paraId="16B64D57" w14:textId="15030D0B" w:rsidR="00EB421E" w:rsidRPr="00523B99" w:rsidRDefault="00EB421E" w:rsidP="00EB421E">
            <w:r w:rsidRPr="00523B99">
              <w:t>Strategies to increase informal reading; Sibert Award</w:t>
            </w:r>
          </w:p>
        </w:tc>
        <w:tc>
          <w:tcPr>
            <w:tcW w:w="3840" w:type="dxa"/>
            <w:vAlign w:val="center"/>
          </w:tcPr>
          <w:p w14:paraId="05E9AFC0" w14:textId="77777777" w:rsidR="00EB421E" w:rsidRPr="00523B99" w:rsidRDefault="00EB421E" w:rsidP="00EB421E">
            <w:r w:rsidRPr="00523B99">
              <w:t>Firekeeper discussion</w:t>
            </w:r>
          </w:p>
          <w:p w14:paraId="5E22CF39" w14:textId="77777777" w:rsidR="00EB421E" w:rsidRPr="00523B99" w:rsidRDefault="00EB421E" w:rsidP="00EB421E"/>
          <w:p w14:paraId="2BC336BB" w14:textId="6DD563DC" w:rsidR="00EB421E" w:rsidRPr="00523B99" w:rsidRDefault="00EB421E" w:rsidP="00EB421E">
            <w:pPr>
              <w:rPr>
                <w:i/>
                <w:iCs/>
              </w:rPr>
            </w:pPr>
            <w:r w:rsidRPr="00523B99">
              <w:rPr>
                <w:b/>
                <w:bCs/>
              </w:rPr>
              <w:t>Begin Reading:</w:t>
            </w:r>
            <w:r w:rsidRPr="00523B99">
              <w:rPr>
                <w:i/>
                <w:iCs/>
              </w:rPr>
              <w:t xml:space="preserve"> People’s Paint</w:t>
            </w:r>
          </w:p>
        </w:tc>
        <w:tc>
          <w:tcPr>
            <w:tcW w:w="2700" w:type="dxa"/>
            <w:vMerge/>
            <w:vAlign w:val="center"/>
          </w:tcPr>
          <w:p w14:paraId="11489370" w14:textId="3C68E48A" w:rsidR="00EB421E" w:rsidRPr="00523B99" w:rsidRDefault="00EB421E" w:rsidP="00EB421E"/>
        </w:tc>
      </w:tr>
      <w:tr w:rsidR="00523B99" w:rsidRPr="00523B99" w14:paraId="24E36F4E" w14:textId="2B86F79F" w:rsidTr="00B50D9B">
        <w:trPr>
          <w:cantSplit/>
          <w:trHeight w:val="1160"/>
        </w:trPr>
        <w:tc>
          <w:tcPr>
            <w:tcW w:w="1080" w:type="dxa"/>
            <w:shd w:val="clear" w:color="auto" w:fill="auto"/>
            <w:vAlign w:val="center"/>
          </w:tcPr>
          <w:p w14:paraId="29F2895E" w14:textId="20EFF340" w:rsidR="00EB421E" w:rsidRPr="00523B99" w:rsidRDefault="00EB421E" w:rsidP="00EB421E">
            <w:pPr>
              <w:jc w:val="center"/>
            </w:pPr>
            <w:r w:rsidRPr="00523B99">
              <w:t>Oct 24</w:t>
            </w:r>
          </w:p>
        </w:tc>
        <w:tc>
          <w:tcPr>
            <w:tcW w:w="2640" w:type="dxa"/>
          </w:tcPr>
          <w:p w14:paraId="5D760301" w14:textId="74074C90" w:rsidR="00EB421E" w:rsidRPr="00523B99" w:rsidRDefault="005A566E" w:rsidP="00EB421E">
            <w:r w:rsidRPr="00523B99">
              <w:t xml:space="preserve">Audio &amp; E-books; Digital Divide; </w:t>
            </w:r>
            <w:r w:rsidR="00EB421E" w:rsidRPr="00523B99">
              <w:t>Contemporary Fantasy; Science Fiction; Hugo Award Odyssey Award</w:t>
            </w:r>
          </w:p>
        </w:tc>
        <w:tc>
          <w:tcPr>
            <w:tcW w:w="3840" w:type="dxa"/>
            <w:vAlign w:val="center"/>
          </w:tcPr>
          <w:p w14:paraId="02E16807" w14:textId="55ECE0A2" w:rsidR="00EB421E" w:rsidRPr="00523B99" w:rsidRDefault="00EB421E" w:rsidP="00EB421E">
            <w:pPr>
              <w:rPr>
                <w:i/>
                <w:iCs/>
              </w:rPr>
            </w:pPr>
            <w:r w:rsidRPr="00523B99">
              <w:rPr>
                <w:b/>
                <w:bCs/>
              </w:rPr>
              <w:t>Begin Listening:</w:t>
            </w:r>
            <w:r w:rsidRPr="00523B99">
              <w:rPr>
                <w:i/>
                <w:iCs/>
              </w:rPr>
              <w:t xml:space="preserve"> Boogie </w:t>
            </w:r>
            <w:proofErr w:type="spellStart"/>
            <w:r w:rsidRPr="00523B99">
              <w:rPr>
                <w:i/>
                <w:iCs/>
              </w:rPr>
              <w:t>Boogie</w:t>
            </w:r>
            <w:proofErr w:type="spellEnd"/>
          </w:p>
        </w:tc>
        <w:tc>
          <w:tcPr>
            <w:tcW w:w="2700" w:type="dxa"/>
            <w:vMerge/>
            <w:vAlign w:val="center"/>
          </w:tcPr>
          <w:p w14:paraId="73D663F4" w14:textId="478CB2CD" w:rsidR="00EB421E" w:rsidRPr="00523B99" w:rsidRDefault="00EB421E" w:rsidP="00EB421E"/>
        </w:tc>
      </w:tr>
      <w:tr w:rsidR="00523B99" w:rsidRPr="00523B99" w14:paraId="201630C9" w14:textId="3D882A0A" w:rsidTr="000946B7">
        <w:trPr>
          <w:cantSplit/>
          <w:trHeight w:val="1259"/>
        </w:trPr>
        <w:tc>
          <w:tcPr>
            <w:tcW w:w="1080" w:type="dxa"/>
            <w:shd w:val="clear" w:color="auto" w:fill="auto"/>
            <w:vAlign w:val="center"/>
          </w:tcPr>
          <w:p w14:paraId="5B3CD889" w14:textId="59A9CA43" w:rsidR="00EB421E" w:rsidRPr="00523B99" w:rsidRDefault="00EB421E" w:rsidP="00EB421E">
            <w:pPr>
              <w:jc w:val="center"/>
            </w:pPr>
            <w:r w:rsidRPr="00523B99">
              <w:t>Oct 31</w:t>
            </w:r>
          </w:p>
        </w:tc>
        <w:tc>
          <w:tcPr>
            <w:tcW w:w="2640" w:type="dxa"/>
          </w:tcPr>
          <w:p w14:paraId="17FC9BD2" w14:textId="218EA032" w:rsidR="00EB421E" w:rsidRPr="00523B99" w:rsidRDefault="00A647BE" w:rsidP="00EB421E">
            <w:r w:rsidRPr="00523B99">
              <w:t xml:space="preserve">Informational Books; </w:t>
            </w:r>
          </w:p>
        </w:tc>
        <w:tc>
          <w:tcPr>
            <w:tcW w:w="3840" w:type="dxa"/>
            <w:vAlign w:val="center"/>
          </w:tcPr>
          <w:p w14:paraId="7515BD12" w14:textId="77777777" w:rsidR="00EB421E" w:rsidRPr="00523B99" w:rsidRDefault="00EB421E" w:rsidP="00EB421E">
            <w:r w:rsidRPr="00523B99">
              <w:t>People’s Paint discussion</w:t>
            </w:r>
          </w:p>
          <w:p w14:paraId="1203A202" w14:textId="05FD6D8F" w:rsidR="00EB421E" w:rsidRPr="00523B99" w:rsidRDefault="00EB421E" w:rsidP="00EB421E">
            <w:pPr>
              <w:rPr>
                <w:i/>
                <w:iCs/>
              </w:rPr>
            </w:pPr>
            <w:r w:rsidRPr="00523B99">
              <w:rPr>
                <w:b/>
                <w:bCs/>
              </w:rPr>
              <w:t xml:space="preserve">Begin Reading: </w:t>
            </w:r>
            <w:r w:rsidRPr="00523B99">
              <w:rPr>
                <w:i/>
                <w:iCs/>
              </w:rPr>
              <w:t xml:space="preserve">Last </w:t>
            </w:r>
            <w:proofErr w:type="spellStart"/>
            <w:r w:rsidRPr="00523B99">
              <w:rPr>
                <w:i/>
                <w:iCs/>
              </w:rPr>
              <w:t>Cuentista</w:t>
            </w:r>
            <w:proofErr w:type="spellEnd"/>
          </w:p>
        </w:tc>
        <w:tc>
          <w:tcPr>
            <w:tcW w:w="2700" w:type="dxa"/>
            <w:vMerge/>
            <w:vAlign w:val="center"/>
          </w:tcPr>
          <w:p w14:paraId="2BC198A0" w14:textId="6A9CB9E1" w:rsidR="00EB421E" w:rsidRPr="00523B99" w:rsidRDefault="00EB421E" w:rsidP="00EB421E"/>
        </w:tc>
      </w:tr>
      <w:tr w:rsidR="00523B99" w:rsidRPr="00523B99" w14:paraId="1B3C2C40" w14:textId="45D2E542" w:rsidTr="00680921">
        <w:trPr>
          <w:cantSplit/>
          <w:trHeight w:val="1160"/>
        </w:trPr>
        <w:tc>
          <w:tcPr>
            <w:tcW w:w="1080" w:type="dxa"/>
            <w:shd w:val="clear" w:color="auto" w:fill="auto"/>
            <w:vAlign w:val="center"/>
          </w:tcPr>
          <w:p w14:paraId="22D22EB0" w14:textId="37B74155" w:rsidR="00EB421E" w:rsidRPr="00523B99" w:rsidRDefault="00EB421E" w:rsidP="00EB421E">
            <w:pPr>
              <w:jc w:val="center"/>
            </w:pPr>
            <w:r w:rsidRPr="00523B99">
              <w:t>Nov 07</w:t>
            </w:r>
          </w:p>
        </w:tc>
        <w:tc>
          <w:tcPr>
            <w:tcW w:w="2640" w:type="dxa"/>
          </w:tcPr>
          <w:p w14:paraId="532A61E8" w14:textId="3A82BF7B" w:rsidR="00EB421E" w:rsidRPr="00523B99" w:rsidRDefault="00F930E0" w:rsidP="00EB421E">
            <w:r w:rsidRPr="00523B99">
              <w:t xml:space="preserve">Literature Circles and Their Uses; </w:t>
            </w:r>
            <w:r w:rsidR="00F07407" w:rsidRPr="00523B99">
              <w:t>Belpre, Geisel, American Indian Youth, Asian/Pacific, Taylor, Morris, Eisner Awards</w:t>
            </w:r>
          </w:p>
        </w:tc>
        <w:tc>
          <w:tcPr>
            <w:tcW w:w="3840" w:type="dxa"/>
            <w:vAlign w:val="center"/>
          </w:tcPr>
          <w:p w14:paraId="7F0715B6" w14:textId="15233828" w:rsidR="00EB421E" w:rsidRPr="00523B99" w:rsidRDefault="00EB421E" w:rsidP="00EB421E">
            <w:r w:rsidRPr="00523B99">
              <w:t xml:space="preserve">Boogie </w:t>
            </w:r>
            <w:proofErr w:type="spellStart"/>
            <w:r w:rsidRPr="00523B99">
              <w:t>Boogie</w:t>
            </w:r>
            <w:proofErr w:type="spellEnd"/>
            <w:r w:rsidRPr="00523B99">
              <w:t xml:space="preserve"> discussion</w:t>
            </w:r>
          </w:p>
        </w:tc>
        <w:tc>
          <w:tcPr>
            <w:tcW w:w="2700" w:type="dxa"/>
            <w:vMerge/>
            <w:vAlign w:val="center"/>
          </w:tcPr>
          <w:p w14:paraId="46B1F376" w14:textId="23C49F23" w:rsidR="00EB421E" w:rsidRPr="00523B99" w:rsidRDefault="00EB421E" w:rsidP="00EB421E"/>
        </w:tc>
      </w:tr>
      <w:tr w:rsidR="00523B99" w:rsidRPr="00523B99" w14:paraId="656E5CB5" w14:textId="28F89A41" w:rsidTr="007E7F02">
        <w:trPr>
          <w:cantSplit/>
          <w:trHeight w:val="1160"/>
        </w:trPr>
        <w:tc>
          <w:tcPr>
            <w:tcW w:w="1080" w:type="dxa"/>
            <w:shd w:val="clear" w:color="auto" w:fill="auto"/>
            <w:vAlign w:val="center"/>
          </w:tcPr>
          <w:p w14:paraId="76A61BA0" w14:textId="01D6AE0A" w:rsidR="00EB421E" w:rsidRPr="00523B99" w:rsidRDefault="00EB421E" w:rsidP="00EB421E">
            <w:pPr>
              <w:jc w:val="center"/>
            </w:pPr>
            <w:r w:rsidRPr="00523B99">
              <w:t>Nov 14</w:t>
            </w:r>
          </w:p>
        </w:tc>
        <w:tc>
          <w:tcPr>
            <w:tcW w:w="2640" w:type="dxa"/>
          </w:tcPr>
          <w:p w14:paraId="552F8908" w14:textId="24011C17" w:rsidR="00EB421E" w:rsidRPr="00523B99" w:rsidRDefault="00F930E0" w:rsidP="00EB421E">
            <w:r w:rsidRPr="00523B99">
              <w:t>Intellectual Freedom; Selection Aids</w:t>
            </w:r>
          </w:p>
        </w:tc>
        <w:tc>
          <w:tcPr>
            <w:tcW w:w="3840" w:type="dxa"/>
            <w:vAlign w:val="center"/>
          </w:tcPr>
          <w:p w14:paraId="59BB97C3" w14:textId="4206AA21" w:rsidR="00EB421E" w:rsidRPr="00523B99" w:rsidRDefault="00EB421E" w:rsidP="00EB421E"/>
        </w:tc>
        <w:tc>
          <w:tcPr>
            <w:tcW w:w="2700" w:type="dxa"/>
            <w:vMerge/>
            <w:vAlign w:val="center"/>
          </w:tcPr>
          <w:p w14:paraId="64428734" w14:textId="1F7E8C1B" w:rsidR="00EB421E" w:rsidRPr="00523B99" w:rsidRDefault="00EB421E" w:rsidP="00EB421E"/>
        </w:tc>
      </w:tr>
      <w:tr w:rsidR="00523B99" w:rsidRPr="00523B99" w14:paraId="3F0BC139" w14:textId="1E8724C9" w:rsidTr="00D43CD4">
        <w:trPr>
          <w:cantSplit/>
          <w:trHeight w:val="692"/>
        </w:trPr>
        <w:tc>
          <w:tcPr>
            <w:tcW w:w="1080" w:type="dxa"/>
            <w:shd w:val="clear" w:color="auto" w:fill="auto"/>
            <w:vAlign w:val="center"/>
          </w:tcPr>
          <w:p w14:paraId="4662E165" w14:textId="2807C603" w:rsidR="00EB421E" w:rsidRPr="00523B99" w:rsidRDefault="00EB421E" w:rsidP="00EB421E">
            <w:pPr>
              <w:jc w:val="center"/>
            </w:pPr>
            <w:r w:rsidRPr="00523B99">
              <w:t>Nov 21</w:t>
            </w:r>
          </w:p>
        </w:tc>
        <w:tc>
          <w:tcPr>
            <w:tcW w:w="6480" w:type="dxa"/>
            <w:gridSpan w:val="2"/>
            <w:vAlign w:val="center"/>
          </w:tcPr>
          <w:p w14:paraId="54462A57" w14:textId="77777777" w:rsidR="00EB421E" w:rsidRPr="00523B99" w:rsidRDefault="00EB421E" w:rsidP="00EB421E">
            <w:pPr>
              <w:jc w:val="center"/>
            </w:pPr>
            <w:r w:rsidRPr="00523B99">
              <w:t>Thanksgiving Holiday – No Class Sessions or Work Due</w:t>
            </w:r>
          </w:p>
        </w:tc>
        <w:tc>
          <w:tcPr>
            <w:tcW w:w="2700" w:type="dxa"/>
            <w:vMerge/>
            <w:vAlign w:val="center"/>
          </w:tcPr>
          <w:p w14:paraId="419AF555" w14:textId="66B54C8A" w:rsidR="00EB421E" w:rsidRPr="00523B99" w:rsidRDefault="00EB421E" w:rsidP="00EB421E">
            <w:pPr>
              <w:jc w:val="center"/>
            </w:pPr>
          </w:p>
        </w:tc>
      </w:tr>
      <w:tr w:rsidR="00523B99" w:rsidRPr="00523B99" w14:paraId="1FE11F03" w14:textId="31BBA5D1" w:rsidTr="0004774A">
        <w:trPr>
          <w:cantSplit/>
          <w:trHeight w:val="1356"/>
        </w:trPr>
        <w:tc>
          <w:tcPr>
            <w:tcW w:w="1080" w:type="dxa"/>
            <w:shd w:val="clear" w:color="auto" w:fill="auto"/>
            <w:vAlign w:val="center"/>
          </w:tcPr>
          <w:p w14:paraId="3EAA401D" w14:textId="455FDF0D" w:rsidR="00EB421E" w:rsidRPr="00523B99" w:rsidRDefault="00EB421E" w:rsidP="00EB421E">
            <w:pPr>
              <w:jc w:val="center"/>
            </w:pPr>
            <w:r w:rsidRPr="00523B99">
              <w:t>Nov 28</w:t>
            </w:r>
          </w:p>
        </w:tc>
        <w:tc>
          <w:tcPr>
            <w:tcW w:w="2640" w:type="dxa"/>
          </w:tcPr>
          <w:p w14:paraId="6D766C50" w14:textId="4A9DE02C" w:rsidR="00EB421E" w:rsidRPr="00523B99" w:rsidRDefault="00F07407" w:rsidP="00EB421E">
            <w:r w:rsidRPr="00523B99">
              <w:t xml:space="preserve">Graphic Novels: Characteristics, </w:t>
            </w:r>
            <w:proofErr w:type="spellStart"/>
            <w:r w:rsidRPr="00523B99">
              <w:t>Booktalking</w:t>
            </w:r>
            <w:proofErr w:type="spellEnd"/>
          </w:p>
        </w:tc>
        <w:tc>
          <w:tcPr>
            <w:tcW w:w="3840" w:type="dxa"/>
            <w:vAlign w:val="center"/>
          </w:tcPr>
          <w:p w14:paraId="7B183A10" w14:textId="7889C6DE" w:rsidR="00EB421E" w:rsidRPr="00523B99" w:rsidRDefault="00EB421E" w:rsidP="00EB421E">
            <w:r w:rsidRPr="00523B99">
              <w:t xml:space="preserve">Last </w:t>
            </w:r>
            <w:proofErr w:type="spellStart"/>
            <w:r w:rsidRPr="00523B99">
              <w:t>Cuentista</w:t>
            </w:r>
            <w:proofErr w:type="spellEnd"/>
            <w:r w:rsidRPr="00523B99">
              <w:t xml:space="preserve"> discussion</w:t>
            </w:r>
          </w:p>
        </w:tc>
        <w:tc>
          <w:tcPr>
            <w:tcW w:w="2700" w:type="dxa"/>
            <w:vMerge/>
            <w:vAlign w:val="center"/>
          </w:tcPr>
          <w:p w14:paraId="06D51354" w14:textId="59E6A15B" w:rsidR="00EB421E" w:rsidRPr="00523B99" w:rsidRDefault="00EB421E" w:rsidP="00EB421E"/>
        </w:tc>
      </w:tr>
      <w:tr w:rsidR="00523B99" w:rsidRPr="00523B99" w14:paraId="7DC2ACC3" w14:textId="77777777" w:rsidTr="0034352C">
        <w:trPr>
          <w:cantSplit/>
        </w:trPr>
        <w:tc>
          <w:tcPr>
            <w:tcW w:w="1080" w:type="dxa"/>
            <w:shd w:val="clear" w:color="auto" w:fill="auto"/>
            <w:vAlign w:val="center"/>
          </w:tcPr>
          <w:p w14:paraId="44835C81" w14:textId="184FC989" w:rsidR="0034352C" w:rsidRPr="00523B99" w:rsidRDefault="0034352C" w:rsidP="00EB421E">
            <w:pPr>
              <w:jc w:val="center"/>
            </w:pPr>
            <w:r w:rsidRPr="00523B99">
              <w:t>Dec 07</w:t>
            </w:r>
          </w:p>
        </w:tc>
        <w:tc>
          <w:tcPr>
            <w:tcW w:w="6480" w:type="dxa"/>
            <w:gridSpan w:val="2"/>
            <w:vAlign w:val="center"/>
          </w:tcPr>
          <w:p w14:paraId="28458B59" w14:textId="632CCE79" w:rsidR="0034352C" w:rsidRPr="00523B99" w:rsidRDefault="0034352C" w:rsidP="0034352C">
            <w:pPr>
              <w:jc w:val="center"/>
            </w:pPr>
            <w:r w:rsidRPr="00523B99">
              <w:t>Final Examination</w:t>
            </w:r>
          </w:p>
        </w:tc>
        <w:tc>
          <w:tcPr>
            <w:tcW w:w="2700" w:type="dxa"/>
            <w:vMerge/>
            <w:vAlign w:val="center"/>
          </w:tcPr>
          <w:p w14:paraId="0EFF934D" w14:textId="77777777" w:rsidR="0034352C" w:rsidRPr="00523B99" w:rsidRDefault="0034352C" w:rsidP="00EB421E"/>
        </w:tc>
      </w:tr>
    </w:tbl>
    <w:p w14:paraId="1A6F67B2" w14:textId="77777777" w:rsidR="00006E9A" w:rsidRPr="00523B99" w:rsidRDefault="00A768E1" w:rsidP="00006E9A">
      <w:pPr>
        <w:pStyle w:val="Heading2"/>
      </w:pPr>
      <w:r w:rsidRPr="00523B99">
        <w:t>Assessment:</w:t>
      </w:r>
      <w:r w:rsidR="000922A7" w:rsidRPr="00523B99">
        <w:tab/>
      </w:r>
    </w:p>
    <w:p w14:paraId="75ADCCD9" w14:textId="77777777" w:rsidR="002562E8" w:rsidRPr="00523B99"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523B99" w:rsidRPr="00523B99" w14:paraId="376ED522" w14:textId="77777777" w:rsidTr="008A1193">
        <w:tc>
          <w:tcPr>
            <w:tcW w:w="6025" w:type="dxa"/>
          </w:tcPr>
          <w:p w14:paraId="2798A395" w14:textId="17BD974B" w:rsidR="002562E8" w:rsidRPr="00523B99" w:rsidRDefault="00DB1447" w:rsidP="00714212">
            <w:pPr>
              <w:tabs>
                <w:tab w:val="right" w:leader="dot" w:pos="7200"/>
              </w:tabs>
            </w:pPr>
            <w:r w:rsidRPr="00523B99">
              <w:t>Media Reviews</w:t>
            </w:r>
            <w:r w:rsidR="001542B5" w:rsidRPr="00523B99">
              <w:t xml:space="preserve"> </w:t>
            </w:r>
            <w:r w:rsidR="00B45DAC" w:rsidRPr="00523B99">
              <w:t>7</w:t>
            </w:r>
            <w:r w:rsidR="001542B5" w:rsidRPr="00523B99">
              <w:t xml:space="preserve"> @ 10 pts each</w:t>
            </w:r>
            <w:r w:rsidR="001542B5" w:rsidRPr="00523B99">
              <w:tab/>
            </w:r>
            <w:r w:rsidR="00B45DAC" w:rsidRPr="00523B99">
              <w:t>70</w:t>
            </w:r>
            <w:r w:rsidR="001542B5" w:rsidRPr="00523B99">
              <w:t xml:space="preserve"> pts</w:t>
            </w:r>
          </w:p>
        </w:tc>
        <w:tc>
          <w:tcPr>
            <w:tcW w:w="2610" w:type="dxa"/>
            <w:vMerge w:val="restart"/>
            <w:vAlign w:val="center"/>
          </w:tcPr>
          <w:p w14:paraId="1BD0E1B0" w14:textId="6C18DC70" w:rsidR="002562E8" w:rsidRPr="00523B99" w:rsidRDefault="00A57672" w:rsidP="008A1193">
            <w:pPr>
              <w:tabs>
                <w:tab w:val="left" w:leader="dot" w:pos="1893"/>
              </w:tabs>
            </w:pPr>
            <w:r w:rsidRPr="00523B99">
              <w:t xml:space="preserve">See the course roadmap for details, scheduling, and deadlines for </w:t>
            </w:r>
            <w:r w:rsidR="008A1193" w:rsidRPr="00523B99">
              <w:t>earning grades of “A”.</w:t>
            </w:r>
          </w:p>
        </w:tc>
      </w:tr>
      <w:tr w:rsidR="00523B99" w:rsidRPr="00523B99" w14:paraId="0D4FDA73" w14:textId="77777777" w:rsidTr="00141DDD">
        <w:tc>
          <w:tcPr>
            <w:tcW w:w="6025" w:type="dxa"/>
          </w:tcPr>
          <w:p w14:paraId="31F35C09" w14:textId="4DF7ED5B" w:rsidR="002562E8" w:rsidRPr="00523B99" w:rsidRDefault="0027520C" w:rsidP="00714212">
            <w:pPr>
              <w:tabs>
                <w:tab w:val="right" w:leader="dot" w:pos="7200"/>
              </w:tabs>
            </w:pPr>
            <w:r w:rsidRPr="00523B99">
              <w:t>Literature-based Thematic Display</w:t>
            </w:r>
            <w:r w:rsidR="00823264" w:rsidRPr="00523B99">
              <w:t xml:space="preserve"> (Bull. Bd)</w:t>
            </w:r>
            <w:r w:rsidRPr="00523B99">
              <w:tab/>
            </w:r>
            <w:r w:rsidR="00FB05D8" w:rsidRPr="00523B99">
              <w:t>20 pts</w:t>
            </w:r>
          </w:p>
        </w:tc>
        <w:tc>
          <w:tcPr>
            <w:tcW w:w="2610" w:type="dxa"/>
            <w:vMerge/>
          </w:tcPr>
          <w:p w14:paraId="601E8136" w14:textId="77777777" w:rsidR="002562E8" w:rsidRPr="00523B99" w:rsidRDefault="002562E8" w:rsidP="00714212">
            <w:pPr>
              <w:tabs>
                <w:tab w:val="right" w:leader="dot" w:pos="7200"/>
              </w:tabs>
            </w:pPr>
          </w:p>
        </w:tc>
      </w:tr>
      <w:tr w:rsidR="00523B99" w:rsidRPr="00523B99" w14:paraId="3C1E5A63" w14:textId="77777777" w:rsidTr="00141DDD">
        <w:tc>
          <w:tcPr>
            <w:tcW w:w="6025" w:type="dxa"/>
          </w:tcPr>
          <w:p w14:paraId="40338A42" w14:textId="3CB785BB" w:rsidR="005461CA" w:rsidRPr="00523B99" w:rsidRDefault="00C16301" w:rsidP="00714212">
            <w:pPr>
              <w:tabs>
                <w:tab w:val="right" w:leader="dot" w:pos="7200"/>
              </w:tabs>
            </w:pPr>
            <w:r w:rsidRPr="00523B99">
              <w:t xml:space="preserve">Reading Quizzes </w:t>
            </w:r>
            <w:r w:rsidR="006D3BD0" w:rsidRPr="00523B99">
              <w:t>4</w:t>
            </w:r>
            <w:r w:rsidRPr="00523B99">
              <w:t xml:space="preserve"> @ 10 pts each </w:t>
            </w:r>
            <w:r w:rsidRPr="00523B99">
              <w:tab/>
            </w:r>
            <w:r w:rsidR="006D3BD0" w:rsidRPr="00523B99">
              <w:t>4</w:t>
            </w:r>
            <w:r w:rsidRPr="00523B99">
              <w:t>0 pts</w:t>
            </w:r>
          </w:p>
        </w:tc>
        <w:tc>
          <w:tcPr>
            <w:tcW w:w="2610" w:type="dxa"/>
            <w:vMerge/>
          </w:tcPr>
          <w:p w14:paraId="144BD45B" w14:textId="77777777" w:rsidR="005461CA" w:rsidRPr="00523B99" w:rsidRDefault="005461CA" w:rsidP="00714212">
            <w:pPr>
              <w:tabs>
                <w:tab w:val="right" w:leader="dot" w:pos="7200"/>
              </w:tabs>
            </w:pPr>
          </w:p>
        </w:tc>
      </w:tr>
      <w:tr w:rsidR="00523B99" w:rsidRPr="00523B99" w14:paraId="3DD267F2" w14:textId="77777777" w:rsidTr="00141DDD">
        <w:tc>
          <w:tcPr>
            <w:tcW w:w="6025" w:type="dxa"/>
          </w:tcPr>
          <w:p w14:paraId="737E4BB2" w14:textId="42CE574C" w:rsidR="002562E8" w:rsidRPr="00523B99" w:rsidRDefault="00832A4B" w:rsidP="00714212">
            <w:pPr>
              <w:tabs>
                <w:tab w:val="right" w:leader="dot" w:pos="7200"/>
              </w:tabs>
            </w:pPr>
            <w:r w:rsidRPr="00523B99">
              <w:t>Book Talk</w:t>
            </w:r>
            <w:r w:rsidR="007C710A" w:rsidRPr="00523B99">
              <w:t xml:space="preserve"> (Technology-based)</w:t>
            </w:r>
            <w:r w:rsidRPr="00523B99">
              <w:tab/>
            </w:r>
            <w:r w:rsidR="007C710A" w:rsidRPr="00523B99">
              <w:t>3</w:t>
            </w:r>
            <w:r w:rsidR="00712EB2" w:rsidRPr="00523B99">
              <w:t>0 pts</w:t>
            </w:r>
          </w:p>
        </w:tc>
        <w:tc>
          <w:tcPr>
            <w:tcW w:w="2610" w:type="dxa"/>
            <w:vMerge/>
          </w:tcPr>
          <w:p w14:paraId="4F2AF3A9" w14:textId="77777777" w:rsidR="002562E8" w:rsidRPr="00523B99" w:rsidRDefault="002562E8" w:rsidP="00714212">
            <w:pPr>
              <w:tabs>
                <w:tab w:val="right" w:leader="dot" w:pos="7200"/>
              </w:tabs>
            </w:pPr>
          </w:p>
        </w:tc>
      </w:tr>
      <w:tr w:rsidR="00523B99" w:rsidRPr="00523B99" w14:paraId="76A8FF84" w14:textId="77777777" w:rsidTr="00141DDD">
        <w:tc>
          <w:tcPr>
            <w:tcW w:w="6025" w:type="dxa"/>
          </w:tcPr>
          <w:p w14:paraId="4BEA88AE" w14:textId="4F9C0B7D" w:rsidR="002562E8" w:rsidRPr="00523B99" w:rsidRDefault="00AD30E4" w:rsidP="00714212">
            <w:pPr>
              <w:tabs>
                <w:tab w:val="right" w:leader="dot" w:pos="7200"/>
              </w:tabs>
            </w:pPr>
            <w:r w:rsidRPr="00523B99">
              <w:t>Midterm Examination</w:t>
            </w:r>
            <w:r w:rsidRPr="00523B99">
              <w:tab/>
            </w:r>
            <w:r w:rsidR="005C361D" w:rsidRPr="00523B99">
              <w:t>20 pts</w:t>
            </w:r>
          </w:p>
        </w:tc>
        <w:tc>
          <w:tcPr>
            <w:tcW w:w="2610" w:type="dxa"/>
            <w:vMerge/>
          </w:tcPr>
          <w:p w14:paraId="7F8A45E9" w14:textId="77777777" w:rsidR="002562E8" w:rsidRPr="00523B99" w:rsidRDefault="002562E8" w:rsidP="00714212">
            <w:pPr>
              <w:tabs>
                <w:tab w:val="right" w:leader="dot" w:pos="7200"/>
              </w:tabs>
            </w:pPr>
          </w:p>
        </w:tc>
      </w:tr>
      <w:tr w:rsidR="00523B99" w:rsidRPr="00523B99" w14:paraId="0DB4E8A6" w14:textId="77777777" w:rsidTr="00141DDD">
        <w:tc>
          <w:tcPr>
            <w:tcW w:w="6025" w:type="dxa"/>
          </w:tcPr>
          <w:p w14:paraId="4C5F5F2B" w14:textId="4BE78217" w:rsidR="002562E8" w:rsidRPr="00523B99" w:rsidRDefault="005C361D" w:rsidP="00714212">
            <w:pPr>
              <w:tabs>
                <w:tab w:val="right" w:leader="dot" w:pos="7200"/>
              </w:tabs>
            </w:pPr>
            <w:r w:rsidRPr="00523B99">
              <w:t>Final Examination</w:t>
            </w:r>
            <w:r w:rsidRPr="00523B99">
              <w:tab/>
              <w:t>30 pts</w:t>
            </w:r>
          </w:p>
        </w:tc>
        <w:tc>
          <w:tcPr>
            <w:tcW w:w="2610" w:type="dxa"/>
            <w:vMerge/>
          </w:tcPr>
          <w:p w14:paraId="01D2C3F9" w14:textId="77777777" w:rsidR="002562E8" w:rsidRPr="00523B99" w:rsidRDefault="002562E8" w:rsidP="00714212">
            <w:pPr>
              <w:tabs>
                <w:tab w:val="right" w:leader="dot" w:pos="7200"/>
              </w:tabs>
            </w:pPr>
          </w:p>
        </w:tc>
      </w:tr>
      <w:tr w:rsidR="00523B99" w:rsidRPr="00523B99" w14:paraId="6BBD07BE" w14:textId="77777777" w:rsidTr="00141DDD">
        <w:tc>
          <w:tcPr>
            <w:tcW w:w="6025" w:type="dxa"/>
          </w:tcPr>
          <w:p w14:paraId="704DDCD4" w14:textId="635A3956" w:rsidR="002562E8" w:rsidRPr="00523B99" w:rsidRDefault="002562E8" w:rsidP="00714212">
            <w:pPr>
              <w:tabs>
                <w:tab w:val="right" w:leader="dot" w:pos="7200"/>
              </w:tabs>
            </w:pPr>
          </w:p>
        </w:tc>
        <w:tc>
          <w:tcPr>
            <w:tcW w:w="2610" w:type="dxa"/>
            <w:vMerge/>
          </w:tcPr>
          <w:p w14:paraId="761DAE84" w14:textId="77777777" w:rsidR="002562E8" w:rsidRPr="00523B99" w:rsidRDefault="002562E8" w:rsidP="00714212">
            <w:pPr>
              <w:tabs>
                <w:tab w:val="right" w:leader="dot" w:pos="7200"/>
              </w:tabs>
            </w:pPr>
          </w:p>
        </w:tc>
      </w:tr>
      <w:tr w:rsidR="00AD0DDB" w:rsidRPr="00523B99" w14:paraId="136122E6" w14:textId="77777777" w:rsidTr="00141DDD">
        <w:tc>
          <w:tcPr>
            <w:tcW w:w="6025" w:type="dxa"/>
          </w:tcPr>
          <w:p w14:paraId="0A95EC77" w14:textId="1B603A13" w:rsidR="00AD0DDB" w:rsidRPr="00523B99" w:rsidRDefault="00AD0DDB" w:rsidP="00AD0DDB">
            <w:pPr>
              <w:tabs>
                <w:tab w:val="right" w:leader="dot" w:pos="7200"/>
              </w:tabs>
            </w:pPr>
            <w:r w:rsidRPr="00523B99">
              <w:t>Total Possible Points</w:t>
            </w:r>
            <w:r w:rsidRPr="00523B99">
              <w:tab/>
            </w:r>
            <w:r w:rsidR="00EE4DDD" w:rsidRPr="00523B99">
              <w:t>See Road Map for Details</w:t>
            </w:r>
          </w:p>
        </w:tc>
        <w:tc>
          <w:tcPr>
            <w:tcW w:w="2610" w:type="dxa"/>
            <w:vMerge/>
          </w:tcPr>
          <w:p w14:paraId="349D58B7" w14:textId="77777777" w:rsidR="00AD0DDB" w:rsidRPr="00523B99" w:rsidRDefault="00AD0DDB" w:rsidP="00AD0DDB">
            <w:pPr>
              <w:tabs>
                <w:tab w:val="right" w:leader="dot" w:pos="7200"/>
              </w:tabs>
            </w:pPr>
          </w:p>
        </w:tc>
      </w:tr>
    </w:tbl>
    <w:p w14:paraId="5462A029" w14:textId="5DCA2EF0" w:rsidR="002562E8" w:rsidRPr="00523B99" w:rsidRDefault="002562E8" w:rsidP="002562E8">
      <w:pPr>
        <w:pBdr>
          <w:top w:val="single" w:sz="4" w:space="1" w:color="auto"/>
        </w:pBdr>
        <w:tabs>
          <w:tab w:val="right" w:leader="dot" w:pos="7200"/>
        </w:tabs>
        <w:ind w:left="720" w:right="2160"/>
        <w:rPr>
          <w:b/>
        </w:rPr>
      </w:pPr>
    </w:p>
    <w:tbl>
      <w:tblPr>
        <w:tblStyle w:val="TableGrid"/>
        <w:tblW w:w="8640" w:type="dxa"/>
        <w:tblInd w:w="715" w:type="dxa"/>
        <w:tblLook w:val="04A0" w:firstRow="1" w:lastRow="0" w:firstColumn="1" w:lastColumn="0" w:noHBand="0" w:noVBand="1"/>
      </w:tblPr>
      <w:tblGrid>
        <w:gridCol w:w="2700"/>
        <w:gridCol w:w="3330"/>
        <w:gridCol w:w="2610"/>
      </w:tblGrid>
      <w:tr w:rsidR="00523B99" w:rsidRPr="00523B99" w14:paraId="60E9B036" w14:textId="77777777" w:rsidTr="00A57672">
        <w:tc>
          <w:tcPr>
            <w:tcW w:w="2700" w:type="dxa"/>
          </w:tcPr>
          <w:p w14:paraId="2C3188C7" w14:textId="77777777" w:rsidR="000231EF" w:rsidRPr="00523B99" w:rsidRDefault="000231EF" w:rsidP="00597611">
            <w:pPr>
              <w:rPr>
                <w:rFonts w:ascii="Garamond" w:hAnsi="Garamond"/>
                <w:b/>
                <w:sz w:val="18"/>
              </w:rPr>
            </w:pPr>
            <w:r w:rsidRPr="00523B99">
              <w:rPr>
                <w:rFonts w:ascii="Garamond" w:hAnsi="Garamond"/>
                <w:b/>
                <w:sz w:val="18"/>
              </w:rPr>
              <w:lastRenderedPageBreak/>
              <w:t xml:space="preserve">If you are eligible for an A: </w:t>
            </w:r>
          </w:p>
          <w:p w14:paraId="03590BF8" w14:textId="77777777" w:rsidR="000231EF" w:rsidRPr="00523B99" w:rsidRDefault="000231EF" w:rsidP="00597611">
            <w:pPr>
              <w:rPr>
                <w:rFonts w:ascii="Garamond" w:hAnsi="Garamond"/>
                <w:b/>
                <w:sz w:val="18"/>
              </w:rPr>
            </w:pPr>
          </w:p>
          <w:p w14:paraId="19DE7734" w14:textId="77777777" w:rsidR="00BD2131" w:rsidRPr="00523B99" w:rsidRDefault="00BD2131" w:rsidP="00BD2131">
            <w:pPr>
              <w:rPr>
                <w:rFonts w:ascii="Garamond" w:hAnsi="Garamond"/>
                <w:sz w:val="18"/>
              </w:rPr>
            </w:pPr>
            <w:r w:rsidRPr="00523B99">
              <w:rPr>
                <w:rFonts w:ascii="Garamond" w:hAnsi="Garamond"/>
                <w:sz w:val="18"/>
              </w:rPr>
              <w:t xml:space="preserve">A = ≥ 220 final point total </w:t>
            </w:r>
          </w:p>
          <w:p w14:paraId="068FC582" w14:textId="77777777" w:rsidR="00BD2131" w:rsidRPr="00523B99" w:rsidRDefault="00BD2131" w:rsidP="00BD2131">
            <w:pPr>
              <w:rPr>
                <w:rFonts w:ascii="Garamond" w:hAnsi="Garamond"/>
                <w:sz w:val="18"/>
              </w:rPr>
            </w:pPr>
            <w:r w:rsidRPr="00523B99">
              <w:rPr>
                <w:rFonts w:ascii="Garamond" w:hAnsi="Garamond"/>
                <w:sz w:val="18"/>
              </w:rPr>
              <w:t xml:space="preserve">B = 192-219.99 final point total </w:t>
            </w:r>
          </w:p>
          <w:p w14:paraId="5498C7DE" w14:textId="77777777" w:rsidR="00BD2131" w:rsidRPr="00523B99" w:rsidRDefault="00BD2131" w:rsidP="00BD2131">
            <w:pPr>
              <w:rPr>
                <w:rFonts w:ascii="Garamond" w:hAnsi="Garamond"/>
                <w:sz w:val="18"/>
              </w:rPr>
            </w:pPr>
            <w:r w:rsidRPr="00523B99">
              <w:rPr>
                <w:rFonts w:ascii="Garamond" w:hAnsi="Garamond"/>
                <w:sz w:val="18"/>
              </w:rPr>
              <w:t xml:space="preserve">C = 166-191.99 final point total </w:t>
            </w:r>
          </w:p>
          <w:p w14:paraId="04387FF8" w14:textId="77777777" w:rsidR="00BD2131" w:rsidRPr="00523B99" w:rsidRDefault="00BD2131" w:rsidP="00BD2131">
            <w:pPr>
              <w:rPr>
                <w:rFonts w:ascii="Garamond" w:hAnsi="Garamond"/>
                <w:sz w:val="18"/>
              </w:rPr>
            </w:pPr>
            <w:r w:rsidRPr="00523B99">
              <w:rPr>
                <w:rFonts w:ascii="Garamond" w:hAnsi="Garamond"/>
                <w:sz w:val="18"/>
              </w:rPr>
              <w:t xml:space="preserve">D = 139-165.99 final point total </w:t>
            </w:r>
          </w:p>
          <w:p w14:paraId="5F30F38C" w14:textId="06920B4A" w:rsidR="000231EF" w:rsidRPr="00523B99" w:rsidRDefault="00BD2131" w:rsidP="00BD2131">
            <w:pPr>
              <w:rPr>
                <w:rFonts w:ascii="Garamond" w:hAnsi="Garamond"/>
                <w:b/>
                <w:sz w:val="18"/>
              </w:rPr>
            </w:pPr>
            <w:r w:rsidRPr="00523B99">
              <w:rPr>
                <w:rFonts w:ascii="Garamond" w:hAnsi="Garamond"/>
                <w:sz w:val="18"/>
              </w:rPr>
              <w:t>F = &lt; 159 final point total</w:t>
            </w:r>
          </w:p>
        </w:tc>
        <w:tc>
          <w:tcPr>
            <w:tcW w:w="3330" w:type="dxa"/>
            <w:tcBorders>
              <w:top w:val="single" w:sz="4" w:space="0" w:color="auto"/>
            </w:tcBorders>
          </w:tcPr>
          <w:p w14:paraId="73FC389E" w14:textId="77777777" w:rsidR="000231EF" w:rsidRPr="00523B99" w:rsidRDefault="000231EF" w:rsidP="00597611">
            <w:pPr>
              <w:rPr>
                <w:rFonts w:ascii="Garamond" w:hAnsi="Garamond"/>
                <w:b/>
                <w:sz w:val="18"/>
              </w:rPr>
            </w:pPr>
            <w:r w:rsidRPr="00523B99">
              <w:rPr>
                <w:rFonts w:ascii="Garamond" w:hAnsi="Garamond"/>
                <w:b/>
                <w:sz w:val="18"/>
              </w:rPr>
              <w:t>If you DO NOT meet the deadlines, and are, therefore, ineligible for an A:</w:t>
            </w:r>
          </w:p>
          <w:p w14:paraId="2E1501C8" w14:textId="77777777" w:rsidR="000231EF" w:rsidRPr="00523B99" w:rsidRDefault="000231EF" w:rsidP="00597611">
            <w:pPr>
              <w:rPr>
                <w:rFonts w:ascii="Garamond" w:hAnsi="Garamond"/>
                <w:b/>
                <w:sz w:val="18"/>
              </w:rPr>
            </w:pPr>
            <w:r w:rsidRPr="00523B99">
              <w:rPr>
                <w:rFonts w:ascii="Garamond" w:hAnsi="Garamond"/>
                <w:b/>
                <w:sz w:val="18"/>
              </w:rPr>
              <w:t xml:space="preserve"> </w:t>
            </w:r>
          </w:p>
          <w:p w14:paraId="12E004C4" w14:textId="77777777" w:rsidR="00523B99" w:rsidRPr="00523B99" w:rsidRDefault="00523B99" w:rsidP="00523B99">
            <w:pPr>
              <w:rPr>
                <w:rFonts w:ascii="Garamond" w:hAnsi="Garamond"/>
                <w:sz w:val="18"/>
              </w:rPr>
            </w:pPr>
            <w:r w:rsidRPr="00523B99">
              <w:rPr>
                <w:rFonts w:ascii="Garamond" w:hAnsi="Garamond"/>
                <w:sz w:val="18"/>
              </w:rPr>
              <w:t xml:space="preserve">B = ≥192 final point total </w:t>
            </w:r>
          </w:p>
          <w:p w14:paraId="37237ED0" w14:textId="77777777" w:rsidR="00523B99" w:rsidRPr="00523B99" w:rsidRDefault="00523B99" w:rsidP="00523B99">
            <w:pPr>
              <w:rPr>
                <w:rFonts w:ascii="Garamond" w:hAnsi="Garamond"/>
                <w:sz w:val="18"/>
              </w:rPr>
            </w:pPr>
            <w:r w:rsidRPr="00523B99">
              <w:rPr>
                <w:rFonts w:ascii="Garamond" w:hAnsi="Garamond"/>
                <w:sz w:val="18"/>
              </w:rPr>
              <w:t xml:space="preserve">C = 166-191.99 final point total </w:t>
            </w:r>
          </w:p>
          <w:p w14:paraId="67C4C076" w14:textId="77777777" w:rsidR="00523B99" w:rsidRPr="00523B99" w:rsidRDefault="00523B99" w:rsidP="00523B99">
            <w:pPr>
              <w:rPr>
                <w:rFonts w:ascii="Garamond" w:hAnsi="Garamond"/>
                <w:sz w:val="18"/>
              </w:rPr>
            </w:pPr>
            <w:r w:rsidRPr="00523B99">
              <w:rPr>
                <w:rFonts w:ascii="Garamond" w:hAnsi="Garamond"/>
                <w:sz w:val="18"/>
              </w:rPr>
              <w:t xml:space="preserve">D = 139-165.99 final point total </w:t>
            </w:r>
          </w:p>
          <w:p w14:paraId="52F9AF59" w14:textId="021852FA" w:rsidR="000231EF" w:rsidRPr="00523B99" w:rsidRDefault="00523B99" w:rsidP="00523B99">
            <w:pPr>
              <w:rPr>
                <w:rFonts w:ascii="Garamond" w:hAnsi="Garamond"/>
                <w:sz w:val="18"/>
              </w:rPr>
            </w:pPr>
            <w:r w:rsidRPr="00523B99">
              <w:rPr>
                <w:rFonts w:ascii="Garamond" w:hAnsi="Garamond"/>
                <w:sz w:val="18"/>
              </w:rPr>
              <w:t>F = &lt; 159 final point total</w:t>
            </w:r>
          </w:p>
        </w:tc>
        <w:tc>
          <w:tcPr>
            <w:tcW w:w="2610" w:type="dxa"/>
            <w:tcBorders>
              <w:top w:val="single" w:sz="4" w:space="0" w:color="auto"/>
            </w:tcBorders>
          </w:tcPr>
          <w:p w14:paraId="594228E5" w14:textId="77777777" w:rsidR="000231EF" w:rsidRPr="00523B99" w:rsidRDefault="000231EF" w:rsidP="00597611">
            <w:pPr>
              <w:rPr>
                <w:rFonts w:ascii="Garamond" w:hAnsi="Garamond"/>
                <w:b/>
                <w:sz w:val="18"/>
              </w:rPr>
            </w:pPr>
            <w:r w:rsidRPr="00523B99">
              <w:rPr>
                <w:rFonts w:ascii="Garamond" w:hAnsi="Garamond"/>
                <w:b/>
                <w:sz w:val="18"/>
              </w:rPr>
              <w:t>Final Letter Grade</w:t>
            </w:r>
          </w:p>
          <w:p w14:paraId="5A27AF22" w14:textId="77777777" w:rsidR="000231EF" w:rsidRPr="00523B99" w:rsidRDefault="000231EF" w:rsidP="00597611">
            <w:pPr>
              <w:rPr>
                <w:rFonts w:ascii="Garamond" w:hAnsi="Garamond"/>
                <w:b/>
                <w:sz w:val="18"/>
              </w:rPr>
            </w:pPr>
          </w:p>
          <w:p w14:paraId="3F76924E" w14:textId="77777777" w:rsidR="000231EF" w:rsidRPr="00523B99" w:rsidRDefault="000231EF" w:rsidP="00597611">
            <w:pPr>
              <w:rPr>
                <w:rFonts w:ascii="Garamond" w:hAnsi="Garamond"/>
                <w:b/>
                <w:sz w:val="18"/>
              </w:rPr>
            </w:pPr>
          </w:p>
          <w:p w14:paraId="42D783D7" w14:textId="77777777" w:rsidR="000231EF" w:rsidRPr="00523B99" w:rsidRDefault="000231EF" w:rsidP="00597611">
            <w:pPr>
              <w:rPr>
                <w:rFonts w:ascii="Garamond" w:hAnsi="Garamond"/>
                <w:b/>
                <w:sz w:val="18"/>
              </w:rPr>
            </w:pPr>
          </w:p>
        </w:tc>
      </w:tr>
    </w:tbl>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1"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5C650836" w:rsidR="00E72121" w:rsidRPr="00D87C26" w:rsidRDefault="00E72121" w:rsidP="00E72121">
      <w:pPr>
        <w:autoSpaceDE w:val="0"/>
        <w:autoSpaceDN w:val="0"/>
        <w:adjustRightInd w:val="0"/>
        <w:rPr>
          <w:i/>
        </w:rPr>
      </w:pPr>
      <w:r w:rsidRPr="00D87C26">
        <w:rPr>
          <w:i/>
        </w:rPr>
        <w:t xml:space="preserve">EDMD </w:t>
      </w:r>
      <w:r w:rsidR="00A40799">
        <w:rPr>
          <w:i/>
        </w:rPr>
        <w:t>51</w:t>
      </w:r>
      <w:r w:rsidRPr="00D87C26">
        <w:rPr>
          <w:i/>
        </w:rPr>
        <w:t>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w:t>
      </w:r>
      <w:proofErr w:type="gramStart"/>
      <w:r w:rsidRPr="00D87C26">
        <w:t>students</w:t>
      </w:r>
      <w:proofErr w:type="gramEnd"/>
      <w:r w:rsidRPr="00D87C26">
        <w:t xml:space="preserve"> and peers all participate in the communication process with teachers.  As such, future teachers should begin to master the art of effective and appropriate communication skills.  The instructors are aware that </w:t>
      </w:r>
      <w:r w:rsidRPr="00D87C26">
        <w:lastRenderedPageBreak/>
        <w:t xml:space="preserve">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18F6A7BC" w:rsidR="00E72121" w:rsidRPr="00D87C26" w:rsidRDefault="00E72121" w:rsidP="00E72121">
      <w:pPr>
        <w:numPr>
          <w:ilvl w:val="0"/>
          <w:numId w:val="6"/>
        </w:numPr>
        <w:tabs>
          <w:tab w:val="clear" w:pos="1080"/>
        </w:tabs>
        <w:ind w:left="720"/>
      </w:pPr>
      <w:r w:rsidRPr="00D87C26">
        <w:t xml:space="preserve">In addition to professional written communication, EDMD </w:t>
      </w:r>
      <w:r w:rsidR="00A40799">
        <w:t>51</w:t>
      </w:r>
      <w:r w:rsidRPr="00D87C26">
        <w:t>00 students are expected to comport themselves in a professional manner during class meeting times as well as conferences with the instructors.  Accessing non-class related websites during class (</w:t>
      </w:r>
      <w:proofErr w:type="gramStart"/>
      <w:r w:rsidRPr="00D87C26">
        <w:t>i.e.</w:t>
      </w:r>
      <w:proofErr w:type="gramEnd"/>
      <w:r w:rsidRPr="00D87C26">
        <w:t xml:space="preserv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59FCD2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r w:rsidR="00A40799" w:rsidRPr="00D87C26">
        <w:t>technology-oriented</w:t>
      </w:r>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proofErr w:type="gramStart"/>
      <w:r w:rsidRPr="00D87C26">
        <w:t>in order to</w:t>
      </w:r>
      <w:proofErr w:type="gramEnd"/>
      <w:r w:rsidR="004B28A1" w:rsidRPr="00D87C26">
        <w:t xml:space="preserve"> </w:t>
      </w:r>
      <w:r w:rsidRPr="00D87C26">
        <w:t>achieve ‘participation’ status.</w:t>
      </w:r>
      <w:r w:rsidR="00DE7C42" w:rsidRPr="00D87C26">
        <w:t xml:space="preserve"> To this end, </w:t>
      </w:r>
    </w:p>
    <w:p w14:paraId="49CC8947" w14:textId="334C0CA9" w:rsidR="00E72121" w:rsidRPr="00D87C26" w:rsidRDefault="00E72121" w:rsidP="004B28A1">
      <w:pPr>
        <w:autoSpaceDE w:val="0"/>
        <w:autoSpaceDN w:val="0"/>
        <w:adjustRightInd w:val="0"/>
        <w:ind w:left="720"/>
        <w:rPr>
          <w:b/>
          <w:i/>
        </w:rPr>
      </w:pPr>
      <w:r w:rsidRPr="00D87C26">
        <w:rPr>
          <w:b/>
          <w:i/>
        </w:rPr>
        <w:t xml:space="preserve">Participation in EDMD </w:t>
      </w:r>
      <w:r w:rsidR="00A40799">
        <w:rPr>
          <w:b/>
          <w:i/>
        </w:rPr>
        <w:t>51</w:t>
      </w:r>
      <w:r w:rsidRPr="00D87C26">
        <w:rPr>
          <w:b/>
          <w:i/>
        </w:rPr>
        <w:t>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w:t>
      </w:r>
      <w:proofErr w:type="gramStart"/>
      <w:r>
        <w:t>are able to</w:t>
      </w:r>
      <w:proofErr w:type="gramEnd"/>
      <w:r>
        <w:t xml:space="preserve">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Gathering information and or resources (</w:t>
      </w:r>
      <w:proofErr w:type="gramStart"/>
      <w:r>
        <w:t>e.g.</w:t>
      </w:r>
      <w:proofErr w:type="gramEnd"/>
      <w:r>
        <w:t xml:space="preserve">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proofErr w:type="gramStart"/>
      <w:r w:rsidRPr="00D87C26">
        <w:t>Providing assistance to</w:t>
      </w:r>
      <w:proofErr w:type="gramEnd"/>
      <w:r w:rsidRPr="00D87C26">
        <w:t xml:space="preserve">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lastRenderedPageBreak/>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6C14D0C1" w14:textId="44141746" w:rsidR="00E72121"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r w:rsidR="00A40799">
        <w:t xml:space="preserve"> </w:t>
      </w:r>
      <w:r w:rsidRPr="00D87C26">
        <w:t>is intended to be a basic list that can be expanded upon by you when appropriate. If you think of</w:t>
      </w:r>
      <w:r w:rsidR="00A40799">
        <w:t xml:space="preserve"> </w:t>
      </w:r>
      <w:r w:rsidR="00DE7C42" w:rsidRPr="00D87C26">
        <w:t>an item</w:t>
      </w:r>
      <w:r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3C7CC30C"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t>
      </w:r>
      <w:r w:rsidR="00C449F3">
        <w:t>I</w:t>
      </w:r>
      <w:r w:rsidR="00F17E75">
        <w:t xml:space="preserv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C449F3">
        <w:t>I</w:t>
      </w:r>
      <w:r w:rsidR="00754273">
        <w:t xml:space="preserve"> understand when things like power outages due to summer storms happen, as well.  Please be sure to communicate with </w:t>
      </w:r>
      <w:r w:rsidR="00C449F3">
        <w:t>me</w:t>
      </w:r>
      <w:r w:rsidR="00754273">
        <w:t xml:space="preserve"> as soon as possible after a storm has passed that disrupted your power, so that </w:t>
      </w:r>
      <w:r w:rsidR="00A509F5">
        <w:t>I</w:t>
      </w:r>
      <w:r w:rsidR="00754273">
        <w:t xml:space="preserve"> know you’re safe and </w:t>
      </w:r>
      <w:r w:rsidR="00A509F5">
        <w:t>I</w:t>
      </w:r>
      <w:r w:rsidR="00754273">
        <w:t xml:space="preserve"> can help you establish a timeline for the submission of any work that was due while you were unable to connect to the Internet.</w:t>
      </w:r>
    </w:p>
    <w:p w14:paraId="71504551" w14:textId="790A433E" w:rsidR="00A768E1" w:rsidRPr="00EC0171" w:rsidRDefault="00E91A92" w:rsidP="00714212">
      <w:pPr>
        <w:numPr>
          <w:ilvl w:val="0"/>
          <w:numId w:val="5"/>
        </w:numPr>
        <w:tabs>
          <w:tab w:val="clear" w:pos="1080"/>
          <w:tab w:val="num" w:pos="720"/>
        </w:tabs>
        <w:ind w:left="720"/>
        <w:rPr>
          <w:b/>
          <w:i/>
          <w:iCs/>
        </w:rPr>
      </w:pPr>
      <w:r w:rsidRPr="00D87C26">
        <w:t xml:space="preserve">EDMD </w:t>
      </w:r>
      <w:r w:rsidR="00A509F5">
        <w:t>51</w:t>
      </w:r>
      <w:r w:rsidRPr="00D87C26">
        <w:t xml:space="preserve">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w:t>
      </w:r>
      <w:r w:rsidR="00F15ED8">
        <w:lastRenderedPageBreak/>
        <w:t xml:space="preserve">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w:t>
      </w:r>
      <w:proofErr w:type="gramStart"/>
      <w:r w:rsidRPr="00D87C26">
        <w:t>Typically</w:t>
      </w:r>
      <w:proofErr w:type="gramEnd"/>
      <w:r w:rsidRPr="00D87C26">
        <w:t xml:space="preserve">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w:t>
      </w:r>
      <w:proofErr w:type="gramStart"/>
      <w:r w:rsidRPr="00D87C26">
        <w:t>in order to</w:t>
      </w:r>
      <w:proofErr w:type="gramEnd"/>
      <w:r w:rsidRPr="00D87C26">
        <w:t xml:space="preserve">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 xml:space="preserve">TO SYNCHRONOUS CLASS </w:t>
      </w:r>
      <w:proofErr w:type="gramStart"/>
      <w:r w:rsidR="00EC0171">
        <w:t>SESSIONS</w:t>
      </w:r>
      <w:proofErr w:type="gramEnd"/>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 xml:space="preserve">are feeling better and </w:t>
      </w:r>
      <w:proofErr w:type="gramStart"/>
      <w:r w:rsidR="00894226">
        <w:t>are able to</w:t>
      </w:r>
      <w:proofErr w:type="gramEnd"/>
      <w:r w:rsidR="00894226">
        <w:t xml:space="preserve">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w:t>
      </w:r>
      <w:proofErr w:type="gramStart"/>
      <w:r w:rsidR="00F15ED8">
        <w:t>e.g.</w:t>
      </w:r>
      <w:proofErr w:type="gramEnd"/>
      <w:r w:rsidR="00F15ED8">
        <w:t xml:space="preserve">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w:t>
      </w:r>
      <w:r w:rsidRPr="00D87C26">
        <w:lastRenderedPageBreak/>
        <w:t xml:space="preserve">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246B892" w14:textId="54D14F5B" w:rsidR="00167476" w:rsidRPr="00167476" w:rsidRDefault="00167476" w:rsidP="00835DE2">
      <w:pPr>
        <w:numPr>
          <w:ilvl w:val="0"/>
          <w:numId w:val="22"/>
        </w:numPr>
        <w:autoSpaceDE w:val="0"/>
        <w:autoSpaceDN w:val="0"/>
        <w:adjustRightInd w:val="0"/>
        <w:rPr>
          <w:lang w:val="x-none"/>
        </w:rPr>
      </w:pPr>
      <w:r>
        <w:t xml:space="preserve">As this class is being delivered using distance technology, via Zoom, in-class meetings will not occur.  </w:t>
      </w:r>
    </w:p>
    <w:p w14:paraId="7CDE42B4" w14:textId="237B92A8" w:rsidR="00167476" w:rsidRPr="00167476" w:rsidRDefault="00167476" w:rsidP="00835DE2">
      <w:pPr>
        <w:numPr>
          <w:ilvl w:val="0"/>
          <w:numId w:val="22"/>
        </w:numPr>
        <w:autoSpaceDE w:val="0"/>
        <w:autoSpaceDN w:val="0"/>
        <w:adjustRightInd w:val="0"/>
        <w:rPr>
          <w:lang w:val="x-none"/>
        </w:rPr>
      </w:pPr>
      <w:r>
        <w:t xml:space="preserve">Students are welcome and encouraged to request meetings with the professor to request assistance, clarification, or resolution of problems.  Meetings may be held via zoom or in </w:t>
      </w:r>
      <w:proofErr w:type="gramStart"/>
      <w:r>
        <w:t>person, and</w:t>
      </w:r>
      <w:proofErr w:type="gramEnd"/>
      <w:r>
        <w:t xml:space="preserve"> will be scheduled at a time that works for the student’s and professor’s </w:t>
      </w:r>
      <w:r w:rsidR="00005846">
        <w:t xml:space="preserve">calendars.  In-person meetings will be conducted in the professor’s office, with all participants wearing masks for the duration of the meeting.  Zoom conferences will be scheduled at a time convenient for all parties involved.  </w:t>
      </w:r>
    </w:p>
    <w:p w14:paraId="687412F2" w14:textId="5B26959E"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5DE9531E"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r w:rsidR="00167476">
        <w:rPr>
          <w:rFonts w:ascii="Times New Roman" w:hAnsi="Times New Roman"/>
          <w:sz w:val="24"/>
          <w:szCs w:val="24"/>
          <w:lang w:val="en-US"/>
        </w:rPr>
        <w:t>roommate</w:t>
      </w:r>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proofErr w:type="gramStart"/>
      <w:r w:rsidR="00D86C90">
        <w:t>i.e.</w:t>
      </w:r>
      <w:proofErr w:type="gramEnd"/>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lastRenderedPageBreak/>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0035EF70" w14:textId="77777777" w:rsidR="00A768E1" w:rsidRDefault="00BB43B8">
      <w:r>
        <w:rPr>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147C3062"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 xml:space="preserve">EDMD </w:t>
      </w:r>
      <w:r w:rsidR="00005846">
        <w:rPr>
          <w:i/>
        </w:rPr>
        <w:t>51</w:t>
      </w:r>
      <w:r w:rsidRPr="00D87C26">
        <w:rPr>
          <w:i/>
        </w:rPr>
        <w:t>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5"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w:t>
      </w:r>
      <w:proofErr w:type="gramStart"/>
      <w:r>
        <w:t>have a discussion about</w:t>
      </w:r>
      <w:proofErr w:type="gramEnd"/>
      <w:r>
        <w:t xml:space="preserve"> this sort of information, please be sure to make an appointment to speak with us in real-time.  If we need to see a document, or display a document, we </w:t>
      </w:r>
      <w:proofErr w:type="gramStart"/>
      <w:r>
        <w:t>are able to</w:t>
      </w:r>
      <w:proofErr w:type="gramEnd"/>
      <w:r>
        <w:t xml:space="preserve">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r w:rsidRPr="00D87C26">
        <w:lastRenderedPageBreak/>
        <w:t xml:space="preserve">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 xml:space="preserve">The instructor reserves the right to alter the schedule and content of this syllabus </w:t>
      </w:r>
      <w:proofErr w:type="gramStart"/>
      <w:r w:rsidRPr="00D87C26">
        <w:rPr>
          <w:i/>
          <w:iCs/>
        </w:rPr>
        <w:t>in order to</w:t>
      </w:r>
      <w:proofErr w:type="gramEnd"/>
      <w:r w:rsidRPr="00D87C26">
        <w:rPr>
          <w:i/>
          <w:iCs/>
        </w:rPr>
        <w:t xml:space="preserve"> accommodate the needs of the students and/or in light of university and academic schedule changes.</w:t>
      </w:r>
    </w:p>
    <w:sectPr w:rsidR="00D87C26" w:rsidRPr="00EA45E9" w:rsidSect="004F613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A24E" w14:textId="77777777" w:rsidR="000D4970" w:rsidRDefault="000D4970">
      <w:r>
        <w:separator/>
      </w:r>
    </w:p>
  </w:endnote>
  <w:endnote w:type="continuationSeparator" w:id="0">
    <w:p w14:paraId="53C510AD" w14:textId="77777777" w:rsidR="000D4970" w:rsidRDefault="000D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D0F6" w14:textId="77777777" w:rsidR="000D4970" w:rsidRDefault="000D4970">
      <w:r>
        <w:separator/>
      </w:r>
    </w:p>
  </w:footnote>
  <w:footnote w:type="continuationSeparator" w:id="0">
    <w:p w14:paraId="5A998FF0" w14:textId="77777777" w:rsidR="000D4970" w:rsidRDefault="000D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3"/>
  </w:num>
  <w:num w:numId="3" w16cid:durableId="877086244">
    <w:abstractNumId w:val="17"/>
  </w:num>
  <w:num w:numId="4" w16cid:durableId="544685712">
    <w:abstractNumId w:val="6"/>
  </w:num>
  <w:num w:numId="5" w16cid:durableId="1673531837">
    <w:abstractNumId w:val="22"/>
  </w:num>
  <w:num w:numId="6" w16cid:durableId="2067289388">
    <w:abstractNumId w:val="12"/>
  </w:num>
  <w:num w:numId="7" w16cid:durableId="158271704">
    <w:abstractNumId w:val="8"/>
  </w:num>
  <w:num w:numId="8" w16cid:durableId="1146050620">
    <w:abstractNumId w:val="28"/>
  </w:num>
  <w:num w:numId="9" w16cid:durableId="1374117483">
    <w:abstractNumId w:val="25"/>
  </w:num>
  <w:num w:numId="10" w16cid:durableId="689767236">
    <w:abstractNumId w:val="21"/>
  </w:num>
  <w:num w:numId="11" w16cid:durableId="633099660">
    <w:abstractNumId w:val="30"/>
  </w:num>
  <w:num w:numId="12" w16cid:durableId="1944653965">
    <w:abstractNumId w:val="19"/>
  </w:num>
  <w:num w:numId="13" w16cid:durableId="1962152482">
    <w:abstractNumId w:val="2"/>
  </w:num>
  <w:num w:numId="14" w16cid:durableId="851802098">
    <w:abstractNumId w:val="20"/>
  </w:num>
  <w:num w:numId="15" w16cid:durableId="703791861">
    <w:abstractNumId w:val="31"/>
  </w:num>
  <w:num w:numId="16" w16cid:durableId="1513105664">
    <w:abstractNumId w:val="10"/>
  </w:num>
  <w:num w:numId="17" w16cid:durableId="947589197">
    <w:abstractNumId w:val="14"/>
  </w:num>
  <w:num w:numId="18" w16cid:durableId="1677073917">
    <w:abstractNumId w:val="13"/>
  </w:num>
  <w:num w:numId="19" w16cid:durableId="1434323603">
    <w:abstractNumId w:val="5"/>
  </w:num>
  <w:num w:numId="20" w16cid:durableId="1657144265">
    <w:abstractNumId w:val="9"/>
  </w:num>
  <w:num w:numId="21" w16cid:durableId="589700926">
    <w:abstractNumId w:val="7"/>
  </w:num>
  <w:num w:numId="22" w16cid:durableId="232276530">
    <w:abstractNumId w:val="4"/>
  </w:num>
  <w:num w:numId="23" w16cid:durableId="1821535501">
    <w:abstractNumId w:val="26"/>
  </w:num>
  <w:num w:numId="24" w16cid:durableId="1302153865">
    <w:abstractNumId w:val="27"/>
  </w:num>
  <w:num w:numId="25" w16cid:durableId="1753157540">
    <w:abstractNumId w:val="1"/>
  </w:num>
  <w:num w:numId="26" w16cid:durableId="1664358234">
    <w:abstractNumId w:val="29"/>
  </w:num>
  <w:num w:numId="27" w16cid:durableId="2069645478">
    <w:abstractNumId w:val="15"/>
  </w:num>
  <w:num w:numId="28" w16cid:durableId="1848209655">
    <w:abstractNumId w:val="11"/>
  </w:num>
  <w:num w:numId="29" w16cid:durableId="978219238">
    <w:abstractNumId w:val="18"/>
  </w:num>
  <w:num w:numId="30" w16cid:durableId="2092509056">
    <w:abstractNumId w:val="24"/>
  </w:num>
  <w:num w:numId="31" w16cid:durableId="1067454612">
    <w:abstractNumId w:val="16"/>
  </w:num>
  <w:num w:numId="32" w16cid:durableId="904485727">
    <w:abstractNumId w:val="7"/>
  </w:num>
  <w:num w:numId="33" w16cid:durableId="750275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5846"/>
    <w:rsid w:val="00006E9A"/>
    <w:rsid w:val="000072CE"/>
    <w:rsid w:val="00007BE2"/>
    <w:rsid w:val="00007F74"/>
    <w:rsid w:val="00010092"/>
    <w:rsid w:val="0001449B"/>
    <w:rsid w:val="00014624"/>
    <w:rsid w:val="00017932"/>
    <w:rsid w:val="00021173"/>
    <w:rsid w:val="000231EF"/>
    <w:rsid w:val="000300BF"/>
    <w:rsid w:val="00032358"/>
    <w:rsid w:val="00035EB7"/>
    <w:rsid w:val="000417FF"/>
    <w:rsid w:val="0004498E"/>
    <w:rsid w:val="0004690F"/>
    <w:rsid w:val="00047145"/>
    <w:rsid w:val="00056EB3"/>
    <w:rsid w:val="0006050E"/>
    <w:rsid w:val="00060A50"/>
    <w:rsid w:val="00073D90"/>
    <w:rsid w:val="00083FF6"/>
    <w:rsid w:val="00091341"/>
    <w:rsid w:val="000922A7"/>
    <w:rsid w:val="00092AEA"/>
    <w:rsid w:val="000935F7"/>
    <w:rsid w:val="00094244"/>
    <w:rsid w:val="00094839"/>
    <w:rsid w:val="00094AA6"/>
    <w:rsid w:val="00094F08"/>
    <w:rsid w:val="00096A25"/>
    <w:rsid w:val="000A186F"/>
    <w:rsid w:val="000A297D"/>
    <w:rsid w:val="000B057D"/>
    <w:rsid w:val="000B1E16"/>
    <w:rsid w:val="000B605A"/>
    <w:rsid w:val="000C356C"/>
    <w:rsid w:val="000C3EC0"/>
    <w:rsid w:val="000C7416"/>
    <w:rsid w:val="000C77F2"/>
    <w:rsid w:val="000D0842"/>
    <w:rsid w:val="000D2599"/>
    <w:rsid w:val="000D3EC3"/>
    <w:rsid w:val="000D4970"/>
    <w:rsid w:val="000D5D55"/>
    <w:rsid w:val="000E2E22"/>
    <w:rsid w:val="000F44AA"/>
    <w:rsid w:val="000F5D2D"/>
    <w:rsid w:val="00104EC1"/>
    <w:rsid w:val="00105B04"/>
    <w:rsid w:val="00107E9D"/>
    <w:rsid w:val="00110E95"/>
    <w:rsid w:val="0012097A"/>
    <w:rsid w:val="00120D13"/>
    <w:rsid w:val="001240C7"/>
    <w:rsid w:val="00127AC0"/>
    <w:rsid w:val="001332E1"/>
    <w:rsid w:val="00141DDD"/>
    <w:rsid w:val="0014386A"/>
    <w:rsid w:val="00152D64"/>
    <w:rsid w:val="001542B5"/>
    <w:rsid w:val="001552EE"/>
    <w:rsid w:val="00156190"/>
    <w:rsid w:val="001567D6"/>
    <w:rsid w:val="00156F07"/>
    <w:rsid w:val="001666B3"/>
    <w:rsid w:val="00167476"/>
    <w:rsid w:val="00167809"/>
    <w:rsid w:val="001716DC"/>
    <w:rsid w:val="00173A50"/>
    <w:rsid w:val="00174396"/>
    <w:rsid w:val="00175D11"/>
    <w:rsid w:val="00176E9A"/>
    <w:rsid w:val="00180FD8"/>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6109"/>
    <w:rsid w:val="001D7898"/>
    <w:rsid w:val="001E02B0"/>
    <w:rsid w:val="001E4464"/>
    <w:rsid w:val="001E4974"/>
    <w:rsid w:val="001E516C"/>
    <w:rsid w:val="001F6587"/>
    <w:rsid w:val="002026A0"/>
    <w:rsid w:val="00210CA5"/>
    <w:rsid w:val="00217D8E"/>
    <w:rsid w:val="002202A1"/>
    <w:rsid w:val="00230604"/>
    <w:rsid w:val="0023483D"/>
    <w:rsid w:val="00235AC9"/>
    <w:rsid w:val="00236C35"/>
    <w:rsid w:val="00253879"/>
    <w:rsid w:val="002562E8"/>
    <w:rsid w:val="0025650D"/>
    <w:rsid w:val="00256796"/>
    <w:rsid w:val="00256EB4"/>
    <w:rsid w:val="00263A04"/>
    <w:rsid w:val="002733A9"/>
    <w:rsid w:val="0027520C"/>
    <w:rsid w:val="00285EB2"/>
    <w:rsid w:val="00287661"/>
    <w:rsid w:val="00287688"/>
    <w:rsid w:val="00287E9C"/>
    <w:rsid w:val="00290108"/>
    <w:rsid w:val="00291A45"/>
    <w:rsid w:val="00291BF3"/>
    <w:rsid w:val="002968A2"/>
    <w:rsid w:val="002A0C97"/>
    <w:rsid w:val="002A70AA"/>
    <w:rsid w:val="002A7F12"/>
    <w:rsid w:val="002B1A4B"/>
    <w:rsid w:val="002B3C43"/>
    <w:rsid w:val="002D328D"/>
    <w:rsid w:val="002E2E8A"/>
    <w:rsid w:val="002E6106"/>
    <w:rsid w:val="00317D74"/>
    <w:rsid w:val="00323278"/>
    <w:rsid w:val="00325E3F"/>
    <w:rsid w:val="00327BEE"/>
    <w:rsid w:val="0033065B"/>
    <w:rsid w:val="00332A72"/>
    <w:rsid w:val="00336FED"/>
    <w:rsid w:val="0034033A"/>
    <w:rsid w:val="00342C1D"/>
    <w:rsid w:val="0034352C"/>
    <w:rsid w:val="00345C61"/>
    <w:rsid w:val="00346B02"/>
    <w:rsid w:val="00357FA7"/>
    <w:rsid w:val="00362E1B"/>
    <w:rsid w:val="00364A84"/>
    <w:rsid w:val="00365116"/>
    <w:rsid w:val="00365B91"/>
    <w:rsid w:val="003701C4"/>
    <w:rsid w:val="0037656A"/>
    <w:rsid w:val="00377A8D"/>
    <w:rsid w:val="00380314"/>
    <w:rsid w:val="00382054"/>
    <w:rsid w:val="00382643"/>
    <w:rsid w:val="00385838"/>
    <w:rsid w:val="00392A6E"/>
    <w:rsid w:val="003976F5"/>
    <w:rsid w:val="003A0C28"/>
    <w:rsid w:val="003A25AD"/>
    <w:rsid w:val="003A4A75"/>
    <w:rsid w:val="003B123E"/>
    <w:rsid w:val="003B265E"/>
    <w:rsid w:val="003B2B7E"/>
    <w:rsid w:val="003B4ECC"/>
    <w:rsid w:val="003B7A24"/>
    <w:rsid w:val="003B7CE3"/>
    <w:rsid w:val="003C0B91"/>
    <w:rsid w:val="003C2016"/>
    <w:rsid w:val="003C22DC"/>
    <w:rsid w:val="003C233E"/>
    <w:rsid w:val="003D1690"/>
    <w:rsid w:val="003D60E8"/>
    <w:rsid w:val="003E4F51"/>
    <w:rsid w:val="003F0014"/>
    <w:rsid w:val="003F0968"/>
    <w:rsid w:val="003F2588"/>
    <w:rsid w:val="003F576F"/>
    <w:rsid w:val="004000F9"/>
    <w:rsid w:val="00402D15"/>
    <w:rsid w:val="004059FC"/>
    <w:rsid w:val="00406E7F"/>
    <w:rsid w:val="00411ED9"/>
    <w:rsid w:val="004145A8"/>
    <w:rsid w:val="0041493D"/>
    <w:rsid w:val="00415326"/>
    <w:rsid w:val="00416246"/>
    <w:rsid w:val="00423752"/>
    <w:rsid w:val="004326D5"/>
    <w:rsid w:val="00432CB4"/>
    <w:rsid w:val="0043649E"/>
    <w:rsid w:val="00451EDF"/>
    <w:rsid w:val="00455AE6"/>
    <w:rsid w:val="0046064C"/>
    <w:rsid w:val="004702EF"/>
    <w:rsid w:val="00470E59"/>
    <w:rsid w:val="00471B82"/>
    <w:rsid w:val="00480D31"/>
    <w:rsid w:val="00484274"/>
    <w:rsid w:val="00485CC7"/>
    <w:rsid w:val="00491878"/>
    <w:rsid w:val="00496015"/>
    <w:rsid w:val="00496147"/>
    <w:rsid w:val="0049635F"/>
    <w:rsid w:val="004A0F48"/>
    <w:rsid w:val="004A234A"/>
    <w:rsid w:val="004A3E44"/>
    <w:rsid w:val="004A4D7C"/>
    <w:rsid w:val="004A51BF"/>
    <w:rsid w:val="004A54C0"/>
    <w:rsid w:val="004B28A1"/>
    <w:rsid w:val="004B60F4"/>
    <w:rsid w:val="004C4FBD"/>
    <w:rsid w:val="004C641B"/>
    <w:rsid w:val="004C76A4"/>
    <w:rsid w:val="004D0C2F"/>
    <w:rsid w:val="004D11A5"/>
    <w:rsid w:val="004D1A1C"/>
    <w:rsid w:val="004D588F"/>
    <w:rsid w:val="004D6170"/>
    <w:rsid w:val="004F06EA"/>
    <w:rsid w:val="004F2091"/>
    <w:rsid w:val="004F613A"/>
    <w:rsid w:val="004F7FB8"/>
    <w:rsid w:val="005002EE"/>
    <w:rsid w:val="0051219D"/>
    <w:rsid w:val="00516913"/>
    <w:rsid w:val="00520250"/>
    <w:rsid w:val="00523B99"/>
    <w:rsid w:val="00525849"/>
    <w:rsid w:val="00541B3B"/>
    <w:rsid w:val="00542684"/>
    <w:rsid w:val="00545FE1"/>
    <w:rsid w:val="005461CA"/>
    <w:rsid w:val="0055242D"/>
    <w:rsid w:val="00552A7B"/>
    <w:rsid w:val="0055679A"/>
    <w:rsid w:val="00557C86"/>
    <w:rsid w:val="00560216"/>
    <w:rsid w:val="0056450D"/>
    <w:rsid w:val="00565E3B"/>
    <w:rsid w:val="00566E69"/>
    <w:rsid w:val="00567002"/>
    <w:rsid w:val="00567530"/>
    <w:rsid w:val="00574091"/>
    <w:rsid w:val="005917F2"/>
    <w:rsid w:val="00593BB0"/>
    <w:rsid w:val="005A21F4"/>
    <w:rsid w:val="005A566E"/>
    <w:rsid w:val="005B5648"/>
    <w:rsid w:val="005C361D"/>
    <w:rsid w:val="005C6395"/>
    <w:rsid w:val="005E0A31"/>
    <w:rsid w:val="005E226B"/>
    <w:rsid w:val="005E22C8"/>
    <w:rsid w:val="005E5F5A"/>
    <w:rsid w:val="005F2A86"/>
    <w:rsid w:val="005F3686"/>
    <w:rsid w:val="005F54AA"/>
    <w:rsid w:val="005F7710"/>
    <w:rsid w:val="00601D10"/>
    <w:rsid w:val="006072D0"/>
    <w:rsid w:val="00610946"/>
    <w:rsid w:val="00615190"/>
    <w:rsid w:val="006179B0"/>
    <w:rsid w:val="00621F0D"/>
    <w:rsid w:val="00624348"/>
    <w:rsid w:val="00626236"/>
    <w:rsid w:val="00631130"/>
    <w:rsid w:val="00631447"/>
    <w:rsid w:val="00632AC5"/>
    <w:rsid w:val="006333BF"/>
    <w:rsid w:val="00636D3A"/>
    <w:rsid w:val="00640DFB"/>
    <w:rsid w:val="00642A20"/>
    <w:rsid w:val="00644908"/>
    <w:rsid w:val="00644E80"/>
    <w:rsid w:val="006524CA"/>
    <w:rsid w:val="00663741"/>
    <w:rsid w:val="006639FB"/>
    <w:rsid w:val="006651F2"/>
    <w:rsid w:val="00673B51"/>
    <w:rsid w:val="00681B11"/>
    <w:rsid w:val="00682B25"/>
    <w:rsid w:val="00683FCA"/>
    <w:rsid w:val="0069039D"/>
    <w:rsid w:val="00691B40"/>
    <w:rsid w:val="006A75D7"/>
    <w:rsid w:val="006B02D7"/>
    <w:rsid w:val="006B0BB5"/>
    <w:rsid w:val="006B33ED"/>
    <w:rsid w:val="006C3D33"/>
    <w:rsid w:val="006C6723"/>
    <w:rsid w:val="006C7AD1"/>
    <w:rsid w:val="006D11B1"/>
    <w:rsid w:val="006D1B70"/>
    <w:rsid w:val="006D1E8B"/>
    <w:rsid w:val="006D2E24"/>
    <w:rsid w:val="006D3BD0"/>
    <w:rsid w:val="006E4DF0"/>
    <w:rsid w:val="006F5A54"/>
    <w:rsid w:val="00710F7D"/>
    <w:rsid w:val="00712EB2"/>
    <w:rsid w:val="00714212"/>
    <w:rsid w:val="00714F31"/>
    <w:rsid w:val="007201DA"/>
    <w:rsid w:val="0072126F"/>
    <w:rsid w:val="00726896"/>
    <w:rsid w:val="007323AD"/>
    <w:rsid w:val="00737694"/>
    <w:rsid w:val="0074012C"/>
    <w:rsid w:val="0074570A"/>
    <w:rsid w:val="00746781"/>
    <w:rsid w:val="00754273"/>
    <w:rsid w:val="00755854"/>
    <w:rsid w:val="007600DC"/>
    <w:rsid w:val="00767FF5"/>
    <w:rsid w:val="007709E4"/>
    <w:rsid w:val="00770E29"/>
    <w:rsid w:val="00792290"/>
    <w:rsid w:val="00797C3A"/>
    <w:rsid w:val="007A53DD"/>
    <w:rsid w:val="007A6EA4"/>
    <w:rsid w:val="007A7AD3"/>
    <w:rsid w:val="007B4760"/>
    <w:rsid w:val="007C1820"/>
    <w:rsid w:val="007C2A3F"/>
    <w:rsid w:val="007C4933"/>
    <w:rsid w:val="007C710A"/>
    <w:rsid w:val="007C7E2F"/>
    <w:rsid w:val="007E07E3"/>
    <w:rsid w:val="007E0EDE"/>
    <w:rsid w:val="007E0FA3"/>
    <w:rsid w:val="007E2111"/>
    <w:rsid w:val="007E3F62"/>
    <w:rsid w:val="007F196A"/>
    <w:rsid w:val="007F2CCB"/>
    <w:rsid w:val="007F773C"/>
    <w:rsid w:val="00807BB3"/>
    <w:rsid w:val="00812B3A"/>
    <w:rsid w:val="00823264"/>
    <w:rsid w:val="00824748"/>
    <w:rsid w:val="00824BE4"/>
    <w:rsid w:val="00827D86"/>
    <w:rsid w:val="0083092F"/>
    <w:rsid w:val="00832A4B"/>
    <w:rsid w:val="00833701"/>
    <w:rsid w:val="00835DE2"/>
    <w:rsid w:val="00842C49"/>
    <w:rsid w:val="00850367"/>
    <w:rsid w:val="00854413"/>
    <w:rsid w:val="00856D46"/>
    <w:rsid w:val="00866F73"/>
    <w:rsid w:val="0086728B"/>
    <w:rsid w:val="0087101F"/>
    <w:rsid w:val="008755A5"/>
    <w:rsid w:val="00877A5F"/>
    <w:rsid w:val="0088611C"/>
    <w:rsid w:val="00894226"/>
    <w:rsid w:val="0089791F"/>
    <w:rsid w:val="008A1193"/>
    <w:rsid w:val="008A4E20"/>
    <w:rsid w:val="008A57E8"/>
    <w:rsid w:val="008A5FD5"/>
    <w:rsid w:val="008B3973"/>
    <w:rsid w:val="008B6604"/>
    <w:rsid w:val="008C1105"/>
    <w:rsid w:val="008C38C0"/>
    <w:rsid w:val="008D2C2A"/>
    <w:rsid w:val="008F6B42"/>
    <w:rsid w:val="008F6CE4"/>
    <w:rsid w:val="008F71A0"/>
    <w:rsid w:val="00903258"/>
    <w:rsid w:val="00905D28"/>
    <w:rsid w:val="00907DC0"/>
    <w:rsid w:val="009109AA"/>
    <w:rsid w:val="009131B4"/>
    <w:rsid w:val="009225AD"/>
    <w:rsid w:val="0092291C"/>
    <w:rsid w:val="00926691"/>
    <w:rsid w:val="0092697E"/>
    <w:rsid w:val="00927260"/>
    <w:rsid w:val="00941291"/>
    <w:rsid w:val="00942E76"/>
    <w:rsid w:val="00943682"/>
    <w:rsid w:val="00944D1C"/>
    <w:rsid w:val="00951E09"/>
    <w:rsid w:val="0095247D"/>
    <w:rsid w:val="00953FDD"/>
    <w:rsid w:val="0096532A"/>
    <w:rsid w:val="00970F8C"/>
    <w:rsid w:val="009737BD"/>
    <w:rsid w:val="009741F5"/>
    <w:rsid w:val="00980991"/>
    <w:rsid w:val="00993334"/>
    <w:rsid w:val="009967CA"/>
    <w:rsid w:val="009A3E42"/>
    <w:rsid w:val="009A6F17"/>
    <w:rsid w:val="009A7286"/>
    <w:rsid w:val="009B2798"/>
    <w:rsid w:val="009B458D"/>
    <w:rsid w:val="009B49E8"/>
    <w:rsid w:val="009B6670"/>
    <w:rsid w:val="009B7464"/>
    <w:rsid w:val="009D3775"/>
    <w:rsid w:val="009D49E4"/>
    <w:rsid w:val="009D56B2"/>
    <w:rsid w:val="009E721D"/>
    <w:rsid w:val="009F1473"/>
    <w:rsid w:val="009F6AFE"/>
    <w:rsid w:val="00A009A6"/>
    <w:rsid w:val="00A0367D"/>
    <w:rsid w:val="00A05EE1"/>
    <w:rsid w:val="00A06BB2"/>
    <w:rsid w:val="00A071B8"/>
    <w:rsid w:val="00A07DB2"/>
    <w:rsid w:val="00A12E67"/>
    <w:rsid w:val="00A13320"/>
    <w:rsid w:val="00A15457"/>
    <w:rsid w:val="00A17CC1"/>
    <w:rsid w:val="00A20823"/>
    <w:rsid w:val="00A2246E"/>
    <w:rsid w:val="00A37E62"/>
    <w:rsid w:val="00A40799"/>
    <w:rsid w:val="00A409C3"/>
    <w:rsid w:val="00A509F5"/>
    <w:rsid w:val="00A57672"/>
    <w:rsid w:val="00A6140F"/>
    <w:rsid w:val="00A61465"/>
    <w:rsid w:val="00A647BE"/>
    <w:rsid w:val="00A768E1"/>
    <w:rsid w:val="00A80731"/>
    <w:rsid w:val="00A81C4F"/>
    <w:rsid w:val="00A8317B"/>
    <w:rsid w:val="00A8451B"/>
    <w:rsid w:val="00A9347A"/>
    <w:rsid w:val="00A95647"/>
    <w:rsid w:val="00AB41EF"/>
    <w:rsid w:val="00AC74C6"/>
    <w:rsid w:val="00AC77BB"/>
    <w:rsid w:val="00AD0DDB"/>
    <w:rsid w:val="00AD30E4"/>
    <w:rsid w:val="00AD4CA5"/>
    <w:rsid w:val="00AD6FA6"/>
    <w:rsid w:val="00AE0D7C"/>
    <w:rsid w:val="00AF5CC1"/>
    <w:rsid w:val="00B03E9B"/>
    <w:rsid w:val="00B17C11"/>
    <w:rsid w:val="00B17EDA"/>
    <w:rsid w:val="00B25E25"/>
    <w:rsid w:val="00B26FE3"/>
    <w:rsid w:val="00B3062A"/>
    <w:rsid w:val="00B31A7E"/>
    <w:rsid w:val="00B320B1"/>
    <w:rsid w:val="00B33E30"/>
    <w:rsid w:val="00B36DC7"/>
    <w:rsid w:val="00B4580F"/>
    <w:rsid w:val="00B45DAC"/>
    <w:rsid w:val="00B650FF"/>
    <w:rsid w:val="00B65601"/>
    <w:rsid w:val="00B6671A"/>
    <w:rsid w:val="00B7073C"/>
    <w:rsid w:val="00B727A4"/>
    <w:rsid w:val="00B767AA"/>
    <w:rsid w:val="00B809E9"/>
    <w:rsid w:val="00B8599A"/>
    <w:rsid w:val="00B863CE"/>
    <w:rsid w:val="00B863FC"/>
    <w:rsid w:val="00B913E7"/>
    <w:rsid w:val="00B95814"/>
    <w:rsid w:val="00BA2F7F"/>
    <w:rsid w:val="00BA3364"/>
    <w:rsid w:val="00BA352F"/>
    <w:rsid w:val="00BB3A2D"/>
    <w:rsid w:val="00BB3F03"/>
    <w:rsid w:val="00BB43B8"/>
    <w:rsid w:val="00BC1A01"/>
    <w:rsid w:val="00BD0BC8"/>
    <w:rsid w:val="00BD0E3D"/>
    <w:rsid w:val="00BD2131"/>
    <w:rsid w:val="00BE4953"/>
    <w:rsid w:val="00BF5220"/>
    <w:rsid w:val="00BF5FA0"/>
    <w:rsid w:val="00C007D9"/>
    <w:rsid w:val="00C033B0"/>
    <w:rsid w:val="00C16301"/>
    <w:rsid w:val="00C16C07"/>
    <w:rsid w:val="00C22958"/>
    <w:rsid w:val="00C24497"/>
    <w:rsid w:val="00C26054"/>
    <w:rsid w:val="00C274EB"/>
    <w:rsid w:val="00C30A34"/>
    <w:rsid w:val="00C328D2"/>
    <w:rsid w:val="00C33041"/>
    <w:rsid w:val="00C449F3"/>
    <w:rsid w:val="00C47A77"/>
    <w:rsid w:val="00C55265"/>
    <w:rsid w:val="00C61D04"/>
    <w:rsid w:val="00C76119"/>
    <w:rsid w:val="00C803D3"/>
    <w:rsid w:val="00C8061E"/>
    <w:rsid w:val="00C8733A"/>
    <w:rsid w:val="00C87AB7"/>
    <w:rsid w:val="00CA1120"/>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27C79"/>
    <w:rsid w:val="00D35633"/>
    <w:rsid w:val="00D41650"/>
    <w:rsid w:val="00D43CD4"/>
    <w:rsid w:val="00D6157D"/>
    <w:rsid w:val="00D6204B"/>
    <w:rsid w:val="00D62748"/>
    <w:rsid w:val="00D73AF3"/>
    <w:rsid w:val="00D76077"/>
    <w:rsid w:val="00D767B6"/>
    <w:rsid w:val="00D83B1A"/>
    <w:rsid w:val="00D86281"/>
    <w:rsid w:val="00D86AE4"/>
    <w:rsid w:val="00D86C90"/>
    <w:rsid w:val="00D87C26"/>
    <w:rsid w:val="00D942F4"/>
    <w:rsid w:val="00DA25B2"/>
    <w:rsid w:val="00DA288F"/>
    <w:rsid w:val="00DA5937"/>
    <w:rsid w:val="00DA5E96"/>
    <w:rsid w:val="00DB1447"/>
    <w:rsid w:val="00DB5F01"/>
    <w:rsid w:val="00DC1BAD"/>
    <w:rsid w:val="00DD5850"/>
    <w:rsid w:val="00DE0413"/>
    <w:rsid w:val="00DE7C42"/>
    <w:rsid w:val="00DF03C9"/>
    <w:rsid w:val="00DF1719"/>
    <w:rsid w:val="00DF21E6"/>
    <w:rsid w:val="00DF3B2F"/>
    <w:rsid w:val="00DF42B1"/>
    <w:rsid w:val="00E068A3"/>
    <w:rsid w:val="00E06B48"/>
    <w:rsid w:val="00E1265F"/>
    <w:rsid w:val="00E23901"/>
    <w:rsid w:val="00E2748A"/>
    <w:rsid w:val="00E31CF3"/>
    <w:rsid w:val="00E320C5"/>
    <w:rsid w:val="00E35208"/>
    <w:rsid w:val="00E47344"/>
    <w:rsid w:val="00E553DB"/>
    <w:rsid w:val="00E55A52"/>
    <w:rsid w:val="00E55A7D"/>
    <w:rsid w:val="00E61531"/>
    <w:rsid w:val="00E62E46"/>
    <w:rsid w:val="00E63261"/>
    <w:rsid w:val="00E64597"/>
    <w:rsid w:val="00E66D2D"/>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1DB9"/>
    <w:rsid w:val="00EB421E"/>
    <w:rsid w:val="00EB6E21"/>
    <w:rsid w:val="00EC0171"/>
    <w:rsid w:val="00EC11C7"/>
    <w:rsid w:val="00EC12B5"/>
    <w:rsid w:val="00EC1FDC"/>
    <w:rsid w:val="00EC4DDB"/>
    <w:rsid w:val="00EC55A3"/>
    <w:rsid w:val="00EC6B4B"/>
    <w:rsid w:val="00EC7582"/>
    <w:rsid w:val="00ED2594"/>
    <w:rsid w:val="00ED26E4"/>
    <w:rsid w:val="00ED5E07"/>
    <w:rsid w:val="00EE1CB5"/>
    <w:rsid w:val="00EE4DDD"/>
    <w:rsid w:val="00EE5A95"/>
    <w:rsid w:val="00EE6CDB"/>
    <w:rsid w:val="00EF0BE2"/>
    <w:rsid w:val="00EF7200"/>
    <w:rsid w:val="00F003D0"/>
    <w:rsid w:val="00F07407"/>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AF6"/>
    <w:rsid w:val="00F42FB5"/>
    <w:rsid w:val="00F605CF"/>
    <w:rsid w:val="00F60EE3"/>
    <w:rsid w:val="00F62912"/>
    <w:rsid w:val="00F64F29"/>
    <w:rsid w:val="00F81BF5"/>
    <w:rsid w:val="00F81C7A"/>
    <w:rsid w:val="00F84412"/>
    <w:rsid w:val="00F9302E"/>
    <w:rsid w:val="00F930E0"/>
    <w:rsid w:val="00F943D4"/>
    <w:rsid w:val="00FA0A11"/>
    <w:rsid w:val="00FA1E9A"/>
    <w:rsid w:val="00FA37AC"/>
    <w:rsid w:val="00FA419D"/>
    <w:rsid w:val="00FA4262"/>
    <w:rsid w:val="00FA4636"/>
    <w:rsid w:val="00FA70FB"/>
    <w:rsid w:val="00FA7256"/>
    <w:rsid w:val="00FB05D8"/>
    <w:rsid w:val="00FB6134"/>
    <w:rsid w:val="00FB77E1"/>
    <w:rsid w:val="00FC422F"/>
    <w:rsid w:val="00FC4752"/>
    <w:rsid w:val="00FC6087"/>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FacultyPolicyonAssigningGradesofIncomplete.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ites.auburn.edu/admin/universitypolicies/Policies/CreditHourPolicy.pd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30112</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2</cp:revision>
  <cp:lastPrinted>2022-08-28T21:31:00Z</cp:lastPrinted>
  <dcterms:created xsi:type="dcterms:W3CDTF">2022-08-28T21:37:00Z</dcterms:created>
  <dcterms:modified xsi:type="dcterms:W3CDTF">2022-08-28T21:37:00Z</dcterms:modified>
</cp:coreProperties>
</file>