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5F825" w14:textId="61E7DF83"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49D17DD2"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A4034E">
        <w:rPr>
          <w:bCs/>
        </w:rPr>
        <w:t>Fall</w:t>
      </w:r>
      <w:r w:rsidR="00DC0A88">
        <w:rPr>
          <w:bCs/>
        </w:rPr>
        <w:t xml:space="preserve"> 20</w:t>
      </w:r>
      <w:r w:rsidR="008665AE">
        <w:rPr>
          <w:bCs/>
        </w:rPr>
        <w:t>22</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581EC736" w:rsidR="00182FF8" w:rsidRPr="00574ABC" w:rsidRDefault="00182FF8" w:rsidP="00182FF8">
      <w:pPr>
        <w:tabs>
          <w:tab w:val="left" w:pos="720"/>
          <w:tab w:val="left" w:pos="1440"/>
          <w:tab w:val="left" w:pos="2160"/>
          <w:tab w:val="left" w:pos="2340"/>
        </w:tabs>
        <w:ind w:left="2592" w:hanging="2592"/>
      </w:pPr>
      <w:r>
        <w:rPr>
          <w:bCs/>
        </w:rPr>
        <w:tab/>
      </w:r>
      <w:r w:rsidRPr="00574ABC">
        <w:rPr>
          <w:b/>
        </w:rPr>
        <w:t>Instructor:</w:t>
      </w:r>
      <w:r w:rsidR="006C0EB9" w:rsidRPr="00574ABC">
        <w:rPr>
          <w:b/>
        </w:rPr>
        <w:t xml:space="preserve"> </w:t>
      </w:r>
      <w:proofErr w:type="spellStart"/>
      <w:r w:rsidR="00574ABC">
        <w:t>Callye</w:t>
      </w:r>
      <w:proofErr w:type="spellEnd"/>
      <w:r w:rsidR="00574ABC">
        <w:t xml:space="preserve"> Monroe</w:t>
      </w:r>
    </w:p>
    <w:p w14:paraId="707E726F" w14:textId="148C77EF" w:rsidR="00182FF8" w:rsidRPr="00510DF0" w:rsidRDefault="00182FF8" w:rsidP="00182FF8">
      <w:pPr>
        <w:tabs>
          <w:tab w:val="left" w:pos="720"/>
          <w:tab w:val="left" w:pos="1440"/>
          <w:tab w:val="left" w:pos="2160"/>
          <w:tab w:val="left" w:pos="2340"/>
        </w:tabs>
        <w:ind w:left="2592" w:hanging="2592"/>
      </w:pPr>
      <w:r w:rsidRPr="00574ABC">
        <w:rPr>
          <w:b/>
        </w:rPr>
        <w:tab/>
        <w:t>Office Address:</w:t>
      </w:r>
      <w:r w:rsidR="006C0EB9" w:rsidRPr="00574ABC">
        <w:rPr>
          <w:b/>
        </w:rPr>
        <w:t xml:space="preserve"> </w:t>
      </w:r>
      <w:proofErr w:type="gramStart"/>
      <w:r w:rsidR="00510DF0">
        <w:t>n/a</w:t>
      </w:r>
      <w:proofErr w:type="gramEnd"/>
    </w:p>
    <w:p w14:paraId="3DF8F0A7" w14:textId="0B7252C2" w:rsidR="00182FF8" w:rsidRPr="00574ABC" w:rsidRDefault="00182FF8" w:rsidP="00182FF8">
      <w:pPr>
        <w:tabs>
          <w:tab w:val="left" w:pos="720"/>
          <w:tab w:val="left" w:pos="1440"/>
          <w:tab w:val="left" w:pos="2160"/>
          <w:tab w:val="left" w:pos="2340"/>
        </w:tabs>
        <w:ind w:left="2592" w:hanging="2592"/>
        <w:rPr>
          <w:bCs/>
        </w:rPr>
      </w:pPr>
      <w:r w:rsidRPr="00574ABC">
        <w:rPr>
          <w:b/>
        </w:rPr>
        <w:tab/>
        <w:t>Email Address:</w:t>
      </w:r>
      <w:r w:rsidR="006C0EB9" w:rsidRPr="00574ABC">
        <w:rPr>
          <w:b/>
        </w:rPr>
        <w:t xml:space="preserve"> </w:t>
      </w:r>
      <w:r w:rsidR="00574ABC">
        <w:t>mcneace@auburn.edu</w:t>
      </w:r>
    </w:p>
    <w:p w14:paraId="123518E7" w14:textId="218AC6AE" w:rsidR="00182FF8" w:rsidRPr="00B221A9" w:rsidRDefault="00182FF8" w:rsidP="00182FF8">
      <w:pPr>
        <w:tabs>
          <w:tab w:val="left" w:pos="720"/>
          <w:tab w:val="left" w:pos="1440"/>
          <w:tab w:val="left" w:pos="2160"/>
          <w:tab w:val="left" w:pos="2340"/>
        </w:tabs>
        <w:ind w:left="2592" w:hanging="2592"/>
        <w:rPr>
          <w:bCs/>
        </w:rPr>
      </w:pPr>
      <w:r w:rsidRPr="00574ABC">
        <w:rPr>
          <w:b/>
        </w:rPr>
        <w:tab/>
        <w:t>Phone Number:</w:t>
      </w:r>
      <w:r w:rsidR="006C0EB9" w:rsidRPr="00574ABC">
        <w:rPr>
          <w:b/>
        </w:rPr>
        <w:t xml:space="preserve"> </w:t>
      </w:r>
      <w:r w:rsidR="00071F42">
        <w:t>334-705-4171</w:t>
      </w:r>
    </w:p>
    <w:p w14:paraId="1A090E6B" w14:textId="796B8263" w:rsidR="00182FF8" w:rsidRPr="00510DF0" w:rsidRDefault="00182FF8" w:rsidP="00182FF8">
      <w:pPr>
        <w:tabs>
          <w:tab w:val="left" w:pos="720"/>
          <w:tab w:val="left" w:pos="1440"/>
          <w:tab w:val="left" w:pos="2160"/>
          <w:tab w:val="left" w:pos="2340"/>
        </w:tabs>
        <w:ind w:left="2592" w:hanging="2592"/>
      </w:pPr>
      <w:r w:rsidRPr="00574ABC">
        <w:rPr>
          <w:b/>
        </w:rPr>
        <w:tab/>
        <w:t>Office Hours:</w:t>
      </w:r>
      <w:r w:rsidR="00510DF0">
        <w:rPr>
          <w:b/>
        </w:rPr>
        <w:t xml:space="preserve"> </w:t>
      </w:r>
      <w:r w:rsidR="004765F8">
        <w:t>W 2:00-3:00</w:t>
      </w:r>
    </w:p>
    <w:p w14:paraId="687AD0B2" w14:textId="77777777" w:rsidR="00182FF8" w:rsidRPr="00592BEB" w:rsidRDefault="00182FF8" w:rsidP="00182FF8">
      <w:pPr>
        <w:tabs>
          <w:tab w:val="left" w:pos="720"/>
          <w:tab w:val="left" w:pos="1440"/>
          <w:tab w:val="left" w:pos="2160"/>
          <w:tab w:val="left" w:pos="2340"/>
        </w:tabs>
        <w:ind w:left="2592" w:hanging="2592"/>
        <w:rPr>
          <w:b/>
        </w:rPr>
      </w:pPr>
    </w:p>
    <w:p w14:paraId="4AA534D9" w14:textId="2C5BC95A" w:rsidR="00182FF8" w:rsidRPr="000E7644" w:rsidRDefault="00182FF8" w:rsidP="00182FF8">
      <w:pPr>
        <w:rPr>
          <w:highlight w:val="yellow"/>
        </w:rPr>
      </w:pPr>
      <w:r>
        <w:rPr>
          <w:b/>
        </w:rPr>
        <w:t xml:space="preserve">2. </w:t>
      </w:r>
      <w:r>
        <w:rPr>
          <w:b/>
        </w:rPr>
        <w:tab/>
      </w:r>
      <w:r w:rsidRPr="007905CE">
        <w:rPr>
          <w:b/>
          <w:bCs/>
        </w:rPr>
        <w:t>Term:</w:t>
      </w:r>
      <w:r w:rsidRPr="007905CE">
        <w:t xml:space="preserve"> </w:t>
      </w:r>
      <w:r w:rsidRPr="007905CE">
        <w:tab/>
      </w:r>
      <w:r w:rsidR="00A4034E">
        <w:t>Fall</w:t>
      </w:r>
      <w:r>
        <w:t xml:space="preserve"> 20</w:t>
      </w:r>
      <w:r w:rsidR="006C0EB9">
        <w:t>2</w:t>
      </w:r>
      <w:r w:rsidR="008665AE">
        <w:t>2</w:t>
      </w:r>
    </w:p>
    <w:p w14:paraId="3EE95029" w14:textId="38A75D67" w:rsidR="00182FF8" w:rsidRPr="0061654A" w:rsidRDefault="00182FF8" w:rsidP="00182FF8">
      <w:pPr>
        <w:ind w:firstLine="720"/>
      </w:pPr>
      <w:r w:rsidRPr="0061654A">
        <w:rPr>
          <w:b/>
        </w:rPr>
        <w:t>Day/Time:</w:t>
      </w:r>
      <w:r w:rsidRPr="0061654A">
        <w:t xml:space="preserve"> </w:t>
      </w:r>
      <w:r w:rsidR="001968E1">
        <w:t>Online, asynchronous,</w:t>
      </w:r>
    </w:p>
    <w:p w14:paraId="17B4FAE1" w14:textId="7EEB66B1"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A4034E">
        <w:t>July</w:t>
      </w:r>
      <w:r w:rsidRPr="007905CE">
        <w:t xml:space="preserve"> 20</w:t>
      </w:r>
      <w:r w:rsidR="000F45DC">
        <w:t>2</w:t>
      </w:r>
      <w:r w:rsidR="00A4034E">
        <w:t>2</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6FF68449"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xml:space="preserve">. </w:t>
      </w:r>
      <w:r w:rsidR="00A4034E">
        <w:rPr>
          <w:rFonts w:cs="Tahoma"/>
        </w:rPr>
        <w:t>Will be set up through AU Bookstore. Contact them to opt out.</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CA196A1"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w:t>
      </w:r>
      <w:r w:rsidR="00A4034E">
        <w:t>very low price</w:t>
      </w:r>
      <w:r>
        <w:t xml:space="preserve">.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w:t>
      </w:r>
      <w:proofErr w:type="spellStart"/>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lastRenderedPageBreak/>
        <w:t>Identify and discuss the legal foundations for persons with disabilities</w:t>
      </w:r>
      <w:r w:rsidRPr="00E07D1B">
        <w:rPr>
          <w:rFonts w:cs="Tahoma"/>
          <w:i/>
        </w:rPr>
        <w:t>.(</w:t>
      </w:r>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w:t>
      </w:r>
      <w:proofErr w:type="spellStart"/>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w:t>
      </w:r>
      <w:proofErr w:type="spellStart"/>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(290-3-3-.34-(2)(b)2.(</w:t>
      </w:r>
      <w:proofErr w:type="spellStart"/>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w:t>
      </w:r>
      <w:proofErr w:type="spellStart"/>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w:t>
      </w:r>
      <w:proofErr w:type="spellStart"/>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w:t>
      </w:r>
      <w:proofErr w:type="spellStart"/>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4B16B1AF" w:rsidR="00BA4747" w:rsidRPr="00265888" w:rsidRDefault="00BA4747" w:rsidP="001C140D">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001C140D" w:rsidRPr="001C140D">
              <w:rPr>
                <w:b/>
                <w:sz w:val="20"/>
                <w:szCs w:val="20"/>
                <w:highlight w:val="yellow"/>
              </w:rPr>
              <w:t>Sunday by 11:59pm</w:t>
            </w:r>
            <w:r w:rsidRPr="00265888">
              <w:rPr>
                <w:b/>
                <w:sz w:val="20"/>
                <w:szCs w:val="20"/>
              </w:rPr>
              <w:t>)</w:t>
            </w:r>
          </w:p>
        </w:tc>
      </w:tr>
      <w:tr w:rsidR="00BA4747" w:rsidRPr="00FE434A" w14:paraId="783CE629" w14:textId="77777777" w:rsidTr="004B740E">
        <w:tc>
          <w:tcPr>
            <w:tcW w:w="985" w:type="dxa"/>
          </w:tcPr>
          <w:p w14:paraId="3929953B" w14:textId="4014DC3E" w:rsidR="00BA4747" w:rsidRDefault="00BA4747" w:rsidP="00A732A7">
            <w:pPr>
              <w:rPr>
                <w:sz w:val="20"/>
                <w:szCs w:val="20"/>
              </w:rPr>
            </w:pPr>
            <w:r>
              <w:rPr>
                <w:sz w:val="20"/>
                <w:szCs w:val="20"/>
              </w:rPr>
              <w:t>Week 1</w:t>
            </w:r>
          </w:p>
          <w:p w14:paraId="7B520DE3" w14:textId="248D8A65" w:rsidR="00911E4A" w:rsidRDefault="00A4034E" w:rsidP="00A732A7">
            <w:pPr>
              <w:rPr>
                <w:sz w:val="20"/>
                <w:szCs w:val="20"/>
              </w:rPr>
            </w:pPr>
            <w:r>
              <w:rPr>
                <w:sz w:val="20"/>
                <w:szCs w:val="20"/>
              </w:rPr>
              <w:t>8/16</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36AD1765" w:rsidR="00BA4747" w:rsidRDefault="00BA4747" w:rsidP="00A732A7">
            <w:pPr>
              <w:rPr>
                <w:sz w:val="20"/>
                <w:szCs w:val="20"/>
              </w:rPr>
            </w:pPr>
            <w:r>
              <w:rPr>
                <w:sz w:val="20"/>
                <w:szCs w:val="20"/>
              </w:rPr>
              <w:t>Week 2</w:t>
            </w:r>
          </w:p>
          <w:p w14:paraId="2967439A" w14:textId="45BAB66A" w:rsidR="00911E4A" w:rsidRDefault="00A4034E" w:rsidP="00A732A7">
            <w:pPr>
              <w:rPr>
                <w:sz w:val="20"/>
                <w:szCs w:val="20"/>
              </w:rPr>
            </w:pPr>
            <w:r>
              <w:rPr>
                <w:sz w:val="20"/>
                <w:szCs w:val="20"/>
              </w:rPr>
              <w:t>8/22</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867895E" w14:textId="5E4D2602"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lastRenderedPageBreak/>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107BCCCA" w:rsidR="00BA4747" w:rsidRPr="00FE434A" w:rsidRDefault="00BA4747" w:rsidP="00A732A7">
            <w:pPr>
              <w:rPr>
                <w:sz w:val="20"/>
                <w:szCs w:val="20"/>
              </w:rPr>
            </w:pPr>
            <w:r>
              <w:rPr>
                <w:sz w:val="20"/>
                <w:szCs w:val="20"/>
              </w:rPr>
              <w:t xml:space="preserve">Chapter 1 Quiz Due by </w:t>
            </w:r>
            <w:r w:rsidR="001C140D" w:rsidRPr="001C140D">
              <w:rPr>
                <w:b/>
                <w:sz w:val="20"/>
                <w:szCs w:val="20"/>
                <w:highlight w:val="yellow"/>
              </w:rPr>
              <w:t xml:space="preserve">Sunday </w:t>
            </w:r>
            <w:r w:rsidR="001C140D">
              <w:rPr>
                <w:b/>
                <w:sz w:val="20"/>
                <w:szCs w:val="20"/>
                <w:highlight w:val="yellow"/>
              </w:rPr>
              <w:t xml:space="preserve">(8/21) </w:t>
            </w:r>
            <w:r w:rsidR="001C140D" w:rsidRPr="001C140D">
              <w:rPr>
                <w:b/>
                <w:sz w:val="20"/>
                <w:szCs w:val="20"/>
                <w:highlight w:val="yellow"/>
              </w:rPr>
              <w:t>by 11:59pm</w:t>
            </w:r>
          </w:p>
          <w:p w14:paraId="02E67E04" w14:textId="77777777" w:rsidR="00BA4747" w:rsidRPr="00FE434A" w:rsidRDefault="00BA4747" w:rsidP="00A732A7">
            <w:pPr>
              <w:rPr>
                <w:sz w:val="20"/>
                <w:szCs w:val="20"/>
              </w:rPr>
            </w:pPr>
          </w:p>
        </w:tc>
      </w:tr>
      <w:tr w:rsidR="00BA4747" w:rsidRPr="00FE434A" w14:paraId="77944C62" w14:textId="77777777" w:rsidTr="004B740E">
        <w:tc>
          <w:tcPr>
            <w:tcW w:w="985" w:type="dxa"/>
          </w:tcPr>
          <w:p w14:paraId="5CD9D2B5" w14:textId="50C4C2D6" w:rsidR="00BA4747" w:rsidRDefault="00BA4747" w:rsidP="00A732A7">
            <w:pPr>
              <w:rPr>
                <w:sz w:val="20"/>
                <w:szCs w:val="20"/>
              </w:rPr>
            </w:pPr>
            <w:r>
              <w:rPr>
                <w:sz w:val="20"/>
                <w:szCs w:val="20"/>
              </w:rPr>
              <w:t>Week 3</w:t>
            </w:r>
          </w:p>
          <w:p w14:paraId="27737B63" w14:textId="51C3B4DE" w:rsidR="00911E4A" w:rsidRDefault="00A4034E" w:rsidP="00A732A7">
            <w:pPr>
              <w:rPr>
                <w:sz w:val="20"/>
                <w:szCs w:val="20"/>
              </w:rPr>
            </w:pPr>
            <w:r>
              <w:rPr>
                <w:sz w:val="20"/>
                <w:szCs w:val="20"/>
              </w:rPr>
              <w:t>8/29</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2872DB0E" w:rsidR="00BA4747" w:rsidRPr="00FE434A" w:rsidRDefault="00BA4747" w:rsidP="00A732A7">
            <w:pPr>
              <w:rPr>
                <w:sz w:val="20"/>
                <w:szCs w:val="20"/>
              </w:rPr>
            </w:pPr>
            <w:r>
              <w:rPr>
                <w:sz w:val="20"/>
                <w:szCs w:val="20"/>
              </w:rPr>
              <w:t xml:space="preserve">Chapter 2 Quiz due by </w:t>
            </w:r>
            <w:r w:rsidR="00BF7F2B" w:rsidRPr="001C140D">
              <w:rPr>
                <w:b/>
                <w:sz w:val="20"/>
                <w:szCs w:val="20"/>
                <w:highlight w:val="yellow"/>
              </w:rPr>
              <w:t xml:space="preserve">Sunday </w:t>
            </w:r>
            <w:r w:rsidR="00BF7F2B">
              <w:rPr>
                <w:b/>
                <w:sz w:val="20"/>
                <w:szCs w:val="20"/>
                <w:highlight w:val="yellow"/>
              </w:rPr>
              <w:t>(8/28</w:t>
            </w:r>
            <w:r w:rsidR="00BF7F2B">
              <w:rPr>
                <w:b/>
                <w:sz w:val="20"/>
                <w:szCs w:val="20"/>
                <w:highlight w:val="yellow"/>
              </w:rPr>
              <w:t xml:space="preserve">) </w:t>
            </w:r>
            <w:r w:rsidR="00BF7F2B" w:rsidRPr="001C140D">
              <w:rPr>
                <w:b/>
                <w:sz w:val="20"/>
                <w:szCs w:val="20"/>
                <w:highlight w:val="yellow"/>
              </w:rPr>
              <w:t>by 11:59pm</w:t>
            </w:r>
          </w:p>
        </w:tc>
      </w:tr>
      <w:tr w:rsidR="00BA4747" w:rsidRPr="00FE434A" w14:paraId="62F1C21E" w14:textId="77777777" w:rsidTr="004B740E">
        <w:tc>
          <w:tcPr>
            <w:tcW w:w="985" w:type="dxa"/>
          </w:tcPr>
          <w:p w14:paraId="11B550A3" w14:textId="4E4E79B8" w:rsidR="00BA4747" w:rsidRDefault="00BA4747" w:rsidP="00A732A7">
            <w:pPr>
              <w:rPr>
                <w:sz w:val="20"/>
                <w:szCs w:val="20"/>
              </w:rPr>
            </w:pPr>
            <w:r>
              <w:rPr>
                <w:sz w:val="20"/>
                <w:szCs w:val="20"/>
              </w:rPr>
              <w:t>Week 4</w:t>
            </w:r>
          </w:p>
          <w:p w14:paraId="33A070BF" w14:textId="0D3B25EB" w:rsidR="00911E4A" w:rsidRDefault="00A4034E" w:rsidP="00A732A7">
            <w:pPr>
              <w:rPr>
                <w:sz w:val="20"/>
                <w:szCs w:val="20"/>
              </w:rPr>
            </w:pPr>
            <w:r>
              <w:rPr>
                <w:sz w:val="20"/>
                <w:szCs w:val="20"/>
              </w:rPr>
              <w:t>9/5</w:t>
            </w:r>
          </w:p>
          <w:p w14:paraId="312A6B95" w14:textId="436E0A58" w:rsidR="00A4034E" w:rsidRDefault="00A4034E" w:rsidP="00A732A7">
            <w:pPr>
              <w:rPr>
                <w:sz w:val="20"/>
                <w:szCs w:val="20"/>
              </w:rPr>
            </w:pPr>
          </w:p>
          <w:p w14:paraId="6F8FBC4A" w14:textId="2E14628D" w:rsidR="00A4034E" w:rsidRDefault="00A4034E" w:rsidP="00A732A7">
            <w:pPr>
              <w:rPr>
                <w:sz w:val="20"/>
                <w:szCs w:val="20"/>
              </w:rPr>
            </w:pPr>
            <w:r>
              <w:rPr>
                <w:sz w:val="20"/>
                <w:szCs w:val="20"/>
              </w:rPr>
              <w:t>(9/5 – holiday)</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42079C97" w:rsidR="00BA4747" w:rsidRDefault="00BA4747" w:rsidP="00A732A7">
            <w:pPr>
              <w:rPr>
                <w:sz w:val="20"/>
                <w:szCs w:val="20"/>
              </w:rPr>
            </w:pPr>
            <w:r>
              <w:rPr>
                <w:sz w:val="20"/>
                <w:szCs w:val="20"/>
              </w:rPr>
              <w:t xml:space="preserve">Chapter 3 Quiz due by </w:t>
            </w:r>
            <w:r w:rsidR="00BF7F2B" w:rsidRPr="001C140D">
              <w:rPr>
                <w:b/>
                <w:sz w:val="20"/>
                <w:szCs w:val="20"/>
                <w:highlight w:val="yellow"/>
              </w:rPr>
              <w:t xml:space="preserve">Sunday </w:t>
            </w:r>
            <w:r w:rsidR="00BF7F2B">
              <w:rPr>
                <w:b/>
                <w:sz w:val="20"/>
                <w:szCs w:val="20"/>
                <w:highlight w:val="yellow"/>
              </w:rPr>
              <w:t>(9/4</w:t>
            </w:r>
            <w:r w:rsidR="00BF7F2B">
              <w:rPr>
                <w:b/>
                <w:sz w:val="20"/>
                <w:szCs w:val="20"/>
                <w:highlight w:val="yellow"/>
              </w:rPr>
              <w:t xml:space="preserve">) </w:t>
            </w:r>
            <w:r w:rsidR="00BF7F2B" w:rsidRPr="001C140D">
              <w:rPr>
                <w:b/>
                <w:sz w:val="20"/>
                <w:szCs w:val="20"/>
                <w:highlight w:val="yellow"/>
              </w:rPr>
              <w:t>by 11:59pm</w:t>
            </w:r>
          </w:p>
          <w:p w14:paraId="3E1AC36B" w14:textId="77777777" w:rsidR="00BA4747" w:rsidRDefault="00BA4747" w:rsidP="00A732A7">
            <w:pPr>
              <w:rPr>
                <w:sz w:val="20"/>
                <w:szCs w:val="20"/>
              </w:rPr>
            </w:pPr>
          </w:p>
          <w:p w14:paraId="2CAD87CF" w14:textId="1CCE19BF" w:rsidR="00BA4747" w:rsidRPr="00FE434A" w:rsidRDefault="00BA4747" w:rsidP="00A732A7">
            <w:pPr>
              <w:rPr>
                <w:sz w:val="20"/>
                <w:szCs w:val="20"/>
              </w:rPr>
            </w:pPr>
            <w:r>
              <w:rPr>
                <w:sz w:val="20"/>
                <w:szCs w:val="20"/>
              </w:rPr>
              <w:t xml:space="preserve">Chapter 4 Quiz due by </w:t>
            </w:r>
            <w:r w:rsidRPr="00DD1948">
              <w:rPr>
                <w:sz w:val="20"/>
                <w:szCs w:val="20"/>
                <w:highlight w:val="yellow"/>
              </w:rPr>
              <w:t>Exam 1</w:t>
            </w:r>
          </w:p>
        </w:tc>
      </w:tr>
      <w:tr w:rsidR="00BA4747" w:rsidRPr="00FE434A" w14:paraId="3AA9BA9A" w14:textId="77777777" w:rsidTr="004B740E">
        <w:tc>
          <w:tcPr>
            <w:tcW w:w="985" w:type="dxa"/>
          </w:tcPr>
          <w:p w14:paraId="21F74221" w14:textId="773A90BC" w:rsidR="00BA4747" w:rsidRDefault="00BA4747" w:rsidP="00A732A7">
            <w:pPr>
              <w:rPr>
                <w:sz w:val="20"/>
                <w:szCs w:val="20"/>
              </w:rPr>
            </w:pPr>
            <w:r>
              <w:rPr>
                <w:sz w:val="20"/>
                <w:szCs w:val="20"/>
              </w:rPr>
              <w:t>Week 5</w:t>
            </w:r>
          </w:p>
          <w:p w14:paraId="1CCF7037" w14:textId="167C85BB" w:rsidR="00911E4A" w:rsidRDefault="00A4034E" w:rsidP="00A732A7">
            <w:pPr>
              <w:rPr>
                <w:sz w:val="20"/>
                <w:szCs w:val="20"/>
              </w:rPr>
            </w:pPr>
            <w:r>
              <w:rPr>
                <w:sz w:val="20"/>
                <w:szCs w:val="20"/>
              </w:rPr>
              <w:t>9/12</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lastRenderedPageBreak/>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4B740E">
        <w:tc>
          <w:tcPr>
            <w:tcW w:w="985" w:type="dxa"/>
          </w:tcPr>
          <w:p w14:paraId="2EDA177B" w14:textId="2CFE3238" w:rsidR="00BA4747" w:rsidRDefault="00BA4747" w:rsidP="00A732A7">
            <w:pPr>
              <w:rPr>
                <w:sz w:val="20"/>
                <w:szCs w:val="20"/>
              </w:rPr>
            </w:pPr>
            <w:r>
              <w:rPr>
                <w:sz w:val="20"/>
                <w:szCs w:val="20"/>
              </w:rPr>
              <w:t>Week 6</w:t>
            </w:r>
          </w:p>
          <w:p w14:paraId="2ED95A53" w14:textId="026E5AB3" w:rsidR="00911E4A" w:rsidRDefault="00A4034E" w:rsidP="00A732A7">
            <w:pPr>
              <w:rPr>
                <w:sz w:val="20"/>
                <w:szCs w:val="20"/>
              </w:rPr>
            </w:pPr>
            <w:r>
              <w:rPr>
                <w:sz w:val="20"/>
                <w:szCs w:val="20"/>
              </w:rPr>
              <w:t>9/19</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3E12E054" w14:textId="77777777" w:rsidR="00EC3F73" w:rsidRDefault="00EC3F73" w:rsidP="00EC3F73">
            <w:pPr>
              <w:rPr>
                <w:sz w:val="20"/>
                <w:szCs w:val="20"/>
              </w:rPr>
            </w:pPr>
            <w:r w:rsidRPr="00B75FD9">
              <w:rPr>
                <w:b/>
                <w:bCs/>
                <w:sz w:val="20"/>
                <w:szCs w:val="20"/>
              </w:rPr>
              <w:t>Chapter 12</w:t>
            </w:r>
            <w:r>
              <w:rPr>
                <w:sz w:val="20"/>
                <w:szCs w:val="20"/>
              </w:rPr>
              <w:t xml:space="preserve"> – Responding to Student Behavior</w:t>
            </w:r>
          </w:p>
          <w:p w14:paraId="7534D260" w14:textId="77777777" w:rsidR="00EC3F73" w:rsidRDefault="00EC3F73" w:rsidP="00EC3F73">
            <w:pPr>
              <w:rPr>
                <w:i/>
                <w:sz w:val="20"/>
                <w:szCs w:val="20"/>
              </w:rPr>
            </w:pPr>
            <w:r>
              <w:rPr>
                <w:i/>
                <w:sz w:val="20"/>
                <w:szCs w:val="20"/>
                <w:u w:val="single"/>
              </w:rPr>
              <w:t xml:space="preserve">Learning Outcomes: </w:t>
            </w:r>
          </w:p>
          <w:p w14:paraId="0677A13E" w14:textId="77777777" w:rsidR="00EC3F73" w:rsidRPr="00B37A33" w:rsidRDefault="00EC3F73" w:rsidP="00EC3F73">
            <w:pPr>
              <w:pStyle w:val="ListParagraph"/>
              <w:numPr>
                <w:ilvl w:val="0"/>
                <w:numId w:val="8"/>
              </w:numPr>
              <w:rPr>
                <w:sz w:val="20"/>
                <w:szCs w:val="20"/>
              </w:rPr>
            </w:pPr>
            <w:r>
              <w:rPr>
                <w:i/>
                <w:sz w:val="20"/>
                <w:szCs w:val="20"/>
              </w:rPr>
              <w:t>Outline classroom strategies that promote students’ positive behavior and prevent misbehavior</w:t>
            </w:r>
          </w:p>
          <w:p w14:paraId="36717E72" w14:textId="77777777" w:rsidR="00EC3F73" w:rsidRPr="00B37A33" w:rsidRDefault="00EC3F73" w:rsidP="00EC3F73">
            <w:pPr>
              <w:pStyle w:val="ListParagraph"/>
              <w:numPr>
                <w:ilvl w:val="0"/>
                <w:numId w:val="8"/>
              </w:numPr>
              <w:rPr>
                <w:sz w:val="20"/>
                <w:szCs w:val="20"/>
              </w:rPr>
            </w:pPr>
            <w:r>
              <w:rPr>
                <w:i/>
                <w:sz w:val="20"/>
                <w:szCs w:val="20"/>
              </w:rPr>
              <w:t>Explain simple techniques for responding to individual student misbehavior</w:t>
            </w:r>
          </w:p>
          <w:p w14:paraId="3B0CBAB9" w14:textId="77777777" w:rsidR="00EC3F73" w:rsidRPr="00B37A33" w:rsidRDefault="00EC3F73" w:rsidP="00EC3F7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726426D7" w14:textId="77777777" w:rsidR="00EC3F73" w:rsidRPr="00B37A33" w:rsidRDefault="00EC3F73" w:rsidP="00EC3F73">
            <w:pPr>
              <w:pStyle w:val="ListParagraph"/>
              <w:numPr>
                <w:ilvl w:val="0"/>
                <w:numId w:val="8"/>
              </w:numPr>
              <w:rPr>
                <w:sz w:val="20"/>
                <w:szCs w:val="20"/>
              </w:rPr>
            </w:pPr>
            <w:r>
              <w:rPr>
                <w:i/>
                <w:sz w:val="20"/>
                <w:szCs w:val="20"/>
              </w:rPr>
              <w:t>Outline systematic approaches for increasing positive behaviors and decreasing negative behaviors</w:t>
            </w:r>
          </w:p>
          <w:p w14:paraId="07330BEE" w14:textId="77777777" w:rsidR="00EC3F73" w:rsidRPr="00A732A7" w:rsidRDefault="00EC3F73" w:rsidP="00EC3F73">
            <w:pPr>
              <w:pStyle w:val="ListParagraph"/>
              <w:numPr>
                <w:ilvl w:val="0"/>
                <w:numId w:val="8"/>
              </w:numPr>
              <w:rPr>
                <w:sz w:val="20"/>
                <w:szCs w:val="20"/>
              </w:rPr>
            </w:pPr>
            <w:r>
              <w:rPr>
                <w:i/>
                <w:sz w:val="20"/>
                <w:szCs w:val="20"/>
              </w:rPr>
              <w:t>Identify how to help students manage their own behavior</w:t>
            </w:r>
          </w:p>
          <w:p w14:paraId="7A891CE1" w14:textId="77777777" w:rsidR="00BA4747" w:rsidRPr="00EC3F73" w:rsidRDefault="00BA4747" w:rsidP="00EC3F73">
            <w:pPr>
              <w:rPr>
                <w:sz w:val="20"/>
                <w:szCs w:val="20"/>
              </w:rPr>
            </w:pPr>
          </w:p>
        </w:tc>
        <w:tc>
          <w:tcPr>
            <w:tcW w:w="2250" w:type="dxa"/>
          </w:tcPr>
          <w:p w14:paraId="7925DC5F" w14:textId="19CA0D18" w:rsidR="00BA4747" w:rsidRPr="00FE434A" w:rsidRDefault="00BA4747" w:rsidP="00A732A7">
            <w:pPr>
              <w:rPr>
                <w:sz w:val="20"/>
                <w:szCs w:val="20"/>
              </w:rPr>
            </w:pPr>
            <w:r>
              <w:rPr>
                <w:sz w:val="20"/>
                <w:szCs w:val="20"/>
              </w:rPr>
              <w:t>C</w:t>
            </w:r>
            <w:r w:rsidR="00EC3F73">
              <w:rPr>
                <w:sz w:val="20"/>
                <w:szCs w:val="20"/>
              </w:rPr>
              <w:t>hapter 12</w:t>
            </w:r>
            <w:r>
              <w:rPr>
                <w:sz w:val="20"/>
                <w:szCs w:val="20"/>
              </w:rPr>
              <w:t xml:space="preserve">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522F92D3" w:rsidR="00BA4747" w:rsidRDefault="00BA4747" w:rsidP="00A732A7">
            <w:pPr>
              <w:rPr>
                <w:sz w:val="20"/>
                <w:szCs w:val="20"/>
              </w:rPr>
            </w:pPr>
            <w:r>
              <w:rPr>
                <w:sz w:val="20"/>
                <w:szCs w:val="20"/>
              </w:rPr>
              <w:t>Week 7</w:t>
            </w:r>
          </w:p>
          <w:p w14:paraId="06208844" w14:textId="09B55277" w:rsidR="00911E4A" w:rsidRDefault="00A4034E" w:rsidP="00A732A7">
            <w:pPr>
              <w:rPr>
                <w:sz w:val="20"/>
                <w:szCs w:val="20"/>
              </w:rPr>
            </w:pPr>
            <w:r>
              <w:rPr>
                <w:sz w:val="20"/>
                <w:szCs w:val="20"/>
              </w:rPr>
              <w:t>9/26</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797511B4" w14:textId="1546350E" w:rsidR="001C140D" w:rsidRDefault="00BA4747" w:rsidP="00EC3F73">
            <w:pPr>
              <w:rPr>
                <w:sz w:val="20"/>
                <w:szCs w:val="20"/>
              </w:rPr>
            </w:pPr>
            <w:r>
              <w:rPr>
                <w:sz w:val="20"/>
                <w:szCs w:val="20"/>
              </w:rPr>
              <w:t xml:space="preserve">Chapter </w:t>
            </w:r>
            <w:r w:rsidR="00EC3F73">
              <w:rPr>
                <w:sz w:val="20"/>
                <w:szCs w:val="20"/>
              </w:rPr>
              <w:t>12</w:t>
            </w:r>
            <w:r>
              <w:rPr>
                <w:sz w:val="20"/>
                <w:szCs w:val="20"/>
              </w:rPr>
              <w:t xml:space="preserve"> Quiz due by </w:t>
            </w:r>
            <w:r w:rsidR="00BF7F2B" w:rsidRPr="001C140D">
              <w:rPr>
                <w:b/>
                <w:sz w:val="20"/>
                <w:szCs w:val="20"/>
                <w:highlight w:val="yellow"/>
              </w:rPr>
              <w:t xml:space="preserve">Sunday </w:t>
            </w:r>
            <w:r w:rsidR="00BF7F2B">
              <w:rPr>
                <w:b/>
                <w:sz w:val="20"/>
                <w:szCs w:val="20"/>
                <w:highlight w:val="yellow"/>
              </w:rPr>
              <w:t>(</w:t>
            </w:r>
            <w:r w:rsidR="00BF7F2B">
              <w:rPr>
                <w:b/>
                <w:sz w:val="20"/>
                <w:szCs w:val="20"/>
                <w:highlight w:val="yellow"/>
              </w:rPr>
              <w:t>9/25</w:t>
            </w:r>
            <w:r w:rsidR="00BF7F2B">
              <w:rPr>
                <w:b/>
                <w:sz w:val="20"/>
                <w:szCs w:val="20"/>
                <w:highlight w:val="yellow"/>
              </w:rPr>
              <w:t xml:space="preserve">) </w:t>
            </w:r>
            <w:r w:rsidR="00BF7F2B" w:rsidRPr="001C140D">
              <w:rPr>
                <w:b/>
                <w:sz w:val="20"/>
                <w:szCs w:val="20"/>
                <w:highlight w:val="yellow"/>
              </w:rPr>
              <w:t>by 11:59pm</w:t>
            </w:r>
          </w:p>
          <w:p w14:paraId="02C5042C" w14:textId="77777777" w:rsidR="00BF7F2B" w:rsidRDefault="00BF7F2B" w:rsidP="00EC3F73">
            <w:pPr>
              <w:rPr>
                <w:sz w:val="20"/>
                <w:szCs w:val="20"/>
              </w:rPr>
            </w:pPr>
          </w:p>
          <w:p w14:paraId="4CE6A72A" w14:textId="5F86AC7A" w:rsidR="001C140D" w:rsidRPr="00FE434A" w:rsidRDefault="001C140D" w:rsidP="00BF7F2B">
            <w:pPr>
              <w:rPr>
                <w:sz w:val="20"/>
                <w:szCs w:val="20"/>
              </w:rPr>
            </w:pPr>
            <w:r>
              <w:rPr>
                <w:sz w:val="20"/>
                <w:szCs w:val="20"/>
              </w:rPr>
              <w:t xml:space="preserve">Crip Camp Assignment </w:t>
            </w:r>
            <w:r w:rsidR="00BF7F2B" w:rsidRPr="001C140D">
              <w:rPr>
                <w:b/>
                <w:sz w:val="20"/>
                <w:szCs w:val="20"/>
                <w:highlight w:val="yellow"/>
              </w:rPr>
              <w:t xml:space="preserve">Sunday </w:t>
            </w:r>
            <w:r w:rsidR="00BF7F2B">
              <w:rPr>
                <w:b/>
                <w:sz w:val="20"/>
                <w:szCs w:val="20"/>
                <w:highlight w:val="yellow"/>
              </w:rPr>
              <w:t>(9/25</w:t>
            </w:r>
            <w:r w:rsidR="00BF7F2B">
              <w:rPr>
                <w:b/>
                <w:sz w:val="20"/>
                <w:szCs w:val="20"/>
                <w:highlight w:val="yellow"/>
              </w:rPr>
              <w:t xml:space="preserve">) </w:t>
            </w:r>
            <w:r w:rsidR="00BF7F2B" w:rsidRPr="001C140D">
              <w:rPr>
                <w:b/>
                <w:sz w:val="20"/>
                <w:szCs w:val="20"/>
                <w:highlight w:val="yellow"/>
              </w:rPr>
              <w:t>by 11:59pm</w:t>
            </w:r>
          </w:p>
        </w:tc>
      </w:tr>
      <w:tr w:rsidR="00BA4747" w:rsidRPr="00FE434A" w14:paraId="637C694C" w14:textId="77777777" w:rsidTr="004B740E">
        <w:tc>
          <w:tcPr>
            <w:tcW w:w="985" w:type="dxa"/>
          </w:tcPr>
          <w:p w14:paraId="67162E31" w14:textId="5FAF6B73" w:rsidR="00BA4747" w:rsidRDefault="00BA4747" w:rsidP="00A732A7">
            <w:pPr>
              <w:rPr>
                <w:sz w:val="20"/>
                <w:szCs w:val="20"/>
              </w:rPr>
            </w:pPr>
            <w:r>
              <w:rPr>
                <w:sz w:val="20"/>
                <w:szCs w:val="20"/>
              </w:rPr>
              <w:t>Week 8</w:t>
            </w:r>
          </w:p>
          <w:p w14:paraId="67B9F271" w14:textId="5F159715" w:rsidR="00911E4A" w:rsidRDefault="00A4034E" w:rsidP="00A732A7">
            <w:pPr>
              <w:rPr>
                <w:sz w:val="20"/>
                <w:szCs w:val="20"/>
              </w:rPr>
            </w:pPr>
            <w:r>
              <w:rPr>
                <w:sz w:val="20"/>
                <w:szCs w:val="20"/>
              </w:rPr>
              <w:t>10/3</w:t>
            </w:r>
          </w:p>
          <w:p w14:paraId="5A51F4FE" w14:textId="1530917D" w:rsidR="00A4034E" w:rsidRDefault="00A4034E" w:rsidP="00A732A7">
            <w:pPr>
              <w:rPr>
                <w:sz w:val="20"/>
                <w:szCs w:val="20"/>
              </w:rPr>
            </w:pPr>
          </w:p>
          <w:p w14:paraId="034A1A64" w14:textId="5F2CEC07" w:rsidR="00A4034E" w:rsidRDefault="00A4034E" w:rsidP="00A732A7">
            <w:pPr>
              <w:rPr>
                <w:sz w:val="20"/>
                <w:szCs w:val="20"/>
              </w:rPr>
            </w:pPr>
            <w:r>
              <w:rPr>
                <w:sz w:val="20"/>
                <w:szCs w:val="20"/>
              </w:rPr>
              <w:t>(10/6-10/7 – Fall Break)</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1516A317" w:rsidR="00BA4747" w:rsidRPr="00FE434A" w:rsidRDefault="00BA4747" w:rsidP="00BF7F2B">
            <w:pPr>
              <w:rPr>
                <w:sz w:val="20"/>
                <w:szCs w:val="20"/>
              </w:rPr>
            </w:pPr>
            <w:r>
              <w:rPr>
                <w:sz w:val="20"/>
                <w:szCs w:val="20"/>
              </w:rPr>
              <w:t xml:space="preserve">Chapter 6 Quiz due by </w:t>
            </w:r>
            <w:r w:rsidR="00BF7F2B" w:rsidRPr="001C140D">
              <w:rPr>
                <w:b/>
                <w:sz w:val="20"/>
                <w:szCs w:val="20"/>
                <w:highlight w:val="yellow"/>
              </w:rPr>
              <w:t xml:space="preserve">Sunday </w:t>
            </w:r>
            <w:r w:rsidR="00BF7F2B">
              <w:rPr>
                <w:b/>
                <w:sz w:val="20"/>
                <w:szCs w:val="20"/>
                <w:highlight w:val="yellow"/>
              </w:rPr>
              <w:t>(</w:t>
            </w:r>
            <w:r w:rsidR="00BF7F2B">
              <w:rPr>
                <w:b/>
                <w:sz w:val="20"/>
                <w:szCs w:val="20"/>
                <w:highlight w:val="yellow"/>
              </w:rPr>
              <w:t>10/2</w:t>
            </w:r>
            <w:r w:rsidR="00BF7F2B">
              <w:rPr>
                <w:b/>
                <w:sz w:val="20"/>
                <w:szCs w:val="20"/>
                <w:highlight w:val="yellow"/>
              </w:rPr>
              <w:t xml:space="preserve">) </w:t>
            </w:r>
            <w:r w:rsidR="00BF7F2B" w:rsidRPr="001C140D">
              <w:rPr>
                <w:b/>
                <w:sz w:val="20"/>
                <w:szCs w:val="20"/>
                <w:highlight w:val="yellow"/>
              </w:rPr>
              <w:t>by 11:59pm</w:t>
            </w:r>
          </w:p>
        </w:tc>
      </w:tr>
      <w:tr w:rsidR="00BA4747" w:rsidRPr="00FE434A" w14:paraId="61F1DDC7" w14:textId="77777777" w:rsidTr="004B740E">
        <w:tc>
          <w:tcPr>
            <w:tcW w:w="985" w:type="dxa"/>
          </w:tcPr>
          <w:p w14:paraId="51FA6DF4" w14:textId="13182FFE" w:rsidR="00BA4747" w:rsidRDefault="00BA4747" w:rsidP="00A732A7">
            <w:pPr>
              <w:rPr>
                <w:sz w:val="20"/>
                <w:szCs w:val="20"/>
              </w:rPr>
            </w:pPr>
            <w:r>
              <w:rPr>
                <w:sz w:val="20"/>
                <w:szCs w:val="20"/>
              </w:rPr>
              <w:lastRenderedPageBreak/>
              <w:t>Week 9</w:t>
            </w:r>
          </w:p>
          <w:p w14:paraId="21F5DEFE" w14:textId="6EC232F1" w:rsidR="00911E4A" w:rsidRDefault="00A4034E" w:rsidP="00A732A7">
            <w:pPr>
              <w:rPr>
                <w:sz w:val="20"/>
                <w:szCs w:val="20"/>
              </w:rPr>
            </w:pPr>
            <w:r>
              <w:rPr>
                <w:sz w:val="20"/>
                <w:szCs w:val="20"/>
              </w:rPr>
              <w:t>10/10</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1D856E68" w14:textId="14565E7B" w:rsidR="00BA4747" w:rsidRDefault="00BA4747" w:rsidP="00A732A7">
            <w:pPr>
              <w:rPr>
                <w:sz w:val="20"/>
                <w:szCs w:val="20"/>
              </w:rPr>
            </w:pPr>
            <w:r>
              <w:rPr>
                <w:sz w:val="20"/>
                <w:szCs w:val="20"/>
              </w:rPr>
              <w:t xml:space="preserve">Chapter 7 Quiz due by </w:t>
            </w:r>
            <w:r w:rsidR="00BF7F2B" w:rsidRPr="001C140D">
              <w:rPr>
                <w:b/>
                <w:sz w:val="20"/>
                <w:szCs w:val="20"/>
                <w:highlight w:val="yellow"/>
              </w:rPr>
              <w:t xml:space="preserve">Sunday </w:t>
            </w:r>
            <w:r w:rsidR="00BF7F2B">
              <w:rPr>
                <w:b/>
                <w:sz w:val="20"/>
                <w:szCs w:val="20"/>
                <w:highlight w:val="yellow"/>
              </w:rPr>
              <w:t>(10/9</w:t>
            </w:r>
            <w:r w:rsidR="00BF7F2B">
              <w:rPr>
                <w:b/>
                <w:sz w:val="20"/>
                <w:szCs w:val="20"/>
                <w:highlight w:val="yellow"/>
              </w:rPr>
              <w:t xml:space="preserve">) </w:t>
            </w:r>
            <w:r w:rsidR="00BF7F2B" w:rsidRPr="001C140D">
              <w:rPr>
                <w:b/>
                <w:sz w:val="20"/>
                <w:szCs w:val="20"/>
                <w:highlight w:val="yellow"/>
              </w:rPr>
              <w:t>by 11:59pm</w:t>
            </w:r>
          </w:p>
          <w:p w14:paraId="6A7CE984" w14:textId="77777777" w:rsidR="00BA4747" w:rsidRDefault="00BA4747" w:rsidP="00A732A7">
            <w:pPr>
              <w:rPr>
                <w:sz w:val="20"/>
                <w:szCs w:val="20"/>
              </w:rPr>
            </w:pPr>
          </w:p>
          <w:p w14:paraId="50AB8873" w14:textId="0CBF6BA1" w:rsidR="00BA4747" w:rsidRPr="00FE434A" w:rsidRDefault="00BA4747" w:rsidP="00A732A7">
            <w:pPr>
              <w:rPr>
                <w:sz w:val="20"/>
                <w:szCs w:val="20"/>
              </w:rPr>
            </w:pPr>
            <w:r>
              <w:rPr>
                <w:sz w:val="20"/>
                <w:szCs w:val="20"/>
              </w:rPr>
              <w:t xml:space="preserve">Chapter 8 Quiz due by </w:t>
            </w:r>
            <w:r w:rsidR="00895F0F" w:rsidRPr="00895F0F">
              <w:rPr>
                <w:sz w:val="20"/>
                <w:szCs w:val="20"/>
                <w:highlight w:val="yellow"/>
              </w:rPr>
              <w:t>Exam 2</w:t>
            </w:r>
          </w:p>
        </w:tc>
      </w:tr>
      <w:tr w:rsidR="00BA4747" w:rsidRPr="00FE434A" w14:paraId="374C9CAF" w14:textId="77777777" w:rsidTr="004B740E">
        <w:tc>
          <w:tcPr>
            <w:tcW w:w="985" w:type="dxa"/>
          </w:tcPr>
          <w:p w14:paraId="42179849" w14:textId="6682743F" w:rsidR="00BA4747" w:rsidRDefault="00BA4747" w:rsidP="00A732A7">
            <w:pPr>
              <w:rPr>
                <w:sz w:val="20"/>
                <w:szCs w:val="20"/>
              </w:rPr>
            </w:pPr>
            <w:r>
              <w:rPr>
                <w:sz w:val="20"/>
                <w:szCs w:val="20"/>
              </w:rPr>
              <w:t>Week 10</w:t>
            </w:r>
          </w:p>
          <w:p w14:paraId="35B27B9D" w14:textId="00249948" w:rsidR="00911E4A" w:rsidRDefault="00A4034E" w:rsidP="00A732A7">
            <w:pPr>
              <w:rPr>
                <w:sz w:val="20"/>
                <w:szCs w:val="20"/>
              </w:rPr>
            </w:pPr>
            <w:r>
              <w:rPr>
                <w:sz w:val="20"/>
                <w:szCs w:val="20"/>
              </w:rPr>
              <w:t>10/17</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6173357B" w:rsidR="00BA4747" w:rsidRDefault="00BA4747" w:rsidP="00A732A7">
            <w:pPr>
              <w:rPr>
                <w:sz w:val="20"/>
                <w:szCs w:val="20"/>
              </w:rPr>
            </w:pPr>
            <w:r>
              <w:rPr>
                <w:sz w:val="20"/>
                <w:szCs w:val="20"/>
              </w:rPr>
              <w:t xml:space="preserve">(Chapters </w:t>
            </w:r>
            <w:r w:rsidR="00C24BC8">
              <w:rPr>
                <w:sz w:val="20"/>
                <w:szCs w:val="20"/>
              </w:rPr>
              <w:t xml:space="preserve">12, </w:t>
            </w:r>
            <w:r w:rsidR="00EC3F73">
              <w:rPr>
                <w:sz w:val="20"/>
                <w:szCs w:val="20"/>
              </w:rPr>
              <w:t>6</w:t>
            </w:r>
            <w:r>
              <w:rPr>
                <w:sz w:val="20"/>
                <w:szCs w:val="20"/>
              </w:rPr>
              <w:t>-8)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4B740E">
        <w:tc>
          <w:tcPr>
            <w:tcW w:w="985" w:type="dxa"/>
          </w:tcPr>
          <w:p w14:paraId="2ACF46A8" w14:textId="3DFE032F" w:rsidR="00BA4747" w:rsidRDefault="00BA4747" w:rsidP="00A732A7">
            <w:pPr>
              <w:rPr>
                <w:sz w:val="20"/>
                <w:szCs w:val="20"/>
              </w:rPr>
            </w:pPr>
            <w:r>
              <w:rPr>
                <w:sz w:val="20"/>
                <w:szCs w:val="20"/>
              </w:rPr>
              <w:t>Week 11</w:t>
            </w:r>
          </w:p>
          <w:p w14:paraId="54CCF2D9" w14:textId="5AEB689A" w:rsidR="00911E4A" w:rsidRDefault="00A4034E" w:rsidP="00A732A7">
            <w:pPr>
              <w:rPr>
                <w:sz w:val="20"/>
                <w:szCs w:val="20"/>
              </w:rPr>
            </w:pPr>
            <w:r>
              <w:rPr>
                <w:sz w:val="20"/>
                <w:szCs w:val="20"/>
              </w:rPr>
              <w:t>10/24</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2C48EF69" w:rsidR="00BA4747" w:rsidRDefault="00BA4747" w:rsidP="00A732A7">
            <w:pPr>
              <w:rPr>
                <w:sz w:val="20"/>
                <w:szCs w:val="20"/>
              </w:rPr>
            </w:pPr>
            <w:r>
              <w:rPr>
                <w:sz w:val="20"/>
                <w:szCs w:val="20"/>
              </w:rPr>
              <w:t>Week 12</w:t>
            </w:r>
          </w:p>
          <w:p w14:paraId="051551E9" w14:textId="299523FE" w:rsidR="00911E4A" w:rsidRDefault="00A4034E" w:rsidP="00A732A7">
            <w:pPr>
              <w:rPr>
                <w:sz w:val="20"/>
                <w:szCs w:val="20"/>
              </w:rPr>
            </w:pPr>
            <w:r>
              <w:rPr>
                <w:sz w:val="20"/>
                <w:szCs w:val="20"/>
              </w:rPr>
              <w:t>10/31</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lastRenderedPageBreak/>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lastRenderedPageBreak/>
              <w:t>Chapter 10 (all)</w:t>
            </w:r>
          </w:p>
        </w:tc>
        <w:tc>
          <w:tcPr>
            <w:tcW w:w="2160" w:type="dxa"/>
          </w:tcPr>
          <w:p w14:paraId="419F696F" w14:textId="143738D3" w:rsidR="00BA4747" w:rsidRPr="00FE434A" w:rsidRDefault="00BA4747" w:rsidP="00A732A7">
            <w:pPr>
              <w:rPr>
                <w:sz w:val="20"/>
                <w:szCs w:val="20"/>
              </w:rPr>
            </w:pPr>
            <w:r>
              <w:rPr>
                <w:sz w:val="20"/>
                <w:szCs w:val="20"/>
              </w:rPr>
              <w:t xml:space="preserve">Chapter 9 Quiz due by </w:t>
            </w:r>
            <w:r w:rsidR="00BF7F2B" w:rsidRPr="001C140D">
              <w:rPr>
                <w:b/>
                <w:sz w:val="20"/>
                <w:szCs w:val="20"/>
                <w:highlight w:val="yellow"/>
              </w:rPr>
              <w:t xml:space="preserve">Sunday </w:t>
            </w:r>
            <w:r w:rsidR="00BF7F2B">
              <w:rPr>
                <w:b/>
                <w:sz w:val="20"/>
                <w:szCs w:val="20"/>
                <w:highlight w:val="yellow"/>
              </w:rPr>
              <w:t>(10/30</w:t>
            </w:r>
            <w:r w:rsidR="00BF7F2B">
              <w:rPr>
                <w:b/>
                <w:sz w:val="20"/>
                <w:szCs w:val="20"/>
                <w:highlight w:val="yellow"/>
              </w:rPr>
              <w:t xml:space="preserve">) </w:t>
            </w:r>
            <w:r w:rsidR="00BF7F2B" w:rsidRPr="001C140D">
              <w:rPr>
                <w:b/>
                <w:sz w:val="20"/>
                <w:szCs w:val="20"/>
                <w:highlight w:val="yellow"/>
              </w:rPr>
              <w:t>by 11:59pm</w:t>
            </w:r>
          </w:p>
        </w:tc>
      </w:tr>
      <w:tr w:rsidR="00BA4747" w:rsidRPr="00FE434A" w14:paraId="26FF9DD2" w14:textId="77777777" w:rsidTr="004B740E">
        <w:tc>
          <w:tcPr>
            <w:tcW w:w="985" w:type="dxa"/>
          </w:tcPr>
          <w:p w14:paraId="08CF1963" w14:textId="0786B71F" w:rsidR="00BA4747" w:rsidRDefault="00BA4747" w:rsidP="00A732A7">
            <w:pPr>
              <w:rPr>
                <w:sz w:val="20"/>
                <w:szCs w:val="20"/>
              </w:rPr>
            </w:pPr>
            <w:r>
              <w:rPr>
                <w:sz w:val="20"/>
                <w:szCs w:val="20"/>
              </w:rPr>
              <w:t>Week 13</w:t>
            </w:r>
          </w:p>
          <w:p w14:paraId="562BD948" w14:textId="53AD9DB5" w:rsidR="00911E4A" w:rsidRDefault="00A4034E" w:rsidP="00A732A7">
            <w:pPr>
              <w:rPr>
                <w:sz w:val="20"/>
                <w:szCs w:val="20"/>
              </w:rPr>
            </w:pPr>
            <w:r>
              <w:rPr>
                <w:sz w:val="20"/>
                <w:szCs w:val="20"/>
              </w:rPr>
              <w:t>11/7</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4DA4ED00" w:rsidR="00BA4747" w:rsidRPr="00FE434A" w:rsidRDefault="00BA4747" w:rsidP="00A732A7">
            <w:pPr>
              <w:rPr>
                <w:sz w:val="20"/>
                <w:szCs w:val="20"/>
              </w:rPr>
            </w:pPr>
            <w:r>
              <w:rPr>
                <w:sz w:val="20"/>
                <w:szCs w:val="20"/>
              </w:rPr>
              <w:t xml:space="preserve">Chapter 10 Quiz due by </w:t>
            </w:r>
            <w:r w:rsidR="00BF7F2B" w:rsidRPr="001C140D">
              <w:rPr>
                <w:b/>
                <w:sz w:val="20"/>
                <w:szCs w:val="20"/>
                <w:highlight w:val="yellow"/>
              </w:rPr>
              <w:t xml:space="preserve">Sunday </w:t>
            </w:r>
            <w:r w:rsidR="00BF7F2B">
              <w:rPr>
                <w:b/>
                <w:sz w:val="20"/>
                <w:szCs w:val="20"/>
                <w:highlight w:val="yellow"/>
              </w:rPr>
              <w:t>(11/6</w:t>
            </w:r>
            <w:r w:rsidR="00BF7F2B">
              <w:rPr>
                <w:b/>
                <w:sz w:val="20"/>
                <w:szCs w:val="20"/>
                <w:highlight w:val="yellow"/>
              </w:rPr>
              <w:t xml:space="preserve">) </w:t>
            </w:r>
            <w:r w:rsidR="00BF7F2B" w:rsidRPr="001C140D">
              <w:rPr>
                <w:b/>
                <w:sz w:val="20"/>
                <w:szCs w:val="20"/>
                <w:highlight w:val="yellow"/>
              </w:rPr>
              <w:t>by 11:59pm</w:t>
            </w:r>
          </w:p>
        </w:tc>
      </w:tr>
      <w:tr w:rsidR="00BA4747" w:rsidRPr="00FE434A" w14:paraId="5152F800" w14:textId="77777777" w:rsidTr="004B740E">
        <w:tc>
          <w:tcPr>
            <w:tcW w:w="985" w:type="dxa"/>
          </w:tcPr>
          <w:p w14:paraId="54207DEA" w14:textId="16B987F3" w:rsidR="00BA4747" w:rsidRDefault="00BA4747" w:rsidP="00A732A7">
            <w:pPr>
              <w:rPr>
                <w:sz w:val="20"/>
                <w:szCs w:val="20"/>
              </w:rPr>
            </w:pPr>
            <w:r>
              <w:rPr>
                <w:sz w:val="20"/>
                <w:szCs w:val="20"/>
              </w:rPr>
              <w:t>Week 14</w:t>
            </w:r>
          </w:p>
          <w:p w14:paraId="66A12155" w14:textId="5967B770" w:rsidR="00911E4A" w:rsidRDefault="00A4034E" w:rsidP="00A732A7">
            <w:pPr>
              <w:rPr>
                <w:sz w:val="20"/>
                <w:szCs w:val="20"/>
              </w:rPr>
            </w:pPr>
            <w:r>
              <w:rPr>
                <w:sz w:val="20"/>
                <w:szCs w:val="20"/>
              </w:rPr>
              <w:t>11/14</w:t>
            </w:r>
          </w:p>
          <w:p w14:paraId="7AF52265" w14:textId="29356D4F" w:rsidR="00A4034E" w:rsidRDefault="00A4034E" w:rsidP="00A732A7">
            <w:pPr>
              <w:rPr>
                <w:sz w:val="20"/>
                <w:szCs w:val="20"/>
              </w:rPr>
            </w:pPr>
          </w:p>
          <w:p w14:paraId="01AF49D8" w14:textId="1CF72290" w:rsidR="00A4034E" w:rsidRDefault="00A4034E" w:rsidP="00A732A7">
            <w:pPr>
              <w:rPr>
                <w:sz w:val="20"/>
                <w:szCs w:val="20"/>
              </w:rPr>
            </w:pPr>
            <w:r>
              <w:rPr>
                <w:sz w:val="20"/>
                <w:szCs w:val="20"/>
              </w:rPr>
              <w:t>(11/21-11/25 – Break)</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450B91B5" w14:textId="77777777" w:rsidR="00EC3F73" w:rsidRDefault="00EC3F73" w:rsidP="00EC3F73">
            <w:pPr>
              <w:rPr>
                <w:sz w:val="20"/>
                <w:szCs w:val="20"/>
              </w:rPr>
            </w:pPr>
            <w:r w:rsidRPr="00B75FD9">
              <w:rPr>
                <w:b/>
                <w:bCs/>
                <w:sz w:val="20"/>
                <w:szCs w:val="20"/>
              </w:rPr>
              <w:t>Chapter 5</w:t>
            </w:r>
            <w:r>
              <w:rPr>
                <w:sz w:val="20"/>
                <w:szCs w:val="20"/>
              </w:rPr>
              <w:t xml:space="preserve"> – Planning Instruction by Analyzing Classroom and Student Needs</w:t>
            </w:r>
          </w:p>
          <w:p w14:paraId="67E1B5E0" w14:textId="77777777" w:rsidR="00EC3F73" w:rsidRDefault="00EC3F73" w:rsidP="00EC3F73">
            <w:pPr>
              <w:rPr>
                <w:sz w:val="20"/>
                <w:szCs w:val="20"/>
              </w:rPr>
            </w:pPr>
          </w:p>
          <w:p w14:paraId="590B4C82" w14:textId="77777777" w:rsidR="00EC3F73" w:rsidRDefault="00EC3F73" w:rsidP="00EC3F73">
            <w:pPr>
              <w:rPr>
                <w:i/>
                <w:sz w:val="20"/>
                <w:szCs w:val="20"/>
              </w:rPr>
            </w:pPr>
            <w:r>
              <w:rPr>
                <w:i/>
                <w:sz w:val="20"/>
                <w:szCs w:val="20"/>
                <w:u w:val="single"/>
              </w:rPr>
              <w:t xml:space="preserve">Learning Outcomes: </w:t>
            </w:r>
          </w:p>
          <w:p w14:paraId="2182F3EA" w14:textId="77777777" w:rsidR="00EC3F73" w:rsidRDefault="00EC3F73" w:rsidP="00EC3F73">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7D425EF" w14:textId="77777777" w:rsidR="00EC3F73" w:rsidRDefault="00EC3F73" w:rsidP="00EC3F73">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60C01811" w14:textId="77777777" w:rsidR="00EC3F73" w:rsidRDefault="00EC3F73" w:rsidP="00EC3F73">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446820A3" w14:textId="77777777" w:rsidR="00EC3F73" w:rsidRPr="00047F83" w:rsidRDefault="00EC3F73" w:rsidP="00EC3F73">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026986E9" w14:textId="363CCC69" w:rsidR="00BA4747" w:rsidRPr="00EC3F73" w:rsidRDefault="00BA4747" w:rsidP="00EC3F73">
            <w:pPr>
              <w:rPr>
                <w:sz w:val="20"/>
                <w:szCs w:val="20"/>
              </w:rPr>
            </w:pPr>
          </w:p>
        </w:tc>
        <w:tc>
          <w:tcPr>
            <w:tcW w:w="2250" w:type="dxa"/>
          </w:tcPr>
          <w:p w14:paraId="25695AF5" w14:textId="6EA0C5E8" w:rsidR="00BA4747" w:rsidRPr="00FE434A" w:rsidRDefault="00BA4747" w:rsidP="00EC3F73">
            <w:pPr>
              <w:rPr>
                <w:sz w:val="20"/>
                <w:szCs w:val="20"/>
              </w:rPr>
            </w:pPr>
            <w:r>
              <w:rPr>
                <w:sz w:val="20"/>
                <w:szCs w:val="20"/>
              </w:rPr>
              <w:t xml:space="preserve">Chapter </w:t>
            </w:r>
            <w:r w:rsidR="00EC3F73">
              <w:rPr>
                <w:sz w:val="20"/>
                <w:szCs w:val="20"/>
              </w:rPr>
              <w:t>5</w:t>
            </w:r>
            <w:r>
              <w:rPr>
                <w:sz w:val="20"/>
                <w:szCs w:val="20"/>
              </w:rPr>
              <w:t xml:space="preserve"> (all)</w:t>
            </w:r>
          </w:p>
        </w:tc>
        <w:tc>
          <w:tcPr>
            <w:tcW w:w="2160" w:type="dxa"/>
          </w:tcPr>
          <w:p w14:paraId="6CC1C492" w14:textId="149B318E" w:rsidR="00BA4747" w:rsidRDefault="00BA4747" w:rsidP="00A732A7">
            <w:pPr>
              <w:rPr>
                <w:sz w:val="20"/>
                <w:szCs w:val="20"/>
              </w:rPr>
            </w:pPr>
            <w:r>
              <w:rPr>
                <w:sz w:val="20"/>
                <w:szCs w:val="20"/>
              </w:rPr>
              <w:t xml:space="preserve">Chapter 11 Quiz due by </w:t>
            </w:r>
            <w:r w:rsidR="00BF7F2B" w:rsidRPr="001C140D">
              <w:rPr>
                <w:b/>
                <w:sz w:val="20"/>
                <w:szCs w:val="20"/>
                <w:highlight w:val="yellow"/>
              </w:rPr>
              <w:t xml:space="preserve">Sunday </w:t>
            </w:r>
            <w:r w:rsidR="00BF7F2B">
              <w:rPr>
                <w:b/>
                <w:sz w:val="20"/>
                <w:szCs w:val="20"/>
                <w:highlight w:val="yellow"/>
              </w:rPr>
              <w:t>(11/13</w:t>
            </w:r>
            <w:bookmarkStart w:id="0" w:name="_GoBack"/>
            <w:bookmarkEnd w:id="0"/>
            <w:r w:rsidR="00BF7F2B">
              <w:rPr>
                <w:b/>
                <w:sz w:val="20"/>
                <w:szCs w:val="20"/>
                <w:highlight w:val="yellow"/>
              </w:rPr>
              <w:t xml:space="preserve">) </w:t>
            </w:r>
            <w:r w:rsidR="00BF7F2B" w:rsidRPr="001C140D">
              <w:rPr>
                <w:b/>
                <w:sz w:val="20"/>
                <w:szCs w:val="20"/>
                <w:highlight w:val="yellow"/>
              </w:rPr>
              <w:t>by 11:59pm</w:t>
            </w:r>
          </w:p>
          <w:p w14:paraId="51E1FE90" w14:textId="77777777" w:rsidR="00BA4747" w:rsidRDefault="00BA4747" w:rsidP="00A732A7">
            <w:pPr>
              <w:rPr>
                <w:sz w:val="20"/>
                <w:szCs w:val="20"/>
              </w:rPr>
            </w:pPr>
          </w:p>
          <w:p w14:paraId="636C1F6D" w14:textId="7A428968" w:rsidR="00BA4747" w:rsidRPr="00FE434A" w:rsidRDefault="00BA4747" w:rsidP="00C24BC8">
            <w:pPr>
              <w:rPr>
                <w:sz w:val="20"/>
                <w:szCs w:val="20"/>
              </w:rPr>
            </w:pPr>
            <w:r>
              <w:rPr>
                <w:sz w:val="20"/>
                <w:szCs w:val="20"/>
              </w:rPr>
              <w:t xml:space="preserve">Chapter </w:t>
            </w:r>
            <w:r w:rsidR="00C24BC8">
              <w:rPr>
                <w:sz w:val="20"/>
                <w:szCs w:val="20"/>
              </w:rPr>
              <w:t>5</w:t>
            </w:r>
            <w:r>
              <w:rPr>
                <w:sz w:val="20"/>
                <w:szCs w:val="20"/>
              </w:rPr>
              <w:t xml:space="preserve"> Quiz due by </w:t>
            </w:r>
            <w:r w:rsidR="00DD1948" w:rsidRPr="00DD1948">
              <w:rPr>
                <w:sz w:val="20"/>
                <w:szCs w:val="20"/>
                <w:highlight w:val="yellow"/>
              </w:rPr>
              <w:t>Exam 3</w:t>
            </w:r>
          </w:p>
        </w:tc>
      </w:tr>
      <w:tr w:rsidR="00BA4747" w:rsidRPr="00FE434A" w14:paraId="2AF44917" w14:textId="77777777" w:rsidTr="004B740E">
        <w:tc>
          <w:tcPr>
            <w:tcW w:w="985" w:type="dxa"/>
          </w:tcPr>
          <w:p w14:paraId="4E31CE18" w14:textId="6D38163B" w:rsidR="00BA4747" w:rsidRDefault="00BA4747" w:rsidP="00A732A7">
            <w:pPr>
              <w:rPr>
                <w:sz w:val="20"/>
                <w:szCs w:val="20"/>
              </w:rPr>
            </w:pPr>
            <w:r>
              <w:rPr>
                <w:sz w:val="20"/>
                <w:szCs w:val="20"/>
              </w:rPr>
              <w:t>Week 15</w:t>
            </w:r>
          </w:p>
          <w:p w14:paraId="1BB9CB4C" w14:textId="71C77E09" w:rsidR="00911E4A" w:rsidRDefault="00A4034E" w:rsidP="00A732A7">
            <w:pPr>
              <w:rPr>
                <w:sz w:val="20"/>
                <w:szCs w:val="20"/>
              </w:rPr>
            </w:pPr>
            <w:r>
              <w:rPr>
                <w:sz w:val="20"/>
                <w:szCs w:val="20"/>
              </w:rPr>
              <w:t>11/28</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4E782205" w:rsidR="00BA4747" w:rsidRDefault="00BA4747" w:rsidP="00A732A7">
            <w:pPr>
              <w:rPr>
                <w:sz w:val="20"/>
                <w:szCs w:val="20"/>
              </w:rPr>
            </w:pPr>
            <w:r>
              <w:rPr>
                <w:sz w:val="20"/>
                <w:szCs w:val="20"/>
              </w:rPr>
              <w:t>Exam 3</w:t>
            </w:r>
          </w:p>
          <w:p w14:paraId="0C9B5BC7" w14:textId="78FDB0B9" w:rsidR="00BA4747" w:rsidRDefault="00EC3F73" w:rsidP="00A732A7">
            <w:pPr>
              <w:rPr>
                <w:sz w:val="20"/>
                <w:szCs w:val="20"/>
              </w:rPr>
            </w:pPr>
            <w:r>
              <w:rPr>
                <w:sz w:val="20"/>
                <w:szCs w:val="20"/>
              </w:rPr>
              <w:t>(Chapters 5, 9-11</w:t>
            </w:r>
            <w:r w:rsidR="00BA4747">
              <w:rPr>
                <w:sz w:val="20"/>
                <w:szCs w:val="20"/>
              </w:rPr>
              <w:t>)</w:t>
            </w:r>
          </w:p>
        </w:tc>
        <w:tc>
          <w:tcPr>
            <w:tcW w:w="2250" w:type="dxa"/>
          </w:tcPr>
          <w:p w14:paraId="3F1CAB8C" w14:textId="77777777" w:rsidR="00BA4747" w:rsidRPr="00FE434A" w:rsidRDefault="00BA4747" w:rsidP="00A732A7">
            <w:pPr>
              <w:rPr>
                <w:sz w:val="20"/>
                <w:szCs w:val="20"/>
              </w:rPr>
            </w:pPr>
          </w:p>
        </w:tc>
        <w:tc>
          <w:tcPr>
            <w:tcW w:w="2160" w:type="dxa"/>
          </w:tcPr>
          <w:p w14:paraId="49EDF3EC" w14:textId="77777777" w:rsidR="00BA4747" w:rsidRPr="00FE434A" w:rsidRDefault="00BA4747" w:rsidP="00A732A7">
            <w:pPr>
              <w:rPr>
                <w:sz w:val="20"/>
                <w:szCs w:val="20"/>
              </w:rPr>
            </w:pP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Pr>
          <w:rFonts w:cs="Tahoma"/>
          <w:b/>
          <w:highlight w:val="yellow"/>
        </w:rPr>
        <w:t>Asynchronous</w:t>
      </w:r>
      <w:r w:rsidR="00636F4C" w:rsidRPr="000E01D0">
        <w:rPr>
          <w:rFonts w:cs="Tahoma"/>
          <w:b/>
          <w:highlight w:val="yellow"/>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053C04" w:rsidRPr="003F7922">
        <w:rPr>
          <w:rFonts w:cs="Tahoma"/>
          <w:bCs/>
        </w:rPr>
        <w:t xml:space="preserve">If you have </w:t>
      </w:r>
      <w:r w:rsidR="00053C04">
        <w:rPr>
          <w:rFonts w:cs="Tahoma"/>
          <w:bCs/>
        </w:rPr>
        <w:t>an excused absence that covers a week or more of class, please contact the instructor directly to make arrangements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determined by the instructor and will need to be done within ONE week (5 work days)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w:t>
      </w:r>
      <w:r w:rsidRPr="009372CB">
        <w:rPr>
          <w:rFonts w:cs="Verdana"/>
        </w:rPr>
        <w:lastRenderedPageBreak/>
        <w:t>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Provost, a failing grade on the assignment, and the recommendation to the Provost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w:t>
      </w:r>
      <w:proofErr w:type="spellStart"/>
      <w:r w:rsidRPr="0079640C">
        <w:t>Honorlock</w:t>
      </w:r>
      <w:proofErr w:type="spellEnd"/>
      <w:r w:rsidRPr="0079640C">
        <w:t xml:space="preserve"> enabled to prevent cheating. </w:t>
      </w:r>
      <w:proofErr w:type="spellStart"/>
      <w:r>
        <w:t>Honorlock</w:t>
      </w:r>
      <w:proofErr w:type="spellEnd"/>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proofErr w:type="gramStart"/>
      <w:r w:rsidRPr="0079640C">
        <w:t>websites</w:t>
      </w:r>
      <w:proofErr w:type="gramEnd"/>
      <w:r w:rsidRPr="0079640C">
        <w:t xml:space="preserve"> during assessments in order to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proofErr w:type="spellStart"/>
      <w:r>
        <w:t>Honorlock</w:t>
      </w:r>
      <w:proofErr w:type="spellEnd"/>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proofErr w:type="spellStart"/>
      <w:r w:rsidR="006F6082" w:rsidRPr="0079640C">
        <w:t>Honorlock</w:t>
      </w:r>
      <w:proofErr w:type="spellEnd"/>
      <w:r w:rsidR="006F6082" w:rsidRPr="0079640C">
        <w:t xml:space="preserve"> for online proctoring does not allow </w:t>
      </w:r>
      <w:proofErr w:type="spellStart"/>
      <w:r w:rsidR="006F6082" w:rsidRPr="0079640C">
        <w:t>Honorlock</w:t>
      </w:r>
      <w:proofErr w:type="spellEnd"/>
      <w:r w:rsidR="006F6082" w:rsidRPr="0079640C">
        <w:t xml:space="preserve"> to sell student information to third</w:t>
      </w:r>
      <w:r>
        <w:t xml:space="preserve"> </w:t>
      </w:r>
      <w:r w:rsidR="006F6082" w:rsidRPr="0079640C">
        <w:t xml:space="preserve">parties and </w:t>
      </w:r>
      <w:proofErr w:type="spellStart"/>
      <w:r w:rsidR="006F6082" w:rsidRPr="0079640C">
        <w:t>Honorlock</w:t>
      </w:r>
      <w:proofErr w:type="spellEnd"/>
      <w:r w:rsidR="006F6082" w:rsidRPr="0079640C">
        <w:t xml:space="preserve"> is bound to all of the protections supplied by FERPA (the Family</w:t>
      </w:r>
      <w:r>
        <w:t xml:space="preserve"> </w:t>
      </w:r>
      <w:r w:rsidR="006F6082" w:rsidRPr="0079640C">
        <w:t>Educational Rights and Privacy Act). All data, including photos and video, is stored in an</w:t>
      </w:r>
      <w:r>
        <w:t xml:space="preserve"> </w:t>
      </w:r>
      <w:r w:rsidR="006F6082" w:rsidRPr="0079640C">
        <w:t xml:space="preserve">encrypted format on isolated storage systems within </w:t>
      </w:r>
      <w:proofErr w:type="spellStart"/>
      <w:r w:rsidR="006F6082" w:rsidRPr="0079640C">
        <w:t>Honorlock’s</w:t>
      </w:r>
      <w:proofErr w:type="spellEnd"/>
      <w:r w:rsidR="006F6082" w:rsidRPr="0079640C">
        <w:t xml:space="preserve"> private cloud in Amazon’s AWS</w:t>
      </w:r>
      <w:r>
        <w:t xml:space="preserve"> </w:t>
      </w:r>
      <w:r w:rsidR="006F6082" w:rsidRPr="0079640C">
        <w:t>U.S. data centers</w:t>
      </w:r>
      <w:r>
        <w:t xml:space="preserve">. </w:t>
      </w:r>
      <w:r w:rsidR="006F6082" w:rsidRPr="0079640C">
        <w:t xml:space="preserve">They are SOC 2 Type 1, U.S. Privacy Shield and GDPR compliant. </w:t>
      </w:r>
      <w:proofErr w:type="spellStart"/>
      <w:r w:rsidR="006F6082" w:rsidRPr="0079640C">
        <w:t>Honorlock</w:t>
      </w:r>
      <w:proofErr w:type="spellEnd"/>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 xml:space="preserve">the university, </w:t>
      </w:r>
      <w:proofErr w:type="spellStart"/>
      <w:r w:rsidR="006F6082" w:rsidRPr="0079640C">
        <w:t>Honorlock</w:t>
      </w:r>
      <w:proofErr w:type="spellEnd"/>
      <w:r w:rsidR="006F6082" w:rsidRPr="0079640C">
        <w:t xml:space="preserve">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6F3C065F" w14:textId="77777777" w:rsidR="00C56736" w:rsidRPr="0018076A"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(2)(b)2.(</w:t>
            </w:r>
            <w:proofErr w:type="spellStart"/>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w:t>
            </w:r>
            <w:proofErr w:type="spellStart"/>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(2)(j)2.(</w:t>
            </w:r>
            <w:proofErr w:type="spellStart"/>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3"/>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13CA" w14:textId="77777777" w:rsidR="00D83586" w:rsidRDefault="00D83586" w:rsidP="001D1883">
      <w:r>
        <w:separator/>
      </w:r>
    </w:p>
  </w:endnote>
  <w:endnote w:type="continuationSeparator" w:id="0">
    <w:p w14:paraId="69A08B5B" w14:textId="77777777" w:rsidR="00D83586" w:rsidRDefault="00D83586"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1557" w14:textId="0BEABA53"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BF7F2B">
      <w:rPr>
        <w:noProof/>
        <w:sz w:val="20"/>
        <w:szCs w:val="20"/>
      </w:rPr>
      <w:t>11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BF7F2B">
      <w:rPr>
        <w:noProof/>
        <w:sz w:val="20"/>
        <w:szCs w:val="20"/>
      </w:rPr>
      <w:t>11</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C8C4E" w14:textId="77777777" w:rsidR="00D83586" w:rsidRDefault="00D83586" w:rsidP="001D1883">
      <w:r>
        <w:separator/>
      </w:r>
    </w:p>
  </w:footnote>
  <w:footnote w:type="continuationSeparator" w:id="0">
    <w:p w14:paraId="13813A6B" w14:textId="77777777" w:rsidR="00D83586" w:rsidRDefault="00D83586"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12"/>
  </w:num>
  <w:num w:numId="5">
    <w:abstractNumId w:val="9"/>
  </w:num>
  <w:num w:numId="6">
    <w:abstractNumId w:val="11"/>
  </w:num>
  <w:num w:numId="7">
    <w:abstractNumId w:val="1"/>
  </w:num>
  <w:num w:numId="8">
    <w:abstractNumId w:val="13"/>
  </w:num>
  <w:num w:numId="9">
    <w:abstractNumId w:val="2"/>
  </w:num>
  <w:num w:numId="10">
    <w:abstractNumId w:val="0"/>
  </w:num>
  <w:num w:numId="11">
    <w:abstractNumId w:val="10"/>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4A"/>
    <w:rsid w:val="00007DDF"/>
    <w:rsid w:val="0003429D"/>
    <w:rsid w:val="00047F83"/>
    <w:rsid w:val="00053C04"/>
    <w:rsid w:val="00063E35"/>
    <w:rsid w:val="00071F42"/>
    <w:rsid w:val="000832FC"/>
    <w:rsid w:val="000B32EC"/>
    <w:rsid w:val="000E01D0"/>
    <w:rsid w:val="000F3A16"/>
    <w:rsid w:val="000F45DC"/>
    <w:rsid w:val="00102257"/>
    <w:rsid w:val="00102456"/>
    <w:rsid w:val="00146095"/>
    <w:rsid w:val="00155790"/>
    <w:rsid w:val="00182FF8"/>
    <w:rsid w:val="001968E1"/>
    <w:rsid w:val="001C140D"/>
    <w:rsid w:val="001D1883"/>
    <w:rsid w:val="00213A2D"/>
    <w:rsid w:val="0025155F"/>
    <w:rsid w:val="00265888"/>
    <w:rsid w:val="00280A15"/>
    <w:rsid w:val="00295C50"/>
    <w:rsid w:val="002C3BE1"/>
    <w:rsid w:val="002D424B"/>
    <w:rsid w:val="00310F2B"/>
    <w:rsid w:val="003168EC"/>
    <w:rsid w:val="00317CE5"/>
    <w:rsid w:val="00344444"/>
    <w:rsid w:val="00370D2D"/>
    <w:rsid w:val="003E0232"/>
    <w:rsid w:val="004765F8"/>
    <w:rsid w:val="004B740E"/>
    <w:rsid w:val="00510DF0"/>
    <w:rsid w:val="005134E9"/>
    <w:rsid w:val="0051632F"/>
    <w:rsid w:val="0054504A"/>
    <w:rsid w:val="00554E45"/>
    <w:rsid w:val="00574ABC"/>
    <w:rsid w:val="00605615"/>
    <w:rsid w:val="00636F4C"/>
    <w:rsid w:val="00695FC0"/>
    <w:rsid w:val="006C0EB9"/>
    <w:rsid w:val="006C17E1"/>
    <w:rsid w:val="006D16BB"/>
    <w:rsid w:val="006E1F78"/>
    <w:rsid w:val="006F6082"/>
    <w:rsid w:val="00710B4A"/>
    <w:rsid w:val="00777A83"/>
    <w:rsid w:val="007B6391"/>
    <w:rsid w:val="0083438D"/>
    <w:rsid w:val="008665AE"/>
    <w:rsid w:val="00882ABE"/>
    <w:rsid w:val="0089546C"/>
    <w:rsid w:val="00895F0F"/>
    <w:rsid w:val="008A1F0C"/>
    <w:rsid w:val="008B4FA4"/>
    <w:rsid w:val="00911E4A"/>
    <w:rsid w:val="009735BA"/>
    <w:rsid w:val="009B0926"/>
    <w:rsid w:val="009E7EA4"/>
    <w:rsid w:val="00A104AB"/>
    <w:rsid w:val="00A20874"/>
    <w:rsid w:val="00A319AC"/>
    <w:rsid w:val="00A4034E"/>
    <w:rsid w:val="00A6216B"/>
    <w:rsid w:val="00A732A7"/>
    <w:rsid w:val="00AC026A"/>
    <w:rsid w:val="00AF1E68"/>
    <w:rsid w:val="00AF210C"/>
    <w:rsid w:val="00B0606F"/>
    <w:rsid w:val="00B07E49"/>
    <w:rsid w:val="00B221A9"/>
    <w:rsid w:val="00B261CC"/>
    <w:rsid w:val="00B37A33"/>
    <w:rsid w:val="00B74683"/>
    <w:rsid w:val="00B75FD9"/>
    <w:rsid w:val="00BA4747"/>
    <w:rsid w:val="00BD44DA"/>
    <w:rsid w:val="00BF7F2B"/>
    <w:rsid w:val="00C24BC8"/>
    <w:rsid w:val="00C3696F"/>
    <w:rsid w:val="00C56736"/>
    <w:rsid w:val="00C87073"/>
    <w:rsid w:val="00CA5E40"/>
    <w:rsid w:val="00CB2FD8"/>
    <w:rsid w:val="00CF1953"/>
    <w:rsid w:val="00D32179"/>
    <w:rsid w:val="00D82F2D"/>
    <w:rsid w:val="00D83586"/>
    <w:rsid w:val="00DB24A2"/>
    <w:rsid w:val="00DC0A88"/>
    <w:rsid w:val="00DC1C01"/>
    <w:rsid w:val="00DD1948"/>
    <w:rsid w:val="00DD3103"/>
    <w:rsid w:val="00DD7F96"/>
    <w:rsid w:val="00EC3F73"/>
    <w:rsid w:val="00EE12AF"/>
    <w:rsid w:val="00F93552"/>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customStyle="1"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 w:type="paragraph" w:styleId="BalloonText">
    <w:name w:val="Balloon Text"/>
    <w:basedOn w:val="Normal"/>
    <w:link w:val="BalloonTextChar"/>
    <w:uiPriority w:val="99"/>
    <w:semiHidden/>
    <w:unhideWhenUsed/>
    <w:rsid w:val="00071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F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1288</TotalTime>
  <Pages>11</Pages>
  <Words>4202</Words>
  <Characters>23953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Monroe,Callye</cp:lastModifiedBy>
  <cp:revision>8</cp:revision>
  <cp:lastPrinted>2022-08-11T15:32:00Z</cp:lastPrinted>
  <dcterms:created xsi:type="dcterms:W3CDTF">2022-08-11T14:43:00Z</dcterms:created>
  <dcterms:modified xsi:type="dcterms:W3CDTF">2022-08-12T12:27:00Z</dcterms:modified>
</cp:coreProperties>
</file>