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EA" w:rsidRPr="00C3053E" w:rsidRDefault="00D545EA" w:rsidP="00D545EA">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5B416766" wp14:editId="77288ECA">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AB175D">
        <w:rPr>
          <w:b/>
          <w:color w:val="1F4E79" w:themeColor="accent1" w:themeShade="80"/>
          <w:sz w:val="32"/>
        </w:rPr>
        <w:t>CTES 7476</w:t>
      </w:r>
    </w:p>
    <w:p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rsidR="00D545EA" w:rsidRPr="00F87214" w:rsidRDefault="00D545EA" w:rsidP="00D545EA">
      <w:pPr>
        <w:jc w:val="center"/>
        <w:rPr>
          <w:color w:val="538135" w:themeColor="accent6" w:themeShade="BF"/>
        </w:rPr>
      </w:pPr>
    </w:p>
    <w:p w:rsidR="00D545EA" w:rsidRPr="00F16C63" w:rsidRDefault="00D545EA" w:rsidP="00D545EA">
      <w:pPr>
        <w:jc w:val="center"/>
      </w:pPr>
    </w:p>
    <w:p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 Speakers of Other Languages Education</w:t>
      </w:r>
    </w:p>
    <w:p w:rsidR="00D545EA" w:rsidRPr="00BA7217" w:rsidRDefault="00AB175D" w:rsidP="00D545EA">
      <w:pPr>
        <w:rPr>
          <w:rFonts w:ascii="Arial" w:hAnsi="Arial" w:cs="Arial"/>
          <w:color w:val="44546A" w:themeColor="text2"/>
          <w:sz w:val="24"/>
          <w:szCs w:val="24"/>
        </w:rPr>
      </w:pPr>
      <w:r>
        <w:rPr>
          <w:rFonts w:ascii="Arial" w:hAnsi="Arial" w:cs="Arial"/>
          <w:color w:val="44546A" w:themeColor="text2"/>
          <w:sz w:val="24"/>
          <w:szCs w:val="24"/>
        </w:rPr>
        <w:t>Course Number:         CTES 7466</w:t>
      </w:r>
      <w:bookmarkStart w:id="0" w:name="_GoBack"/>
      <w:bookmarkEnd w:id="0"/>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3 hours</w:t>
      </w:r>
    </w:p>
    <w:p w:rsidR="00D545EA" w:rsidRPr="00BA7217" w:rsidRDefault="00276515" w:rsidP="00D545EA">
      <w:pPr>
        <w:rPr>
          <w:rFonts w:ascii="Arial" w:hAnsi="Arial" w:cs="Arial"/>
          <w:color w:val="44546A" w:themeColor="text2"/>
          <w:sz w:val="24"/>
          <w:szCs w:val="24"/>
        </w:rPr>
      </w:pPr>
      <w:r>
        <w:rPr>
          <w:rFonts w:ascii="Arial" w:hAnsi="Arial" w:cs="Arial"/>
          <w:color w:val="44546A" w:themeColor="text2"/>
          <w:sz w:val="24"/>
          <w:szCs w:val="24"/>
        </w:rPr>
        <w:t xml:space="preserve">Semester:   </w:t>
      </w:r>
      <w:r>
        <w:rPr>
          <w:rFonts w:ascii="Arial" w:hAnsi="Arial" w:cs="Arial"/>
          <w:color w:val="44546A" w:themeColor="text2"/>
          <w:sz w:val="24"/>
          <w:szCs w:val="24"/>
        </w:rPr>
        <w:tab/>
      </w:r>
      <w:r>
        <w:rPr>
          <w:rFonts w:ascii="Arial" w:hAnsi="Arial" w:cs="Arial"/>
          <w:color w:val="44546A" w:themeColor="text2"/>
          <w:sz w:val="24"/>
          <w:szCs w:val="24"/>
        </w:rPr>
        <w:tab/>
        <w:t>Spring 2017</w:t>
      </w:r>
      <w:r w:rsidR="00D545EA" w:rsidRPr="00BA7217">
        <w:rPr>
          <w:rFonts w:ascii="Arial" w:hAnsi="Arial" w:cs="Arial"/>
          <w:color w:val="44546A" w:themeColor="text2"/>
          <w:sz w:val="24"/>
          <w:szCs w:val="24"/>
        </w:rPr>
        <w:t xml:space="preserve"> </w:t>
      </w:r>
      <w:r w:rsidR="00D545EA" w:rsidRPr="00BA7217">
        <w:rPr>
          <w:rFonts w:ascii="Arial" w:hAnsi="Arial" w:cs="Arial"/>
          <w:color w:val="44546A" w:themeColor="text2"/>
          <w:sz w:val="24"/>
          <w:szCs w:val="24"/>
        </w:rPr>
        <w:tab/>
      </w:r>
      <w:r w:rsidR="00D545EA" w:rsidRPr="00BA7217">
        <w:rPr>
          <w:rFonts w:ascii="Arial" w:hAnsi="Arial" w:cs="Arial"/>
          <w:color w:val="44546A" w:themeColor="text2"/>
          <w:sz w:val="24"/>
          <w:szCs w:val="24"/>
        </w:rPr>
        <w:tab/>
      </w:r>
      <w:r w:rsidR="00D545EA" w:rsidRPr="00BA7217">
        <w:rPr>
          <w:rFonts w:ascii="Arial" w:hAnsi="Arial" w:cs="Arial"/>
          <w:color w:val="44546A" w:themeColor="text2"/>
          <w:sz w:val="24"/>
          <w:szCs w:val="24"/>
        </w:rPr>
        <w:tab/>
        <w:t xml:space="preserve">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Gwendolyn M. Williams, PhD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w:t>
      </w:r>
      <w:r w:rsidRPr="00BA7217">
        <w:rPr>
          <w:rFonts w:ascii="Arial" w:hAnsi="Arial" w:cs="Arial"/>
          <w:color w:val="44546A" w:themeColor="text2"/>
          <w:sz w:val="24"/>
          <w:szCs w:val="24"/>
        </w:rPr>
        <w:tab/>
        <w:t xml:space="preserve">gmw0015@auburn.edu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Pr="00BA7217">
        <w:rPr>
          <w:rFonts w:ascii="Arial" w:hAnsi="Arial" w:cs="Arial"/>
          <w:color w:val="44546A" w:themeColor="text2"/>
          <w:sz w:val="24"/>
          <w:szCs w:val="24"/>
        </w:rPr>
        <w:tab/>
        <w:t>Office: 334-844-6775</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5078 Haley Center </w:t>
      </w:r>
    </w:p>
    <w:p w:rsidR="00D545EA" w:rsidRPr="00BA7217" w:rsidRDefault="002C21DB" w:rsidP="00D545EA">
      <w:pPr>
        <w:ind w:left="2880" w:hanging="2880"/>
        <w:rPr>
          <w:rFonts w:ascii="Arial" w:hAnsi="Arial" w:cs="Arial"/>
          <w:color w:val="44546A" w:themeColor="text2"/>
          <w:sz w:val="24"/>
          <w:szCs w:val="24"/>
        </w:rPr>
      </w:pPr>
      <w:r>
        <w:rPr>
          <w:rFonts w:ascii="Arial" w:hAnsi="Arial" w:cs="Arial"/>
          <w:color w:val="44546A" w:themeColor="text2"/>
          <w:sz w:val="24"/>
          <w:szCs w:val="24"/>
        </w:rPr>
        <w:t>Office Hours:            1:30-3:30 PM T/TH</w:t>
      </w:r>
    </w:p>
    <w:p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p>
    <w:p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r>
      <w:r w:rsidRPr="00BA7217">
        <w:rPr>
          <w:rFonts w:ascii="Arial" w:hAnsi="Arial" w:cs="Arial"/>
          <w:sz w:val="24"/>
          <w:szCs w:val="24"/>
        </w:rPr>
        <w:br/>
      </w:r>
    </w:p>
    <w:p w:rsidR="00D545EA" w:rsidRPr="00BA7217" w:rsidRDefault="00D545EA" w:rsidP="00D545EA">
      <w:pPr>
        <w:widowControl w:val="0"/>
        <w:shd w:val="clear" w:color="auto" w:fill="70AD47" w:themeFill="accent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Attendance:</w:t>
      </w:r>
      <w:r w:rsidRPr="00BA7217">
        <w:rPr>
          <w:rFonts w:ascii="Arial" w:hAnsi="Arial" w:cs="Arial"/>
          <w:b/>
          <w:sz w:val="24"/>
          <w:szCs w:val="24"/>
        </w:rPr>
        <w:t xml:space="preserve"> </w:t>
      </w:r>
    </w:p>
    <w:p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D545EA" w:rsidRPr="00BA7217" w:rsidRDefault="00D545EA" w:rsidP="00D545EA">
      <w:pPr>
        <w:widowControl w:val="0"/>
        <w:autoSpaceDE w:val="0"/>
        <w:autoSpaceDN w:val="0"/>
        <w:adjustRightInd w:val="0"/>
        <w:spacing w:before="120"/>
        <w:ind w:left="720"/>
        <w:rPr>
          <w:rFonts w:ascii="Arial" w:hAnsi="Arial" w:cs="Arial"/>
          <w:sz w:val="24"/>
          <w:szCs w:val="24"/>
        </w:rPr>
      </w:pPr>
    </w:p>
    <w:p w:rsidR="00D545EA" w:rsidRPr="00BA7217" w:rsidRDefault="00D545EA" w:rsidP="00D545EA">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Quizzes missed because of unexcused absences may not be made up.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sidRPr="00BA7217">
        <w:rPr>
          <w:rFonts w:ascii="Arial" w:hAnsi="Arial" w:cs="Arial"/>
          <w:i/>
          <w:sz w:val="24"/>
          <w:szCs w:val="24"/>
        </w:rPr>
        <w:t>E-mail errors will not negate late penalties.</w:t>
      </w:r>
    </w:p>
    <w:p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 xml:space="preserve">90%-100%= A </w:t>
      </w:r>
      <w:r w:rsidRPr="00BA7217">
        <w:rPr>
          <w:rFonts w:ascii="Arial" w:hAnsi="Arial" w:cs="Arial"/>
          <w:sz w:val="24"/>
          <w:szCs w:val="24"/>
        </w:rPr>
        <w:tab/>
      </w:r>
      <w:r w:rsidRPr="00BA7217">
        <w:rPr>
          <w:rFonts w:ascii="Arial" w:hAnsi="Arial" w:cs="Arial"/>
          <w:sz w:val="24"/>
          <w:szCs w:val="24"/>
        </w:rPr>
        <w:tab/>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80%-89% = B</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70%-79% = C</w:t>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60%-69% = D</w:t>
      </w:r>
      <w:r w:rsidRPr="00BA7217">
        <w:rPr>
          <w:rFonts w:ascii="Arial" w:hAnsi="Arial" w:cs="Arial"/>
          <w:sz w:val="24"/>
          <w:szCs w:val="24"/>
        </w:rPr>
        <w:tab/>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Below 60% = F</w:t>
      </w:r>
    </w:p>
    <w:p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lastRenderedPageBreak/>
        <w:t>The class will start and end at the instructor’s designated time.  If you arrive late or leave early, points will be deducted from your attendance and participation.</w:t>
      </w:r>
    </w:p>
    <w:p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t xml:space="preserve">Cell phones, beepers, and pagers must be turned off or placed on vibrate mode.  Inappropriate use of cell phones and other technology during class time will result in loss of points.  </w:t>
      </w:r>
    </w:p>
    <w:p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errors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rsidR="00D545EA" w:rsidRPr="00BA7217" w:rsidRDefault="00D545EA" w:rsidP="00D545EA">
      <w:pPr>
        <w:widowControl w:val="0"/>
        <w:shd w:val="clear" w:color="auto" w:fill="70AD47" w:themeFill="accent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rsidR="00D545EA" w:rsidRPr="00BA7217" w:rsidRDefault="00D545EA" w:rsidP="00D545EA">
      <w:pPr>
        <w:ind w:left="720"/>
        <w:rPr>
          <w:rFonts w:ascii="Arial" w:hAnsi="Arial" w:cs="Arial"/>
          <w:sz w:val="24"/>
          <w:szCs w:val="24"/>
        </w:rPr>
      </w:pPr>
      <w:r w:rsidRPr="00BA7217">
        <w:rPr>
          <w:rFonts w:ascii="Arial" w:hAnsi="Arial" w:cs="Arial"/>
          <w:sz w:val="24"/>
          <w:szCs w:val="24"/>
        </w:rPr>
        <w:lastRenderedPageBreak/>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rsidR="00D545EA" w:rsidRPr="00BA7217" w:rsidRDefault="00D545EA" w:rsidP="00D545EA">
      <w:pPr>
        <w:rPr>
          <w:rFonts w:ascii="Arial" w:hAnsi="Arial" w:cs="Arial"/>
          <w:b/>
          <w:sz w:val="24"/>
          <w:szCs w:val="24"/>
          <w:u w:val="single"/>
        </w:rPr>
      </w:pPr>
    </w:p>
    <w:p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Student eHandbook:</w:t>
      </w:r>
    </w:p>
    <w:p w:rsidR="00D545EA" w:rsidRPr="00BA7217"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rsidR="00D545EA" w:rsidRDefault="00D545EA" w:rsidP="00D545EA">
      <w:pPr>
        <w:rPr>
          <w:rFonts w:ascii="Arial" w:eastAsiaTheme="minorEastAsia" w:hAnsi="Arial" w:cs="Arial"/>
          <w:sz w:val="24"/>
          <w:szCs w:val="24"/>
          <w:lang w:eastAsia="ja-JP"/>
        </w:rPr>
      </w:pPr>
    </w:p>
    <w:p w:rsidR="00862FCC" w:rsidRDefault="00862FCC" w:rsidP="00D545EA">
      <w:pPr>
        <w:rPr>
          <w:rFonts w:ascii="Arial" w:eastAsiaTheme="minorEastAsia" w:hAnsi="Arial" w:cs="Arial"/>
          <w:sz w:val="24"/>
          <w:szCs w:val="24"/>
          <w:lang w:eastAsia="ja-JP"/>
        </w:rPr>
      </w:pPr>
    </w:p>
    <w:p w:rsidR="00862FCC" w:rsidRDefault="00862FCC" w:rsidP="00D545EA">
      <w:pPr>
        <w:rPr>
          <w:rFonts w:ascii="Arial" w:eastAsiaTheme="minorEastAsia" w:hAnsi="Arial" w:cs="Arial"/>
          <w:sz w:val="24"/>
          <w:szCs w:val="24"/>
          <w:lang w:eastAsia="ja-JP"/>
        </w:rPr>
      </w:pPr>
    </w:p>
    <w:p w:rsidR="00862FCC" w:rsidRDefault="00862FCC" w:rsidP="00D545EA">
      <w:pPr>
        <w:rPr>
          <w:rFonts w:ascii="Arial" w:eastAsiaTheme="minorEastAsia" w:hAnsi="Arial" w:cs="Arial"/>
          <w:sz w:val="24"/>
          <w:szCs w:val="24"/>
          <w:lang w:eastAsia="ja-JP"/>
        </w:rPr>
      </w:pPr>
    </w:p>
    <w:p w:rsidR="00862FCC" w:rsidRPr="00BA7217" w:rsidRDefault="00862FCC" w:rsidP="00D545EA">
      <w:pPr>
        <w:rPr>
          <w:rFonts w:ascii="Arial" w:eastAsiaTheme="minorEastAsia" w:hAnsi="Arial" w:cs="Arial"/>
          <w:sz w:val="24"/>
          <w:szCs w:val="24"/>
          <w:lang w:eastAsia="ja-JP"/>
        </w:rPr>
      </w:pPr>
    </w:p>
    <w:p w:rsidR="00D545EA" w:rsidRPr="00BA7217" w:rsidRDefault="00D545EA" w:rsidP="00D545EA">
      <w:pPr>
        <w:widowControl w:val="0"/>
        <w:shd w:val="clear" w:color="auto" w:fill="F7964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2880"/>
        <w:gridCol w:w="2204"/>
      </w:tblGrid>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Date</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Topic for the Week </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Readings</w:t>
            </w:r>
          </w:p>
        </w:tc>
        <w:tc>
          <w:tcPr>
            <w:tcW w:w="19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Assignment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1/12</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Introduction to Culture</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862FCC">
        <w:trPr>
          <w:trHeight w:val="665"/>
        </w:trPr>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lastRenderedPageBreak/>
              <w:t>1/19</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Communication </w:t>
            </w:r>
          </w:p>
        </w:tc>
        <w:tc>
          <w:tcPr>
            <w:tcW w:w="2880" w:type="dxa"/>
          </w:tcPr>
          <w:p w:rsidR="005022F7" w:rsidRDefault="005022F7" w:rsidP="00CE4C33">
            <w:pPr>
              <w:spacing w:line="240" w:lineRule="auto"/>
              <w:rPr>
                <w:rFonts w:ascii="Arial" w:hAnsi="Arial" w:cs="Arial"/>
                <w:sz w:val="24"/>
                <w:szCs w:val="24"/>
              </w:rPr>
            </w:pPr>
            <w:r>
              <w:rPr>
                <w:rFonts w:ascii="Arial" w:hAnsi="Arial" w:cs="Arial"/>
                <w:sz w:val="24"/>
                <w:szCs w:val="24"/>
              </w:rPr>
              <w:t>Samovar pp. 17- 67</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1/26</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&amp; Families</w:t>
            </w:r>
          </w:p>
        </w:tc>
        <w:tc>
          <w:tcPr>
            <w:tcW w:w="2880" w:type="dxa"/>
          </w:tcPr>
          <w:p w:rsidR="00CE4C33" w:rsidRPr="00477043" w:rsidRDefault="00D545EA" w:rsidP="00CE4C33">
            <w:pPr>
              <w:spacing w:line="240" w:lineRule="auto"/>
              <w:rPr>
                <w:rFonts w:ascii="Arial" w:hAnsi="Arial" w:cs="Arial"/>
                <w:sz w:val="24"/>
                <w:szCs w:val="24"/>
              </w:rPr>
            </w:pPr>
            <w:r w:rsidRPr="00477043">
              <w:rPr>
                <w:rFonts w:ascii="Arial" w:hAnsi="Arial" w:cs="Arial"/>
                <w:sz w:val="24"/>
                <w:szCs w:val="24"/>
              </w:rPr>
              <w:t>Samovar Chapter 3</w:t>
            </w:r>
          </w:p>
          <w:p w:rsidR="00862FCC"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Guo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Cavilcante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2/2</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History </w:t>
            </w:r>
          </w:p>
        </w:tc>
        <w:tc>
          <w:tcPr>
            <w:tcW w:w="2880" w:type="dxa"/>
          </w:tcPr>
          <w:p w:rsidR="00521EDC" w:rsidRDefault="00521EDC" w:rsidP="00CE4C33">
            <w:pPr>
              <w:spacing w:line="240" w:lineRule="auto"/>
              <w:rPr>
                <w:rFonts w:ascii="Arial" w:hAnsi="Arial" w:cs="Arial"/>
                <w:sz w:val="24"/>
                <w:szCs w:val="24"/>
              </w:rPr>
            </w:pPr>
            <w:r>
              <w:rPr>
                <w:rFonts w:ascii="Arial" w:hAnsi="Arial" w:cs="Arial"/>
                <w:sz w:val="24"/>
                <w:szCs w:val="24"/>
              </w:rPr>
              <w:t xml:space="preserve">Martin &amp; Nakayama </w:t>
            </w:r>
          </w:p>
          <w:p w:rsidR="00D545EA" w:rsidRPr="00477043" w:rsidRDefault="006F4341" w:rsidP="00CE4C33">
            <w:pPr>
              <w:spacing w:line="240" w:lineRule="auto"/>
              <w:rPr>
                <w:rFonts w:ascii="Arial" w:hAnsi="Arial" w:cs="Arial"/>
                <w:sz w:val="24"/>
                <w:szCs w:val="24"/>
              </w:rPr>
            </w:pPr>
            <w:r w:rsidRPr="00477043">
              <w:rPr>
                <w:rFonts w:ascii="Arial" w:hAnsi="Arial" w:cs="Arial"/>
                <w:sz w:val="24"/>
                <w:szCs w:val="24"/>
              </w:rPr>
              <w:t>Herrera 2015 Chapter 2</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PerezFirmat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2/9</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&amp; Values</w:t>
            </w:r>
          </w:p>
        </w:tc>
        <w:tc>
          <w:tcPr>
            <w:tcW w:w="2880" w:type="dxa"/>
          </w:tcPr>
          <w:p w:rsidR="00DF4712"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6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Ihedigbo</w:t>
            </w:r>
          </w:p>
        </w:tc>
        <w:tc>
          <w:tcPr>
            <w:tcW w:w="1980" w:type="dxa"/>
          </w:tcPr>
          <w:p w:rsidR="00D545EA" w:rsidRPr="00477043" w:rsidRDefault="00E41BA8" w:rsidP="00CE4C33">
            <w:pPr>
              <w:spacing w:line="240" w:lineRule="auto"/>
              <w:rPr>
                <w:rFonts w:ascii="Arial" w:hAnsi="Arial" w:cs="Arial"/>
                <w:sz w:val="24"/>
                <w:szCs w:val="24"/>
              </w:rPr>
            </w:pPr>
            <w:r>
              <w:rPr>
                <w:rFonts w:ascii="Arial" w:hAnsi="Arial" w:cs="Arial"/>
                <w:sz w:val="24"/>
                <w:szCs w:val="24"/>
              </w:rPr>
              <w:t>Engagement Plan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2/16</w:t>
            </w:r>
          </w:p>
        </w:tc>
        <w:tc>
          <w:tcPr>
            <w:tcW w:w="2610" w:type="dxa"/>
          </w:tcPr>
          <w:p w:rsidR="00D545EA" w:rsidRPr="00477043" w:rsidRDefault="00417D3B" w:rsidP="00CE4C33">
            <w:pPr>
              <w:spacing w:line="240" w:lineRule="auto"/>
              <w:rPr>
                <w:rFonts w:ascii="Arial" w:hAnsi="Arial" w:cs="Arial"/>
                <w:sz w:val="24"/>
                <w:szCs w:val="24"/>
              </w:rPr>
            </w:pPr>
            <w:r>
              <w:rPr>
                <w:rFonts w:ascii="Arial" w:hAnsi="Arial" w:cs="Arial"/>
                <w:sz w:val="24"/>
                <w:szCs w:val="24"/>
              </w:rPr>
              <w:t xml:space="preserve">Culture &amp; </w:t>
            </w:r>
            <w:r w:rsidR="00D545EA" w:rsidRPr="00477043">
              <w:rPr>
                <w:rFonts w:ascii="Arial" w:hAnsi="Arial" w:cs="Arial"/>
                <w:sz w:val="24"/>
                <w:szCs w:val="24"/>
              </w:rPr>
              <w:t>Identity</w:t>
            </w:r>
          </w:p>
        </w:tc>
        <w:tc>
          <w:tcPr>
            <w:tcW w:w="2880" w:type="dxa"/>
          </w:tcPr>
          <w:p w:rsidR="00417D3B" w:rsidRDefault="00D545EA" w:rsidP="00417D3B">
            <w:pPr>
              <w:spacing w:line="240" w:lineRule="auto"/>
              <w:rPr>
                <w:rFonts w:ascii="Arial" w:hAnsi="Arial" w:cs="Arial"/>
                <w:sz w:val="24"/>
                <w:szCs w:val="24"/>
              </w:rPr>
            </w:pPr>
            <w:r w:rsidRPr="00477043">
              <w:rPr>
                <w:rFonts w:ascii="Arial" w:hAnsi="Arial" w:cs="Arial"/>
                <w:sz w:val="24"/>
                <w:szCs w:val="24"/>
              </w:rPr>
              <w:t>Samovar Chapter 7</w:t>
            </w:r>
          </w:p>
          <w:p w:rsidR="0081190F" w:rsidRDefault="00417D3B" w:rsidP="00CE4C33">
            <w:pPr>
              <w:spacing w:line="240" w:lineRule="auto"/>
              <w:rPr>
                <w:rFonts w:ascii="Arial" w:hAnsi="Arial" w:cs="Arial"/>
                <w:sz w:val="24"/>
                <w:szCs w:val="24"/>
              </w:rPr>
            </w:pPr>
            <w:r w:rsidRPr="00477043">
              <w:rPr>
                <w:rFonts w:ascii="Arial" w:hAnsi="Arial" w:cs="Arial"/>
                <w:sz w:val="24"/>
                <w:szCs w:val="24"/>
              </w:rPr>
              <w:t xml:space="preserve">Igoa Chapter 2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Ansary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2/23</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w:t>
            </w:r>
            <w:r w:rsidR="00417D3B" w:rsidRPr="00507CB5">
              <w:rPr>
                <w:rFonts w:ascii="Arial" w:hAnsi="Arial" w:cs="Arial"/>
                <w:sz w:val="24"/>
                <w:szCs w:val="24"/>
              </w:rPr>
              <w:t>Gender</w:t>
            </w:r>
            <w:r w:rsidR="00417D3B">
              <w:rPr>
                <w:rFonts w:ascii="Arial" w:hAnsi="Arial" w:cs="Arial"/>
                <w:sz w:val="24"/>
                <w:szCs w:val="24"/>
              </w:rPr>
              <w:t xml:space="preserve"> </w:t>
            </w:r>
          </w:p>
        </w:tc>
        <w:tc>
          <w:tcPr>
            <w:tcW w:w="2880" w:type="dxa"/>
          </w:tcPr>
          <w:p w:rsidR="00417D3B" w:rsidRDefault="0036533A" w:rsidP="00CE4C33">
            <w:pPr>
              <w:spacing w:line="240" w:lineRule="auto"/>
              <w:rPr>
                <w:rFonts w:ascii="Arial" w:hAnsi="Arial" w:cs="Arial"/>
                <w:sz w:val="24"/>
                <w:szCs w:val="24"/>
              </w:rPr>
            </w:pPr>
            <w:r>
              <w:rPr>
                <w:rFonts w:ascii="Arial" w:hAnsi="Arial" w:cs="Arial"/>
                <w:sz w:val="24"/>
                <w:szCs w:val="24"/>
              </w:rPr>
              <w:t>Lu &amp; Luk</w:t>
            </w:r>
          </w:p>
          <w:p w:rsidR="008C51F6" w:rsidRDefault="008C51F6" w:rsidP="00CE4C33">
            <w:pPr>
              <w:spacing w:line="240" w:lineRule="auto"/>
              <w:rPr>
                <w:rFonts w:ascii="Arial" w:hAnsi="Arial" w:cs="Arial"/>
                <w:sz w:val="24"/>
                <w:szCs w:val="24"/>
              </w:rPr>
            </w:pPr>
            <w:r>
              <w:rPr>
                <w:rFonts w:ascii="Arial" w:hAnsi="Arial" w:cs="Arial"/>
                <w:sz w:val="24"/>
                <w:szCs w:val="24"/>
              </w:rPr>
              <w:t>Samovar pp. 81-88</w:t>
            </w:r>
          </w:p>
          <w:p w:rsidR="0036533A" w:rsidRDefault="00E67FBC" w:rsidP="00CE4C33">
            <w:pPr>
              <w:spacing w:line="240" w:lineRule="auto"/>
              <w:rPr>
                <w:rFonts w:ascii="Arial" w:hAnsi="Arial" w:cs="Arial"/>
                <w:sz w:val="24"/>
                <w:szCs w:val="24"/>
              </w:rPr>
            </w:pPr>
            <w:r>
              <w:rPr>
                <w:rFonts w:ascii="Arial" w:hAnsi="Arial" w:cs="Arial"/>
                <w:sz w:val="24"/>
                <w:szCs w:val="24"/>
              </w:rPr>
              <w:t>Berger</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 xml:space="preserve">Hayslip </w:t>
            </w:r>
          </w:p>
        </w:tc>
        <w:tc>
          <w:tcPr>
            <w:tcW w:w="19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Reaction Paper 1 Due     </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3/2</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w:t>
            </w:r>
            <w:r w:rsidR="00417D3B" w:rsidRPr="00477043">
              <w:rPr>
                <w:rFonts w:ascii="Arial" w:hAnsi="Arial" w:cs="Arial"/>
                <w:sz w:val="24"/>
                <w:szCs w:val="24"/>
              </w:rPr>
              <w:t xml:space="preserve">Language </w:t>
            </w:r>
            <w:r w:rsidRPr="00477043">
              <w:rPr>
                <w:rFonts w:ascii="Arial" w:hAnsi="Arial" w:cs="Arial"/>
                <w:sz w:val="24"/>
                <w:szCs w:val="24"/>
              </w:rPr>
              <w:t xml:space="preserve">  </w:t>
            </w:r>
          </w:p>
        </w:tc>
        <w:tc>
          <w:tcPr>
            <w:tcW w:w="2880" w:type="dxa"/>
          </w:tcPr>
          <w:p w:rsidR="00282A2A" w:rsidRDefault="00417D3B" w:rsidP="00CE4C33">
            <w:pPr>
              <w:spacing w:line="240" w:lineRule="auto"/>
              <w:rPr>
                <w:rFonts w:ascii="Arial" w:hAnsi="Arial" w:cs="Arial"/>
                <w:sz w:val="24"/>
                <w:szCs w:val="24"/>
              </w:rPr>
            </w:pPr>
            <w:r w:rsidRPr="00477043">
              <w:rPr>
                <w:rFonts w:ascii="Arial" w:hAnsi="Arial" w:cs="Arial"/>
                <w:sz w:val="24"/>
                <w:szCs w:val="24"/>
              </w:rPr>
              <w:t xml:space="preserve">Samovar Chapter 8 </w:t>
            </w:r>
            <w:r w:rsidRPr="008E46D6">
              <w:rPr>
                <w:rFonts w:ascii="Arial" w:hAnsi="Arial" w:cs="Arial"/>
                <w:sz w:val="24"/>
                <w:szCs w:val="24"/>
              </w:rPr>
              <w:t>DeCapua &amp; Wintergerst</w:t>
            </w:r>
            <w:r w:rsidRPr="00477043">
              <w:rPr>
                <w:rFonts w:ascii="Arial" w:hAnsi="Arial" w:cs="Arial"/>
                <w:sz w:val="24"/>
                <w:szCs w:val="24"/>
              </w:rPr>
              <w:t xml:space="preserve">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Reyes</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862FCC" w:rsidP="00CE4C33">
            <w:pPr>
              <w:spacing w:line="240" w:lineRule="auto"/>
              <w:rPr>
                <w:rFonts w:ascii="Arial" w:hAnsi="Arial" w:cs="Arial"/>
                <w:sz w:val="24"/>
                <w:szCs w:val="24"/>
              </w:rPr>
            </w:pPr>
            <w:r w:rsidRPr="00477043">
              <w:rPr>
                <w:rFonts w:ascii="Arial" w:hAnsi="Arial" w:cs="Arial"/>
                <w:sz w:val="24"/>
                <w:szCs w:val="24"/>
              </w:rPr>
              <w:t>3/9</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and Non-verbal Communication</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9  Gregersen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Samuelsson</w:t>
            </w:r>
          </w:p>
        </w:tc>
        <w:tc>
          <w:tcPr>
            <w:tcW w:w="1980" w:type="dxa"/>
          </w:tcPr>
          <w:p w:rsidR="00D545EA" w:rsidRPr="00477043" w:rsidRDefault="000D35C3" w:rsidP="00CE4C33">
            <w:pPr>
              <w:spacing w:line="240" w:lineRule="auto"/>
              <w:rPr>
                <w:rFonts w:ascii="Arial" w:hAnsi="Arial" w:cs="Arial"/>
                <w:sz w:val="24"/>
                <w:szCs w:val="24"/>
              </w:rPr>
            </w:pPr>
            <w:r>
              <w:rPr>
                <w:rFonts w:ascii="Arial" w:hAnsi="Arial" w:cs="Arial"/>
                <w:sz w:val="24"/>
                <w:szCs w:val="24"/>
              </w:rPr>
              <w:t>Exam</w:t>
            </w:r>
            <w:r w:rsidR="00D545EA" w:rsidRPr="00477043">
              <w:rPr>
                <w:rFonts w:ascii="Arial" w:hAnsi="Arial" w:cs="Arial"/>
                <w:sz w:val="24"/>
                <w:szCs w:val="24"/>
              </w:rPr>
              <w:t xml:space="preserve">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3/16</w:t>
            </w:r>
          </w:p>
        </w:tc>
        <w:tc>
          <w:tcPr>
            <w:tcW w:w="7470" w:type="dxa"/>
            <w:gridSpan w:val="3"/>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Spring Break </w:t>
            </w:r>
          </w:p>
          <w:p w:rsidR="004A73E7" w:rsidRPr="00477043" w:rsidRDefault="004A73E7"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3/23</w:t>
            </w:r>
          </w:p>
        </w:tc>
        <w:tc>
          <w:tcPr>
            <w:tcW w:w="2610" w:type="dxa"/>
          </w:tcPr>
          <w:p w:rsidR="00D545EA" w:rsidRPr="00477043" w:rsidRDefault="00D545EA" w:rsidP="00CE4C33">
            <w:pPr>
              <w:spacing w:line="240" w:lineRule="auto"/>
              <w:rPr>
                <w:rFonts w:ascii="Arial" w:hAnsi="Arial" w:cs="Arial"/>
                <w:sz w:val="24"/>
                <w:szCs w:val="24"/>
              </w:rPr>
            </w:pPr>
            <w:r w:rsidRPr="008B628D">
              <w:rPr>
                <w:rFonts w:ascii="Arial" w:hAnsi="Arial" w:cs="Arial"/>
                <w:sz w:val="24"/>
                <w:szCs w:val="24"/>
              </w:rPr>
              <w:t>Culture in Contexts</w:t>
            </w:r>
            <w:r w:rsidRPr="00477043">
              <w:rPr>
                <w:rFonts w:ascii="Arial" w:hAnsi="Arial" w:cs="Arial"/>
                <w:sz w:val="24"/>
                <w:szCs w:val="24"/>
              </w:rPr>
              <w:t xml:space="preserve"> </w:t>
            </w:r>
          </w:p>
        </w:tc>
        <w:tc>
          <w:tcPr>
            <w:tcW w:w="28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10 </w:t>
            </w:r>
          </w:p>
          <w:p w:rsidR="00D545EA" w:rsidRPr="00477043" w:rsidRDefault="008B628D" w:rsidP="00CE4C33">
            <w:pPr>
              <w:spacing w:line="240" w:lineRule="auto"/>
              <w:rPr>
                <w:rFonts w:ascii="Arial" w:hAnsi="Arial" w:cs="Arial"/>
                <w:sz w:val="24"/>
                <w:szCs w:val="24"/>
              </w:rPr>
            </w:pPr>
            <w:r w:rsidRPr="00477043">
              <w:rPr>
                <w:rFonts w:ascii="Arial" w:hAnsi="Arial" w:cs="Arial"/>
                <w:sz w:val="24"/>
                <w:szCs w:val="24"/>
              </w:rPr>
              <w:t>Neuliep</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Yang </w:t>
            </w:r>
          </w:p>
        </w:tc>
        <w:tc>
          <w:tcPr>
            <w:tcW w:w="1980" w:type="dxa"/>
          </w:tcPr>
          <w:p w:rsidR="00D545EA" w:rsidRPr="00477043" w:rsidRDefault="00D545EA" w:rsidP="00CE4C33">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3/30</w:t>
            </w:r>
          </w:p>
        </w:tc>
        <w:tc>
          <w:tcPr>
            <w:tcW w:w="2610" w:type="dxa"/>
          </w:tcPr>
          <w:p w:rsidR="00D545EA" w:rsidRPr="00477043" w:rsidRDefault="00FD7228" w:rsidP="00CE4C33">
            <w:pPr>
              <w:spacing w:line="240" w:lineRule="auto"/>
              <w:rPr>
                <w:rFonts w:ascii="Arial" w:hAnsi="Arial" w:cs="Arial"/>
                <w:sz w:val="24"/>
                <w:szCs w:val="24"/>
              </w:rPr>
            </w:pPr>
            <w:r w:rsidRPr="00477043">
              <w:rPr>
                <w:rFonts w:ascii="Arial" w:hAnsi="Arial" w:cs="Arial"/>
                <w:sz w:val="24"/>
                <w:szCs w:val="24"/>
              </w:rPr>
              <w:t xml:space="preserve">Culture &amp; Racism </w:t>
            </w:r>
          </w:p>
        </w:tc>
        <w:tc>
          <w:tcPr>
            <w:tcW w:w="2880" w:type="dxa"/>
          </w:tcPr>
          <w:p w:rsidR="00FD7228" w:rsidRPr="00A8652E" w:rsidRDefault="00FD7228" w:rsidP="00FD7228">
            <w:pPr>
              <w:spacing w:line="240" w:lineRule="auto"/>
              <w:rPr>
                <w:rFonts w:ascii="Arial" w:hAnsi="Arial" w:cs="Arial"/>
                <w:sz w:val="24"/>
                <w:szCs w:val="24"/>
              </w:rPr>
            </w:pPr>
            <w:r w:rsidRPr="00A8652E">
              <w:rPr>
                <w:rFonts w:ascii="Arial" w:hAnsi="Arial" w:cs="Arial"/>
                <w:sz w:val="24"/>
                <w:szCs w:val="24"/>
              </w:rPr>
              <w:t>Nieto Chapter 4</w:t>
            </w:r>
            <w:r w:rsidR="005F584F" w:rsidRPr="00A8652E">
              <w:rPr>
                <w:rFonts w:ascii="Arial" w:hAnsi="Arial" w:cs="Arial"/>
                <w:sz w:val="24"/>
                <w:szCs w:val="24"/>
              </w:rPr>
              <w:t xml:space="preserve"> </w:t>
            </w:r>
          </w:p>
          <w:p w:rsidR="005F584F" w:rsidRPr="00477043" w:rsidRDefault="005F584F" w:rsidP="00FD7228">
            <w:pPr>
              <w:spacing w:line="240" w:lineRule="auto"/>
              <w:rPr>
                <w:rFonts w:ascii="Arial" w:hAnsi="Arial" w:cs="Arial"/>
                <w:sz w:val="24"/>
                <w:szCs w:val="24"/>
              </w:rPr>
            </w:pPr>
            <w:r w:rsidRPr="00A8652E">
              <w:rPr>
                <w:rFonts w:ascii="Arial" w:hAnsi="Arial" w:cs="Arial"/>
                <w:sz w:val="24"/>
                <w:szCs w:val="24"/>
              </w:rPr>
              <w:lastRenderedPageBreak/>
              <w:t>Ting-Toomey &amp;</w:t>
            </w:r>
            <w:r>
              <w:rPr>
                <w:rFonts w:ascii="Arial" w:hAnsi="Arial" w:cs="Arial"/>
                <w:sz w:val="24"/>
                <w:szCs w:val="24"/>
              </w:rPr>
              <w:t xml:space="preserve"> Chung ch. 8</w:t>
            </w:r>
          </w:p>
          <w:p w:rsidR="00D545EA" w:rsidRPr="00477043" w:rsidRDefault="00FD7228" w:rsidP="00CE4C33">
            <w:pPr>
              <w:spacing w:line="240" w:lineRule="auto"/>
              <w:rPr>
                <w:rFonts w:ascii="Arial" w:hAnsi="Arial" w:cs="Arial"/>
                <w:sz w:val="24"/>
                <w:szCs w:val="24"/>
              </w:rPr>
            </w:pPr>
            <w:r w:rsidRPr="00477043">
              <w:rPr>
                <w:rFonts w:ascii="Arial" w:hAnsi="Arial" w:cs="Arial"/>
                <w:sz w:val="24"/>
                <w:szCs w:val="24"/>
              </w:rPr>
              <w:t xml:space="preserve">H: Dumas </w:t>
            </w:r>
          </w:p>
        </w:tc>
        <w:tc>
          <w:tcPr>
            <w:tcW w:w="1980" w:type="dxa"/>
          </w:tcPr>
          <w:p w:rsidR="00D545EA" w:rsidRPr="00477043" w:rsidRDefault="00D545EA" w:rsidP="008B628D">
            <w:pPr>
              <w:spacing w:line="240" w:lineRule="auto"/>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4/6</w:t>
            </w:r>
          </w:p>
        </w:tc>
        <w:tc>
          <w:tcPr>
            <w:tcW w:w="2610" w:type="dxa"/>
          </w:tcPr>
          <w:p w:rsidR="00D545EA" w:rsidRPr="00477043" w:rsidRDefault="005F584F" w:rsidP="00CE4C33">
            <w:pPr>
              <w:spacing w:line="240" w:lineRule="auto"/>
              <w:rPr>
                <w:rFonts w:ascii="Arial" w:hAnsi="Arial" w:cs="Arial"/>
                <w:sz w:val="24"/>
                <w:szCs w:val="24"/>
              </w:rPr>
            </w:pPr>
            <w:r>
              <w:rPr>
                <w:rFonts w:ascii="Arial" w:hAnsi="Arial" w:cs="Arial"/>
                <w:sz w:val="24"/>
                <w:szCs w:val="24"/>
              </w:rPr>
              <w:t>Culture &amp; Power</w:t>
            </w:r>
            <w:r w:rsidR="003D31DD">
              <w:rPr>
                <w:rFonts w:ascii="Arial" w:hAnsi="Arial" w:cs="Arial"/>
                <w:sz w:val="24"/>
                <w:szCs w:val="24"/>
              </w:rPr>
              <w:t xml:space="preserve"> Issues</w:t>
            </w:r>
          </w:p>
        </w:tc>
        <w:tc>
          <w:tcPr>
            <w:tcW w:w="2880" w:type="dxa"/>
          </w:tcPr>
          <w:p w:rsidR="009836E9" w:rsidRPr="00477043" w:rsidRDefault="009836E9" w:rsidP="009836E9">
            <w:pPr>
              <w:spacing w:line="240" w:lineRule="auto"/>
              <w:rPr>
                <w:rFonts w:ascii="Arial" w:hAnsi="Arial" w:cs="Arial"/>
                <w:sz w:val="24"/>
                <w:szCs w:val="24"/>
              </w:rPr>
            </w:pPr>
            <w:r w:rsidRPr="00477043">
              <w:rPr>
                <w:rFonts w:ascii="Arial" w:hAnsi="Arial" w:cs="Arial"/>
                <w:sz w:val="24"/>
                <w:szCs w:val="24"/>
              </w:rPr>
              <w:t>Samovar Chapter 11</w:t>
            </w:r>
          </w:p>
          <w:p w:rsidR="00FD7228" w:rsidRPr="00477043" w:rsidRDefault="004E48CD" w:rsidP="00FD7228">
            <w:pPr>
              <w:spacing w:line="240" w:lineRule="auto"/>
              <w:rPr>
                <w:rFonts w:ascii="Arial" w:hAnsi="Arial" w:cs="Arial"/>
                <w:sz w:val="24"/>
                <w:szCs w:val="24"/>
              </w:rPr>
            </w:pPr>
            <w:r>
              <w:rPr>
                <w:rFonts w:ascii="Arial" w:hAnsi="Arial" w:cs="Arial"/>
                <w:sz w:val="24"/>
                <w:szCs w:val="24"/>
              </w:rPr>
              <w:t xml:space="preserve">Malsbary </w:t>
            </w:r>
          </w:p>
          <w:p w:rsidR="008B628D" w:rsidRDefault="008B628D" w:rsidP="008B628D">
            <w:pPr>
              <w:spacing w:line="240" w:lineRule="auto"/>
              <w:rPr>
                <w:rFonts w:ascii="Arial" w:hAnsi="Arial" w:cs="Arial"/>
                <w:sz w:val="24"/>
                <w:szCs w:val="24"/>
              </w:rPr>
            </w:pPr>
            <w:r>
              <w:rPr>
                <w:rFonts w:ascii="Arial" w:hAnsi="Arial" w:cs="Arial"/>
                <w:sz w:val="24"/>
                <w:szCs w:val="24"/>
              </w:rPr>
              <w:t xml:space="preserve">Vandrick </w:t>
            </w:r>
          </w:p>
          <w:p w:rsidR="00D545EA" w:rsidRPr="00477043" w:rsidRDefault="00FD7228" w:rsidP="00FD7228">
            <w:pPr>
              <w:spacing w:line="240" w:lineRule="auto"/>
              <w:rPr>
                <w:rFonts w:ascii="Arial" w:hAnsi="Arial" w:cs="Arial"/>
                <w:sz w:val="24"/>
                <w:szCs w:val="24"/>
              </w:rPr>
            </w:pPr>
            <w:r w:rsidRPr="00477043">
              <w:rPr>
                <w:rFonts w:ascii="Arial" w:hAnsi="Arial" w:cs="Arial"/>
                <w:sz w:val="24"/>
                <w:szCs w:val="24"/>
              </w:rPr>
              <w:t xml:space="preserve">H: Narayan  </w:t>
            </w:r>
          </w:p>
        </w:tc>
        <w:tc>
          <w:tcPr>
            <w:tcW w:w="1980" w:type="dxa"/>
          </w:tcPr>
          <w:p w:rsidR="00D545EA" w:rsidRPr="00477043" w:rsidRDefault="00C36CCD" w:rsidP="00CE4C33">
            <w:pPr>
              <w:spacing w:line="240" w:lineRule="auto"/>
              <w:rPr>
                <w:rFonts w:ascii="Arial" w:hAnsi="Arial" w:cs="Arial"/>
                <w:sz w:val="24"/>
                <w:szCs w:val="24"/>
              </w:rPr>
            </w:pPr>
            <w:r w:rsidRPr="00477043">
              <w:rPr>
                <w:rFonts w:ascii="Arial" w:hAnsi="Arial" w:cs="Arial"/>
                <w:sz w:val="24"/>
                <w:szCs w:val="24"/>
              </w:rPr>
              <w:t>Cultural Miscommunication Paper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4/13</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Integrating Culture into Instruction </w:t>
            </w:r>
          </w:p>
        </w:tc>
        <w:tc>
          <w:tcPr>
            <w:tcW w:w="2880" w:type="dxa"/>
          </w:tcPr>
          <w:p w:rsidR="00D545EA" w:rsidRPr="008E46D6" w:rsidRDefault="006F4341" w:rsidP="00CE4C33">
            <w:pPr>
              <w:spacing w:line="240" w:lineRule="auto"/>
              <w:rPr>
                <w:rFonts w:ascii="Arial" w:hAnsi="Arial" w:cs="Arial"/>
                <w:sz w:val="24"/>
                <w:szCs w:val="24"/>
              </w:rPr>
            </w:pPr>
            <w:r w:rsidRPr="008E46D6">
              <w:rPr>
                <w:rFonts w:ascii="Arial" w:hAnsi="Arial" w:cs="Arial"/>
                <w:sz w:val="24"/>
                <w:szCs w:val="24"/>
              </w:rPr>
              <w:t xml:space="preserve">Wintergerst &amp; McVeigh </w:t>
            </w:r>
          </w:p>
          <w:p w:rsidR="00D545EA" w:rsidRPr="008E46D6" w:rsidRDefault="00D545EA" w:rsidP="00CE4C33">
            <w:pPr>
              <w:spacing w:line="240" w:lineRule="auto"/>
              <w:rPr>
                <w:rFonts w:ascii="Arial" w:hAnsi="Arial" w:cs="Arial"/>
                <w:sz w:val="24"/>
                <w:szCs w:val="24"/>
              </w:rPr>
            </w:pPr>
            <w:r w:rsidRPr="008E46D6">
              <w:rPr>
                <w:rFonts w:ascii="Arial" w:hAnsi="Arial" w:cs="Arial"/>
                <w:sz w:val="24"/>
                <w:szCs w:val="24"/>
              </w:rPr>
              <w:t xml:space="preserve">Herrera et al, 2013 </w:t>
            </w:r>
          </w:p>
          <w:p w:rsidR="00D545EA" w:rsidRPr="008E46D6" w:rsidRDefault="00D545EA" w:rsidP="00CE4C33">
            <w:pPr>
              <w:spacing w:line="240" w:lineRule="auto"/>
              <w:rPr>
                <w:rFonts w:ascii="Arial" w:hAnsi="Arial" w:cs="Arial"/>
                <w:sz w:val="24"/>
                <w:szCs w:val="24"/>
              </w:rPr>
            </w:pPr>
            <w:r w:rsidRPr="008E46D6">
              <w:rPr>
                <w:rFonts w:ascii="Arial" w:hAnsi="Arial" w:cs="Arial"/>
                <w:sz w:val="24"/>
                <w:szCs w:val="24"/>
              </w:rPr>
              <w:t xml:space="preserve">H: Marafioti </w:t>
            </w:r>
          </w:p>
        </w:tc>
        <w:tc>
          <w:tcPr>
            <w:tcW w:w="1980" w:type="dxa"/>
          </w:tcPr>
          <w:p w:rsidR="00A762C2" w:rsidRDefault="00A762C2" w:rsidP="00CE4C33">
            <w:pPr>
              <w:spacing w:line="240" w:lineRule="auto"/>
              <w:rPr>
                <w:rFonts w:ascii="Arial" w:hAnsi="Arial" w:cs="Arial"/>
                <w:sz w:val="24"/>
                <w:szCs w:val="24"/>
              </w:rPr>
            </w:pPr>
          </w:p>
          <w:p w:rsidR="00D545EA" w:rsidRPr="00A762C2" w:rsidRDefault="00D545EA" w:rsidP="00A762C2">
            <w:pPr>
              <w:jc w:val="center"/>
              <w:rPr>
                <w:rFonts w:ascii="Arial" w:hAnsi="Arial" w:cs="Arial"/>
                <w:sz w:val="24"/>
                <w:szCs w:val="24"/>
              </w:rPr>
            </w:pP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4/20</w:t>
            </w:r>
          </w:p>
        </w:tc>
        <w:tc>
          <w:tcPr>
            <w:tcW w:w="261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Cultural Competence for Teachers </w:t>
            </w:r>
          </w:p>
        </w:tc>
        <w:tc>
          <w:tcPr>
            <w:tcW w:w="2880" w:type="dxa"/>
          </w:tcPr>
          <w:p w:rsidR="00D545EA" w:rsidRPr="00477043" w:rsidRDefault="002167F4" w:rsidP="00CE4C33">
            <w:pPr>
              <w:spacing w:line="240" w:lineRule="auto"/>
              <w:rPr>
                <w:rFonts w:ascii="Arial" w:hAnsi="Arial" w:cs="Arial"/>
                <w:sz w:val="24"/>
                <w:szCs w:val="24"/>
              </w:rPr>
            </w:pPr>
            <w:r>
              <w:rPr>
                <w:rFonts w:ascii="Arial" w:hAnsi="Arial" w:cs="Arial"/>
                <w:sz w:val="24"/>
                <w:szCs w:val="24"/>
              </w:rPr>
              <w:t xml:space="preserve">Gay Chapter 2 </w:t>
            </w:r>
          </w:p>
          <w:p w:rsidR="00A0769D" w:rsidRDefault="00515F8F" w:rsidP="00CE4C33">
            <w:pPr>
              <w:spacing w:line="240" w:lineRule="auto"/>
              <w:rPr>
                <w:rFonts w:ascii="Arial" w:hAnsi="Arial" w:cs="Arial"/>
                <w:sz w:val="24"/>
                <w:szCs w:val="24"/>
              </w:rPr>
            </w:pPr>
            <w:r>
              <w:rPr>
                <w:rFonts w:ascii="Arial" w:hAnsi="Arial" w:cs="Arial"/>
                <w:sz w:val="24"/>
                <w:szCs w:val="24"/>
              </w:rPr>
              <w:t xml:space="preserve">Cervantes &amp; Shelby </w:t>
            </w:r>
          </w:p>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Ung </w:t>
            </w:r>
          </w:p>
        </w:tc>
        <w:tc>
          <w:tcPr>
            <w:tcW w:w="1980" w:type="dxa"/>
          </w:tcPr>
          <w:p w:rsidR="00D545EA" w:rsidRPr="00477043" w:rsidRDefault="0078008D" w:rsidP="00CE4C33">
            <w:pPr>
              <w:spacing w:line="240" w:lineRule="auto"/>
              <w:rPr>
                <w:rFonts w:ascii="Arial" w:hAnsi="Arial" w:cs="Arial"/>
                <w:sz w:val="24"/>
                <w:szCs w:val="24"/>
              </w:rPr>
            </w:pPr>
            <w:r w:rsidRPr="00477043">
              <w:rPr>
                <w:rFonts w:ascii="Arial" w:hAnsi="Arial" w:cs="Arial"/>
                <w:sz w:val="24"/>
                <w:szCs w:val="24"/>
              </w:rPr>
              <w:t>Reaction Paper 2 Due</w:t>
            </w:r>
          </w:p>
        </w:tc>
      </w:tr>
      <w:tr w:rsidR="00D545EA" w:rsidRPr="00477043" w:rsidTr="00CF343C">
        <w:tc>
          <w:tcPr>
            <w:tcW w:w="805"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4/27</w:t>
            </w:r>
          </w:p>
        </w:tc>
        <w:tc>
          <w:tcPr>
            <w:tcW w:w="2610" w:type="dxa"/>
          </w:tcPr>
          <w:p w:rsidR="00D545EA" w:rsidRPr="00477043" w:rsidRDefault="00A762C2" w:rsidP="00CE4C33">
            <w:pPr>
              <w:spacing w:line="240" w:lineRule="auto"/>
              <w:rPr>
                <w:rFonts w:ascii="Arial" w:hAnsi="Arial" w:cs="Arial"/>
                <w:sz w:val="24"/>
                <w:szCs w:val="24"/>
              </w:rPr>
            </w:pPr>
            <w:r>
              <w:rPr>
                <w:rFonts w:ascii="Arial" w:hAnsi="Arial" w:cs="Arial"/>
                <w:sz w:val="24"/>
                <w:szCs w:val="24"/>
              </w:rPr>
              <w:t xml:space="preserve">Wrap-up Discussions &amp; Activities </w:t>
            </w:r>
            <w:r w:rsidR="00D545EA" w:rsidRPr="00477043">
              <w:rPr>
                <w:rFonts w:ascii="Arial" w:hAnsi="Arial" w:cs="Arial"/>
                <w:sz w:val="24"/>
                <w:szCs w:val="24"/>
              </w:rPr>
              <w:t xml:space="preserve"> </w:t>
            </w:r>
          </w:p>
        </w:tc>
        <w:tc>
          <w:tcPr>
            <w:tcW w:w="2880" w:type="dxa"/>
          </w:tcPr>
          <w:p w:rsidR="00D545EA" w:rsidRPr="00477043" w:rsidRDefault="00D545EA" w:rsidP="00CE4C33">
            <w:pPr>
              <w:spacing w:line="240" w:lineRule="auto"/>
              <w:rPr>
                <w:rFonts w:ascii="Arial" w:hAnsi="Arial" w:cs="Arial"/>
                <w:sz w:val="24"/>
                <w:szCs w:val="24"/>
              </w:rPr>
            </w:pPr>
          </w:p>
        </w:tc>
        <w:tc>
          <w:tcPr>
            <w:tcW w:w="1980" w:type="dxa"/>
          </w:tcPr>
          <w:p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Border Crossing Activity Due</w:t>
            </w:r>
          </w:p>
        </w:tc>
      </w:tr>
    </w:tbl>
    <w:p w:rsidR="00D545EA" w:rsidRPr="00477043" w:rsidRDefault="00D545EA" w:rsidP="00D545EA">
      <w:pPr>
        <w:rPr>
          <w:rFonts w:ascii="Arial" w:hAnsi="Arial" w:cs="Arial"/>
          <w:sz w:val="24"/>
          <w:szCs w:val="24"/>
        </w:rPr>
      </w:pPr>
    </w:p>
    <w:p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rsidR="005F6FEF" w:rsidRDefault="00D545EA" w:rsidP="005F6FEF">
      <w:pPr>
        <w:ind w:left="720" w:hanging="720"/>
        <w:rPr>
          <w:rFonts w:ascii="Arial" w:hAnsi="Arial" w:cs="Arial"/>
          <w:b/>
          <w:sz w:val="24"/>
          <w:szCs w:val="24"/>
        </w:rPr>
      </w:pPr>
      <w:r w:rsidRPr="00BA7217">
        <w:rPr>
          <w:rFonts w:ascii="Arial" w:hAnsi="Arial" w:cs="Arial"/>
          <w:b/>
          <w:sz w:val="24"/>
          <w:szCs w:val="24"/>
        </w:rPr>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005F6FEF" w:rsidRPr="005F6FEF">
        <w:rPr>
          <w:rStyle w:val="a-size-base"/>
          <w:rFonts w:ascii="Arial" w:hAnsi="Arial" w:cs="Arial"/>
          <w:b/>
          <w:color w:val="111111"/>
          <w:sz w:val="24"/>
          <w:szCs w:val="24"/>
          <w:shd w:val="clear" w:color="auto" w:fill="FFFFFF"/>
        </w:rPr>
        <w:t>ISBN-10:</w:t>
      </w:r>
      <w:r w:rsidR="005F6FEF" w:rsidRPr="005F6FEF">
        <w:rPr>
          <w:rStyle w:val="apple-converted-space"/>
          <w:rFonts w:ascii="Arial" w:hAnsi="Arial" w:cs="Arial"/>
          <w:b/>
          <w:color w:val="111111"/>
          <w:sz w:val="24"/>
          <w:szCs w:val="24"/>
          <w:shd w:val="clear" w:color="auto" w:fill="FFFFFF"/>
        </w:rPr>
        <w:t> </w:t>
      </w:r>
      <w:r w:rsidR="005F6FEF" w:rsidRPr="005F6FEF">
        <w:rPr>
          <w:rStyle w:val="a-size-base"/>
          <w:rFonts w:ascii="Arial" w:hAnsi="Arial" w:cs="Arial"/>
          <w:b/>
          <w:color w:val="111111"/>
          <w:sz w:val="24"/>
          <w:szCs w:val="24"/>
          <w:shd w:val="clear" w:color="auto" w:fill="FFFFFF"/>
        </w:rPr>
        <w:t>1285444620</w:t>
      </w:r>
    </w:p>
    <w:p w:rsidR="005F6FEF" w:rsidRPr="005F6FEF" w:rsidRDefault="00D545EA" w:rsidP="005F6FEF">
      <w:pPr>
        <w:ind w:left="720" w:hanging="720"/>
        <w:rPr>
          <w:rFonts w:ascii="Arial" w:hAnsi="Arial" w:cs="Arial"/>
          <w:b/>
          <w:sz w:val="24"/>
          <w:szCs w:val="24"/>
        </w:rPr>
      </w:pPr>
      <w:r w:rsidRPr="00BA7217">
        <w:rPr>
          <w:rFonts w:ascii="Arial" w:hAnsi="Arial" w:cs="Arial"/>
          <w:b/>
          <w:sz w:val="24"/>
          <w:szCs w:val="24"/>
        </w:rPr>
        <w:t>Hutner, G. (Ed).  (2015</w:t>
      </w:r>
      <w:r w:rsidRPr="00BA7217">
        <w:rPr>
          <w:rFonts w:ascii="Arial" w:hAnsi="Arial" w:cs="Arial"/>
          <w:b/>
          <w:i/>
          <w:sz w:val="24"/>
          <w:szCs w:val="24"/>
        </w:rPr>
        <w:t>).  Immigrant Voices Volume II</w:t>
      </w:r>
      <w:r w:rsidRPr="00BA7217">
        <w:rPr>
          <w:rFonts w:ascii="Arial" w:hAnsi="Arial" w:cs="Arial"/>
          <w:b/>
          <w:sz w:val="24"/>
          <w:szCs w:val="24"/>
        </w:rPr>
        <w:t xml:space="preserve">.  New York: New American Library. </w:t>
      </w:r>
      <w:r w:rsidR="005F6FEF" w:rsidRPr="005F6FEF">
        <w:rPr>
          <w:rFonts w:ascii="Arial" w:eastAsia="Times New Roman" w:hAnsi="Arial" w:cs="Arial"/>
          <w:b/>
          <w:bCs/>
          <w:color w:val="333333"/>
          <w:sz w:val="24"/>
          <w:szCs w:val="24"/>
        </w:rPr>
        <w:t>ISBN-10:</w:t>
      </w:r>
      <w:r w:rsidR="005F6FEF" w:rsidRPr="005F6FEF">
        <w:rPr>
          <w:rFonts w:ascii="Arial" w:eastAsia="Times New Roman" w:hAnsi="Arial" w:cs="Arial"/>
          <w:b/>
          <w:color w:val="333333"/>
          <w:sz w:val="24"/>
          <w:szCs w:val="24"/>
        </w:rPr>
        <w:t> 0451472810</w:t>
      </w:r>
    </w:p>
    <w:p w:rsidR="00D545EA" w:rsidRPr="005F6FEF" w:rsidRDefault="00D545EA" w:rsidP="00FD3AB4">
      <w:pPr>
        <w:ind w:left="720" w:hanging="720"/>
        <w:rPr>
          <w:rFonts w:ascii="Arial" w:hAnsi="Arial" w:cs="Arial"/>
          <w:b/>
          <w:sz w:val="24"/>
          <w:szCs w:val="24"/>
        </w:rPr>
      </w:pPr>
    </w:p>
    <w:p w:rsidR="00D545EA" w:rsidRPr="00BA7217" w:rsidRDefault="00D545EA" w:rsidP="00FD3AB4">
      <w:pPr>
        <w:ind w:left="720" w:hanging="720"/>
        <w:rPr>
          <w:rFonts w:ascii="Arial" w:hAnsi="Arial" w:cs="Arial"/>
          <w:b/>
          <w:sz w:val="24"/>
          <w:szCs w:val="24"/>
        </w:rPr>
      </w:pPr>
    </w:p>
    <w:p w:rsidR="00D545EA" w:rsidRPr="00BA7217" w:rsidRDefault="00FD3AB4" w:rsidP="00D545EA">
      <w:pPr>
        <w:rPr>
          <w:rFonts w:ascii="Arial" w:hAnsi="Arial" w:cs="Arial"/>
          <w:b/>
          <w:sz w:val="24"/>
          <w:szCs w:val="24"/>
        </w:rPr>
      </w:pPr>
      <w:r w:rsidRPr="00BA7217">
        <w:rPr>
          <w:rFonts w:ascii="Arial" w:hAnsi="Arial" w:cs="Arial"/>
          <w:b/>
          <w:sz w:val="24"/>
          <w:szCs w:val="24"/>
        </w:rPr>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rsidR="00515F8F" w:rsidRDefault="00515F8F" w:rsidP="00FD3AB4">
      <w:pPr>
        <w:ind w:left="720" w:hanging="720"/>
        <w:rPr>
          <w:rFonts w:ascii="Arial" w:hAnsi="Arial" w:cs="Arial"/>
          <w:bCs/>
          <w:sz w:val="24"/>
          <w:szCs w:val="24"/>
        </w:rPr>
      </w:pPr>
      <w:r>
        <w:rPr>
          <w:rFonts w:ascii="Arial" w:hAnsi="Arial" w:cs="Arial"/>
          <w:bCs/>
          <w:sz w:val="24"/>
          <w:szCs w:val="24"/>
        </w:rPr>
        <w:t xml:space="preserve">Cervantes, R. C. &amp; Shelby, T. M. (2013). Chapter 9 Mental health issues for immigrant adolescents: Research &amp; practice. In E. L Grigorienko (ed.) </w:t>
      </w:r>
      <w:r w:rsidR="002E1ED2" w:rsidRPr="002E1ED2">
        <w:rPr>
          <w:rFonts w:ascii="Arial" w:hAnsi="Arial" w:cs="Arial"/>
          <w:bCs/>
          <w:i/>
          <w:sz w:val="24"/>
          <w:szCs w:val="24"/>
        </w:rPr>
        <w:t>US immigration and education: Cultural and policy issues across the lifespan</w:t>
      </w:r>
      <w:r w:rsidR="002E1ED2">
        <w:rPr>
          <w:rFonts w:ascii="Arial" w:hAnsi="Arial" w:cs="Arial"/>
          <w:bCs/>
          <w:sz w:val="24"/>
          <w:szCs w:val="24"/>
        </w:rPr>
        <w:t xml:space="preserve"> </w:t>
      </w:r>
      <w:r>
        <w:rPr>
          <w:rFonts w:ascii="Arial" w:hAnsi="Arial" w:cs="Arial"/>
          <w:bCs/>
          <w:sz w:val="24"/>
          <w:szCs w:val="24"/>
        </w:rPr>
        <w:t xml:space="preserve">(pp. 163-178). New York: Springer. </w:t>
      </w:r>
    </w:p>
    <w:p w:rsidR="00B069DD" w:rsidRDefault="00B069DD" w:rsidP="00FD3AB4">
      <w:pPr>
        <w:ind w:left="720" w:hanging="720"/>
        <w:rPr>
          <w:rFonts w:ascii="Arial" w:hAnsi="Arial" w:cs="Arial"/>
          <w:bCs/>
          <w:sz w:val="24"/>
          <w:szCs w:val="24"/>
        </w:rPr>
      </w:pPr>
      <w:r>
        <w:rPr>
          <w:rFonts w:ascii="Arial" w:hAnsi="Arial" w:cs="Arial"/>
          <w:bCs/>
          <w:sz w:val="24"/>
          <w:szCs w:val="24"/>
        </w:rPr>
        <w:lastRenderedPageBreak/>
        <w:t>DeCapua, A. &amp; Wintergerst,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rsidR="00E40E4D" w:rsidRDefault="00E40E4D" w:rsidP="00FD3AB4">
      <w:pPr>
        <w:ind w:left="720" w:hanging="720"/>
        <w:rPr>
          <w:rFonts w:ascii="Arial" w:hAnsi="Arial" w:cs="Arial"/>
          <w:bCs/>
          <w:sz w:val="24"/>
          <w:szCs w:val="24"/>
        </w:rPr>
      </w:pPr>
      <w:r>
        <w:rPr>
          <w:rFonts w:ascii="Arial" w:hAnsi="Arial" w:cs="Arial"/>
          <w:bCs/>
          <w:sz w:val="24"/>
          <w:szCs w:val="24"/>
        </w:rPr>
        <w:t xml:space="preserve">Gay, G. (2010). Chapter 2.  Pedagogical potential of cultural responsiveness. In </w:t>
      </w:r>
      <w:r w:rsidRPr="00E40E4D">
        <w:rPr>
          <w:rFonts w:ascii="Arial" w:hAnsi="Arial" w:cs="Arial"/>
          <w:bCs/>
          <w:i/>
          <w:sz w:val="24"/>
          <w:szCs w:val="24"/>
        </w:rPr>
        <w:t>Culturally Responsive Teaching</w:t>
      </w:r>
      <w:r>
        <w:rPr>
          <w:rFonts w:ascii="Arial" w:hAnsi="Arial" w:cs="Arial"/>
          <w:bCs/>
          <w:i/>
          <w:sz w:val="24"/>
          <w:szCs w:val="24"/>
        </w:rPr>
        <w:t>, 2</w:t>
      </w:r>
      <w:r w:rsidRPr="00E40E4D">
        <w:rPr>
          <w:rFonts w:ascii="Arial" w:hAnsi="Arial" w:cs="Arial"/>
          <w:bCs/>
          <w:i/>
          <w:sz w:val="24"/>
          <w:szCs w:val="24"/>
          <w:vertAlign w:val="superscript"/>
        </w:rPr>
        <w:t>nd</w:t>
      </w:r>
      <w:r>
        <w:rPr>
          <w:rFonts w:ascii="Arial" w:hAnsi="Arial" w:cs="Arial"/>
          <w:bCs/>
          <w:i/>
          <w:sz w:val="24"/>
          <w:szCs w:val="24"/>
        </w:rPr>
        <w:t xml:space="preserve"> ed</w:t>
      </w:r>
      <w:r>
        <w:rPr>
          <w:rFonts w:ascii="Arial" w:hAnsi="Arial" w:cs="Arial"/>
          <w:bCs/>
          <w:sz w:val="24"/>
          <w:szCs w:val="24"/>
        </w:rPr>
        <w:t xml:space="preserve"> (pp. 22-46). New York: Teacher’s College Press. </w:t>
      </w:r>
    </w:p>
    <w:p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Gregerson, T.</w:t>
      </w:r>
      <w:r w:rsidR="00E072AD">
        <w:rPr>
          <w:rFonts w:ascii="Arial" w:hAnsi="Arial" w:cs="Arial"/>
          <w:bCs/>
          <w:sz w:val="24"/>
          <w:szCs w:val="24"/>
        </w:rPr>
        <w:t xml:space="preserve"> </w:t>
      </w:r>
      <w:r w:rsidRPr="00BA7217">
        <w:rPr>
          <w:rFonts w:ascii="Arial" w:hAnsi="Arial" w:cs="Arial"/>
          <w:bCs/>
          <w:sz w:val="24"/>
          <w:szCs w:val="24"/>
        </w:rPr>
        <w:t xml:space="preserve">(2007).  Language learning beyond words: Incorporating body language into classroom activities.  </w:t>
      </w:r>
      <w:r w:rsidRPr="00BA7217">
        <w:rPr>
          <w:rFonts w:ascii="Arial" w:hAnsi="Arial" w:cs="Arial"/>
          <w:bCs/>
          <w:i/>
          <w:sz w:val="24"/>
          <w:szCs w:val="24"/>
        </w:rPr>
        <w:t>Reflections on English Language Teaching, 6</w:t>
      </w:r>
      <w:r w:rsidRPr="00BA7217">
        <w:rPr>
          <w:rFonts w:ascii="Arial" w:hAnsi="Arial" w:cs="Arial"/>
          <w:bCs/>
          <w:sz w:val="24"/>
          <w:szCs w:val="24"/>
        </w:rPr>
        <w:t xml:space="preserve"> (1),  51-64</w:t>
      </w:r>
    </w:p>
    <w:p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 xml:space="preserve">Guo, Y. (2011). Beyond deficit paradigms: Exploring informal learning of immigrant parents. </w:t>
      </w:r>
      <w:r w:rsidRPr="00BA7217">
        <w:rPr>
          <w:rFonts w:ascii="Arial" w:hAnsi="Arial" w:cs="Arial"/>
          <w:bCs/>
          <w:i/>
          <w:sz w:val="24"/>
          <w:szCs w:val="24"/>
        </w:rPr>
        <w:t xml:space="preserve">The Canadian Journal for the Study of Adult Education, 24 </w:t>
      </w:r>
      <w:r w:rsidRPr="00BA7217">
        <w:rPr>
          <w:rFonts w:ascii="Arial" w:hAnsi="Arial" w:cs="Arial"/>
          <w:bCs/>
          <w:sz w:val="24"/>
          <w:szCs w:val="24"/>
        </w:rPr>
        <w:t xml:space="preserve">(1), 45-59. </w:t>
      </w:r>
    </w:p>
    <w:p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Cabral,R. M., &amp; Murry, K.G. (2013).  Assessment of acculturation.  In </w:t>
      </w:r>
      <w:r w:rsidRPr="00E40E4D">
        <w:rPr>
          <w:rFonts w:ascii="Arial" w:hAnsi="Arial" w:cs="Arial"/>
          <w:bCs/>
          <w:i/>
          <w:sz w:val="24"/>
          <w:szCs w:val="24"/>
        </w:rPr>
        <w:t>Assessment accom</w:t>
      </w:r>
      <w:r w:rsidR="00E660E2">
        <w:rPr>
          <w:rFonts w:ascii="Arial" w:hAnsi="Arial" w:cs="Arial"/>
          <w:bCs/>
          <w:i/>
          <w:sz w:val="24"/>
          <w:szCs w:val="24"/>
        </w:rPr>
        <w:t>m</w:t>
      </w:r>
      <w:r w:rsidRPr="00E40E4D">
        <w:rPr>
          <w:rFonts w:ascii="Arial" w:hAnsi="Arial" w:cs="Arial"/>
          <w:bCs/>
          <w:i/>
          <w:sz w:val="24"/>
          <w:szCs w:val="24"/>
        </w:rPr>
        <w:t>odations for classroom teachers of culturally and linguistically diverse students.</w:t>
      </w:r>
      <w:r w:rsidRPr="00BA7217">
        <w:rPr>
          <w:rFonts w:ascii="Arial" w:hAnsi="Arial" w:cs="Arial"/>
          <w:bCs/>
          <w:sz w:val="24"/>
          <w:szCs w:val="24"/>
        </w:rPr>
        <w:t xml:space="preserve"> (2</w:t>
      </w:r>
      <w:r w:rsidRPr="00BA7217">
        <w:rPr>
          <w:rFonts w:ascii="Arial" w:hAnsi="Arial" w:cs="Arial"/>
          <w:bCs/>
          <w:sz w:val="24"/>
          <w:szCs w:val="24"/>
          <w:vertAlign w:val="superscript"/>
        </w:rPr>
        <w:t>nd</w:t>
      </w:r>
      <w:r w:rsidRPr="00BA7217">
        <w:rPr>
          <w:rFonts w:ascii="Arial" w:hAnsi="Arial" w:cs="Arial"/>
          <w:bCs/>
          <w:sz w:val="24"/>
          <w:szCs w:val="24"/>
        </w:rPr>
        <w:t xml:space="preserve"> ed.) (pp. 90-129). New York: Pearson. </w:t>
      </w:r>
    </w:p>
    <w:p w:rsidR="00D545EA"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G. (2015). Chapter 2 Biography driven instruction. In Biography driven culturally responsive teaching (pp. 16-28). New York: Teacher’s College Press. </w:t>
      </w:r>
    </w:p>
    <w:p w:rsidR="00680033" w:rsidRPr="00BA7217" w:rsidRDefault="00680033" w:rsidP="00680033">
      <w:pPr>
        <w:ind w:left="720" w:hanging="720"/>
        <w:rPr>
          <w:rFonts w:ascii="Arial" w:hAnsi="Arial" w:cs="Arial"/>
          <w:bCs/>
          <w:sz w:val="24"/>
          <w:szCs w:val="24"/>
        </w:rPr>
      </w:pPr>
      <w:r>
        <w:rPr>
          <w:rFonts w:ascii="Arial" w:hAnsi="Arial" w:cs="Arial"/>
          <w:bCs/>
          <w:sz w:val="24"/>
          <w:szCs w:val="24"/>
        </w:rPr>
        <w:t>Lu, H., &amp; Luk, J. (2014). “I would study harder if I was a girl.” Gendered narratives of low-achieving male and high-achieving female EFL l</w:t>
      </w:r>
      <w:r w:rsidRPr="00680033">
        <w:rPr>
          <w:rFonts w:ascii="Arial" w:hAnsi="Arial" w:cs="Arial"/>
          <w:bCs/>
          <w:sz w:val="24"/>
          <w:szCs w:val="24"/>
        </w:rPr>
        <w:t>earners</w:t>
      </w:r>
      <w:r>
        <w:rPr>
          <w:rFonts w:ascii="Arial" w:hAnsi="Arial" w:cs="Arial"/>
          <w:bCs/>
          <w:sz w:val="24"/>
          <w:szCs w:val="24"/>
        </w:rPr>
        <w:t xml:space="preserve">. </w:t>
      </w:r>
      <w:r w:rsidRPr="00680033">
        <w:rPr>
          <w:rFonts w:ascii="Arial" w:hAnsi="Arial" w:cs="Arial"/>
          <w:bCs/>
          <w:i/>
          <w:sz w:val="24"/>
          <w:szCs w:val="24"/>
        </w:rPr>
        <w:t>Journal of Language, Identity and Education, 13</w:t>
      </w:r>
      <w:r>
        <w:rPr>
          <w:rFonts w:ascii="Arial" w:hAnsi="Arial" w:cs="Arial"/>
          <w:bCs/>
          <w:sz w:val="24"/>
          <w:szCs w:val="24"/>
        </w:rPr>
        <w:t xml:space="preserve">, 1-15.   </w:t>
      </w:r>
    </w:p>
    <w:p w:rsidR="00D545EA" w:rsidRDefault="00D545EA" w:rsidP="00FD3AB4">
      <w:pPr>
        <w:ind w:left="720" w:hanging="720"/>
        <w:rPr>
          <w:rFonts w:ascii="Arial" w:hAnsi="Arial" w:cs="Arial"/>
          <w:bCs/>
          <w:sz w:val="24"/>
          <w:szCs w:val="24"/>
        </w:rPr>
      </w:pPr>
      <w:r w:rsidRPr="00BA7217">
        <w:rPr>
          <w:rFonts w:ascii="Arial" w:hAnsi="Arial" w:cs="Arial"/>
          <w:bCs/>
          <w:sz w:val="24"/>
          <w:szCs w:val="24"/>
        </w:rPr>
        <w:t xml:space="preserve">Igoa, C. (1995). Chapter 2: The phenomenon of uprooting. In </w:t>
      </w:r>
      <w:r w:rsidRPr="00BA7217">
        <w:rPr>
          <w:rFonts w:ascii="Arial" w:hAnsi="Arial" w:cs="Arial"/>
          <w:bCs/>
          <w:i/>
          <w:sz w:val="24"/>
          <w:szCs w:val="24"/>
        </w:rPr>
        <w:t xml:space="preserve">The inner world of the immigrant child </w:t>
      </w:r>
      <w:r w:rsidRPr="00BA7217">
        <w:rPr>
          <w:rFonts w:ascii="Arial" w:hAnsi="Arial" w:cs="Arial"/>
          <w:bCs/>
          <w:sz w:val="24"/>
          <w:szCs w:val="24"/>
        </w:rPr>
        <w:t xml:space="preserve">(pp. 37-69). New York: Routledge. </w:t>
      </w:r>
    </w:p>
    <w:p w:rsidR="004E48CD" w:rsidRPr="00BA7217" w:rsidRDefault="004E48CD" w:rsidP="00FD3AB4">
      <w:pPr>
        <w:ind w:left="720" w:hanging="720"/>
        <w:rPr>
          <w:rFonts w:ascii="Arial" w:hAnsi="Arial" w:cs="Arial"/>
          <w:bCs/>
          <w:sz w:val="24"/>
          <w:szCs w:val="24"/>
        </w:rPr>
      </w:pPr>
      <w:r w:rsidRPr="004E48CD">
        <w:rPr>
          <w:rFonts w:ascii="Arial" w:hAnsi="Arial" w:cs="Arial"/>
          <w:bCs/>
          <w:sz w:val="24"/>
          <w:szCs w:val="24"/>
        </w:rPr>
        <w:t>Malsbary, C. B. (2014). “It’s not just learning English, it’s learning other cultures”: belonging, power, and possibility in an immigrant conta</w:t>
      </w:r>
      <w:r>
        <w:rPr>
          <w:rFonts w:ascii="Arial" w:hAnsi="Arial" w:cs="Arial"/>
          <w:bCs/>
          <w:sz w:val="24"/>
          <w:szCs w:val="24"/>
        </w:rPr>
        <w:t xml:space="preserve">ct zone. </w:t>
      </w:r>
      <w:r w:rsidRPr="004E48CD">
        <w:rPr>
          <w:rFonts w:ascii="Arial" w:hAnsi="Arial" w:cs="Arial"/>
          <w:bCs/>
          <w:i/>
          <w:sz w:val="24"/>
          <w:szCs w:val="24"/>
        </w:rPr>
        <w:t>International Journal o</w:t>
      </w:r>
      <w:r w:rsidR="002425FF">
        <w:rPr>
          <w:rFonts w:ascii="Arial" w:hAnsi="Arial" w:cs="Arial"/>
          <w:bCs/>
          <w:i/>
          <w:sz w:val="24"/>
          <w:szCs w:val="24"/>
        </w:rPr>
        <w:t>f Qualitative Studies i</w:t>
      </w:r>
      <w:r w:rsidRPr="004E48CD">
        <w:rPr>
          <w:rFonts w:ascii="Arial" w:hAnsi="Arial" w:cs="Arial"/>
          <w:bCs/>
          <w:i/>
          <w:sz w:val="24"/>
          <w:szCs w:val="24"/>
        </w:rPr>
        <w:t>n Education</w:t>
      </w:r>
      <w:r w:rsidRPr="004E48CD">
        <w:rPr>
          <w:rFonts w:ascii="Arial" w:hAnsi="Arial" w:cs="Arial"/>
          <w:bCs/>
          <w:sz w:val="24"/>
          <w:szCs w:val="24"/>
        </w:rPr>
        <w:t xml:space="preserve"> (QSE), 27(10), 1312-1336. doi:10.1080/09518398.2013.837210</w:t>
      </w:r>
    </w:p>
    <w:p w:rsidR="003A0595" w:rsidRDefault="00ED1B1F" w:rsidP="00A0769D">
      <w:pPr>
        <w:ind w:left="720" w:hanging="720"/>
        <w:rPr>
          <w:rFonts w:ascii="Arial" w:hAnsi="Arial" w:cs="Arial"/>
          <w:bCs/>
          <w:sz w:val="24"/>
          <w:szCs w:val="24"/>
        </w:rPr>
      </w:pPr>
      <w:r>
        <w:rPr>
          <w:rFonts w:ascii="Arial" w:hAnsi="Arial" w:cs="Arial"/>
          <w:bCs/>
          <w:sz w:val="24"/>
          <w:szCs w:val="24"/>
        </w:rPr>
        <w:t>Martin, J. N.</w:t>
      </w:r>
      <w:r w:rsidR="008E46D6">
        <w:rPr>
          <w:rFonts w:ascii="Arial" w:hAnsi="Arial" w:cs="Arial"/>
          <w:bCs/>
          <w:sz w:val="24"/>
          <w:szCs w:val="24"/>
        </w:rPr>
        <w:t>,</w:t>
      </w:r>
      <w:r>
        <w:rPr>
          <w:rFonts w:ascii="Arial" w:hAnsi="Arial" w:cs="Arial"/>
          <w:bCs/>
          <w:sz w:val="24"/>
          <w:szCs w:val="24"/>
        </w:rPr>
        <w:t xml:space="preserve"> &amp; Nakayama, T. K. (2013).  Chapter 4 History and intercultural communication.  In </w:t>
      </w:r>
      <w:r w:rsidRPr="00E40E4D">
        <w:rPr>
          <w:rFonts w:ascii="Arial" w:hAnsi="Arial" w:cs="Arial"/>
          <w:bCs/>
          <w:i/>
          <w:sz w:val="24"/>
          <w:szCs w:val="24"/>
        </w:rPr>
        <w:t>Intercultural Communication in Contexts</w:t>
      </w:r>
      <w:r>
        <w:rPr>
          <w:rFonts w:ascii="Arial" w:hAnsi="Arial" w:cs="Arial"/>
          <w:bCs/>
          <w:sz w:val="24"/>
          <w:szCs w:val="24"/>
        </w:rPr>
        <w:t xml:space="preserve"> (pp. 126-166).  New York: McGraw-Hill. </w:t>
      </w:r>
    </w:p>
    <w:p w:rsidR="00E65C09" w:rsidRDefault="00D40250" w:rsidP="00196EAD">
      <w:pPr>
        <w:ind w:left="720" w:hanging="720"/>
        <w:rPr>
          <w:rFonts w:ascii="Arial" w:hAnsi="Arial" w:cs="Arial"/>
          <w:sz w:val="24"/>
          <w:szCs w:val="24"/>
        </w:rPr>
      </w:pPr>
      <w:r>
        <w:rPr>
          <w:rFonts w:ascii="Arial" w:hAnsi="Arial" w:cs="Arial"/>
          <w:sz w:val="24"/>
          <w:szCs w:val="24"/>
        </w:rPr>
        <w:t>Neuliep, J. W. (2015). Chapter 10</w:t>
      </w:r>
      <w:r w:rsidR="00E65C09">
        <w:rPr>
          <w:rFonts w:ascii="Arial" w:hAnsi="Arial" w:cs="Arial"/>
          <w:sz w:val="24"/>
          <w:szCs w:val="24"/>
        </w:rPr>
        <w:t xml:space="preserve"> Cultural conflict. In </w:t>
      </w:r>
      <w:r w:rsidR="00A0769D">
        <w:rPr>
          <w:rFonts w:ascii="Arial" w:hAnsi="Arial" w:cs="Arial"/>
          <w:i/>
          <w:sz w:val="24"/>
          <w:szCs w:val="24"/>
        </w:rPr>
        <w:t>Intercultural c</w:t>
      </w:r>
      <w:r w:rsidR="00E65C09" w:rsidRPr="00196EAD">
        <w:rPr>
          <w:rFonts w:ascii="Arial" w:hAnsi="Arial" w:cs="Arial"/>
          <w:i/>
          <w:sz w:val="24"/>
          <w:szCs w:val="24"/>
        </w:rPr>
        <w:t>ommunicat</w:t>
      </w:r>
      <w:r w:rsidR="00196EAD" w:rsidRPr="00196EAD">
        <w:rPr>
          <w:rFonts w:ascii="Arial" w:hAnsi="Arial" w:cs="Arial"/>
          <w:i/>
          <w:sz w:val="24"/>
          <w:szCs w:val="24"/>
        </w:rPr>
        <w:t>ion: A contextual approach</w:t>
      </w:r>
      <w:r w:rsidR="00196EAD">
        <w:rPr>
          <w:rFonts w:ascii="Arial" w:hAnsi="Arial" w:cs="Arial"/>
          <w:sz w:val="24"/>
          <w:szCs w:val="24"/>
        </w:rPr>
        <w:t xml:space="preserve"> (pp. 373-398).  Thousand Oaks, CA: Sage.  </w:t>
      </w:r>
    </w:p>
    <w:p w:rsidR="00D545EA" w:rsidRDefault="004A73E7" w:rsidP="004A73E7">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ontext of Multicultural Education 6th ed</w:t>
      </w:r>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p>
    <w:p w:rsidR="00826D9C" w:rsidRDefault="00826D9C" w:rsidP="004A73E7">
      <w:pPr>
        <w:ind w:left="720" w:hanging="720"/>
        <w:rPr>
          <w:rFonts w:ascii="Arial" w:hAnsi="Arial" w:cs="Arial"/>
          <w:sz w:val="24"/>
          <w:szCs w:val="24"/>
        </w:rPr>
      </w:pPr>
      <w:r>
        <w:rPr>
          <w:rFonts w:ascii="Arial" w:hAnsi="Arial" w:cs="Arial"/>
          <w:sz w:val="24"/>
          <w:szCs w:val="24"/>
        </w:rPr>
        <w:t xml:space="preserve">Ting-Toomey, S. &amp; Chung, L.L. (2011). Chapter 8: What causes us to hold biases against outgroups?  In </w:t>
      </w:r>
      <w:r w:rsidRPr="00643FC6">
        <w:rPr>
          <w:rFonts w:ascii="Arial" w:hAnsi="Arial" w:cs="Arial"/>
          <w:i/>
          <w:sz w:val="24"/>
          <w:szCs w:val="24"/>
        </w:rPr>
        <w:t>Understanding In</w:t>
      </w:r>
      <w:r w:rsidR="00514EAD" w:rsidRPr="00643FC6">
        <w:rPr>
          <w:rFonts w:ascii="Arial" w:hAnsi="Arial" w:cs="Arial"/>
          <w:i/>
          <w:sz w:val="24"/>
          <w:szCs w:val="24"/>
        </w:rPr>
        <w:t>tercultural Communication</w:t>
      </w:r>
      <w:r w:rsidR="00514EAD">
        <w:rPr>
          <w:rFonts w:ascii="Arial" w:hAnsi="Arial" w:cs="Arial"/>
          <w:sz w:val="24"/>
          <w:szCs w:val="24"/>
        </w:rPr>
        <w:t xml:space="preserve"> (pp.157-178</w:t>
      </w:r>
      <w:r>
        <w:rPr>
          <w:rFonts w:ascii="Arial" w:hAnsi="Arial" w:cs="Arial"/>
          <w:sz w:val="24"/>
          <w:szCs w:val="24"/>
        </w:rPr>
        <w:t xml:space="preserve">). New York: Oxford University Press. </w:t>
      </w:r>
    </w:p>
    <w:p w:rsidR="006A12B0" w:rsidRDefault="006A12B0" w:rsidP="004A73E7">
      <w:pPr>
        <w:ind w:left="720" w:hanging="720"/>
        <w:rPr>
          <w:rFonts w:ascii="Arial" w:hAnsi="Arial" w:cs="Arial"/>
          <w:sz w:val="24"/>
          <w:szCs w:val="24"/>
        </w:rPr>
      </w:pPr>
      <w:r>
        <w:rPr>
          <w:rFonts w:ascii="Arial" w:hAnsi="Arial" w:cs="Arial"/>
          <w:sz w:val="24"/>
          <w:szCs w:val="24"/>
        </w:rPr>
        <w:lastRenderedPageBreak/>
        <w:t xml:space="preserve">Vandrick, S. (2015). No “knapsack of Invisible privilege” for ESL university students. </w:t>
      </w:r>
      <w:r w:rsidRPr="006A12B0">
        <w:rPr>
          <w:rFonts w:ascii="Arial" w:hAnsi="Arial" w:cs="Arial"/>
          <w:i/>
          <w:sz w:val="24"/>
          <w:szCs w:val="24"/>
        </w:rPr>
        <w:t>Journal of Language, Identity &amp; Education, 14</w:t>
      </w:r>
      <w:r w:rsidRPr="006A12B0">
        <w:rPr>
          <w:rFonts w:ascii="Arial" w:hAnsi="Arial" w:cs="Arial"/>
          <w:sz w:val="24"/>
          <w:szCs w:val="24"/>
        </w:rPr>
        <w:t>(1), 54-59</w:t>
      </w:r>
    </w:p>
    <w:p w:rsidR="00CE4C33" w:rsidRPr="00BA7217" w:rsidRDefault="00E65C09" w:rsidP="00E65C09">
      <w:pPr>
        <w:ind w:left="720" w:hanging="720"/>
        <w:rPr>
          <w:rFonts w:ascii="Arial" w:hAnsi="Arial" w:cs="Arial"/>
          <w:sz w:val="24"/>
          <w:szCs w:val="24"/>
        </w:rPr>
      </w:pPr>
      <w:r>
        <w:rPr>
          <w:rFonts w:ascii="Arial" w:hAnsi="Arial" w:cs="Arial"/>
          <w:sz w:val="24"/>
          <w:szCs w:val="24"/>
        </w:rPr>
        <w:t xml:space="preserve">Wintergerst,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BA7217">
        <w:rPr>
          <w:rFonts w:ascii="Arial" w:hAnsi="Arial" w:cs="Arial"/>
          <w:sz w:val="24"/>
          <w:szCs w:val="24"/>
        </w:rPr>
        <w:t>5</w:t>
      </w:r>
      <w:r w:rsidRPr="00BA7217">
        <w:rPr>
          <w:rFonts w:ascii="Arial" w:hAnsi="Arial" w:cs="Arial"/>
          <w:sz w:val="24"/>
          <w:szCs w:val="24"/>
          <w:shd w:val="clear" w:color="auto" w:fill="D9E2F3" w:themeFill="accent5" w:themeFillTint="33"/>
          <w14:stylisticSets>
            <w14:styleSet w14:id="1"/>
          </w14:stylisticSets>
        </w:rPr>
        <w:t xml:space="preserve">.  </w:t>
      </w:r>
      <w:r w:rsidRPr="00BA7217">
        <w:rPr>
          <w:rStyle w:val="IntenseReference"/>
          <w:rFonts w:ascii="Arial" w:hAnsi="Arial" w:cs="Arial"/>
          <w:sz w:val="24"/>
          <w:szCs w:val="24"/>
          <w:shd w:val="clear" w:color="auto" w:fill="D9E2F3" w:themeFill="accent5" w:themeFillTint="33"/>
          <w14:stylisticSets>
            <w14:styleSet w14:id="1"/>
          </w14:stylisticSets>
        </w:rPr>
        <w:t>Course Student Learning Outcomes</w:t>
      </w:r>
      <w:r w:rsidR="00F77175">
        <w:rPr>
          <w:rStyle w:val="IntenseReference"/>
          <w:rFonts w:ascii="Arial" w:hAnsi="Arial" w:cs="Arial"/>
          <w:sz w:val="24"/>
          <w:szCs w:val="24"/>
          <w:shd w:val="clear" w:color="auto" w:fill="D9E2F3" w:themeFill="accent5" w:themeFillTint="33"/>
          <w14:stylisticSets>
            <w14:styleSet w14:id="1"/>
          </w14:stylisticSets>
        </w:rPr>
        <w:t xml:space="preserve">                                                                         </w:t>
      </w:r>
    </w:p>
    <w:p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assimilation and acculturation.</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home/school connections to build partnerships with ELLs’ families (e.g., Parent Leadership Councils (PLC).</w:t>
      </w:r>
    </w:p>
    <w:p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rsidR="005C4A32" w:rsidRPr="00BA7217" w:rsidRDefault="005C4A32" w:rsidP="005C4A32">
      <w:pPr>
        <w:rPr>
          <w:rFonts w:ascii="Arial" w:hAnsi="Arial" w:cs="Arial"/>
          <w:bCs/>
          <w:sz w:val="24"/>
          <w:szCs w:val="24"/>
        </w:rPr>
      </w:pPr>
    </w:p>
    <w:p w:rsidR="00D77B8E" w:rsidRPr="00BA7217" w:rsidRDefault="00D77B8E" w:rsidP="005C4A32">
      <w:pPr>
        <w:rPr>
          <w:rFonts w:ascii="Arial" w:hAnsi="Arial" w:cs="Arial"/>
          <w:bCs/>
          <w:sz w:val="24"/>
          <w:szCs w:val="24"/>
        </w:rPr>
      </w:pPr>
      <w:r w:rsidRPr="00BA7217">
        <w:rPr>
          <w:rFonts w:ascii="Arial" w:hAnsi="Arial" w:cs="Arial"/>
          <w:bCs/>
          <w:sz w:val="24"/>
          <w:szCs w:val="24"/>
        </w:rPr>
        <w:t>6.  Teacher Education Standards Addressed</w:t>
      </w:r>
    </w:p>
    <w:p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ELLs’ learning.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lastRenderedPageBreak/>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p>
    <w:p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rsidR="0039738A" w:rsidRPr="0039738A" w:rsidRDefault="0039738A" w:rsidP="0039738A">
      <w:pPr>
        <w:pStyle w:val="Default"/>
        <w:ind w:left="1440"/>
        <w:rPr>
          <w:rFonts w:ascii="Arial" w:hAnsi="Arial" w:cs="Arial"/>
        </w:rPr>
      </w:pPr>
      <w:r w:rsidRPr="0039738A">
        <w:rPr>
          <w:rFonts w:ascii="Arial" w:hAnsi="Arial" w:cs="Arial"/>
        </w:rPr>
        <w:t xml:space="preserve">(IV) The interrelationship between language and culture and the roles of language and ethnicity in a multicultural society. </w:t>
      </w:r>
    </w:p>
    <w:p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ELLs’ learning. </w:t>
      </w:r>
    </w:p>
    <w:p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rsidR="0039738A" w:rsidRPr="0039738A" w:rsidRDefault="0039738A" w:rsidP="0039738A">
      <w:pPr>
        <w:pStyle w:val="Default"/>
        <w:ind w:left="1440"/>
        <w:rPr>
          <w:rFonts w:ascii="Arial" w:hAnsi="Arial" w:cs="Arial"/>
        </w:rPr>
      </w:pPr>
      <w:r w:rsidRPr="0039738A">
        <w:rPr>
          <w:rFonts w:ascii="Arial" w:hAnsi="Arial" w:cs="Arial"/>
        </w:rPr>
        <w:lastRenderedPageBreak/>
        <w:t xml:space="preserve">(II) Implement activities and/or cultural events that promote the ELLs’ cultures and foster their learning. </w:t>
      </w:r>
    </w:p>
    <w:p w:rsidR="0039738A" w:rsidRPr="0039738A" w:rsidRDefault="0039738A" w:rsidP="0039738A">
      <w:pPr>
        <w:ind w:left="1440"/>
        <w:rPr>
          <w:rFonts w:ascii="Arial" w:hAnsi="Arial" w:cs="Arial"/>
          <w:bCs/>
          <w:sz w:val="24"/>
          <w:szCs w:val="24"/>
        </w:rPr>
      </w:pPr>
      <w:r w:rsidRPr="0039738A">
        <w:rPr>
          <w:rFonts w:ascii="Arial" w:hAnsi="Arial" w:cs="Arial"/>
          <w:sz w:val="24"/>
          <w:szCs w:val="24"/>
        </w:rPr>
        <w:t>(III) Include ELLs’ cultural experience when building background for instruction</w:t>
      </w:r>
      <w:r>
        <w:rPr>
          <w:sz w:val="23"/>
          <w:szCs w:val="23"/>
        </w:rPr>
        <w:t>.</w:t>
      </w:r>
    </w:p>
    <w:p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a ESOL child’s education in a K-12 school context.  Each of the 5 strategies must be explained what the strategy is, </w:t>
      </w:r>
      <w:r w:rsidR="00C87443">
        <w:rPr>
          <w:rFonts w:ascii="Arial" w:hAnsi="Arial" w:cs="Arial"/>
          <w:sz w:val="24"/>
          <w:szCs w:val="24"/>
        </w:rPr>
        <w:t xml:space="preserve">and the 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students, and explain how </w:t>
      </w:r>
      <w:r w:rsidR="004B467D">
        <w:rPr>
          <w:rFonts w:ascii="Arial" w:hAnsi="Arial" w:cs="Arial"/>
          <w:sz w:val="24"/>
          <w:szCs w:val="24"/>
        </w:rPr>
        <w:t xml:space="preserve">the theoretical reasons that </w:t>
      </w:r>
      <w:r w:rsidR="00C87443">
        <w:rPr>
          <w:rFonts w:ascii="Arial" w:hAnsi="Arial" w:cs="Arial"/>
          <w:sz w:val="24"/>
          <w:szCs w:val="24"/>
        </w:rPr>
        <w:t xml:space="preserve">this strategy would benefit the long-term development of the students in terms of their language development and community engagement.  </w:t>
      </w:r>
      <w:r>
        <w:rPr>
          <w:rFonts w:ascii="Arial" w:hAnsi="Arial" w:cs="Arial"/>
          <w:sz w:val="24"/>
          <w:szCs w:val="24"/>
        </w:rPr>
        <w:t xml:space="preserve"> </w:t>
      </w:r>
    </w:p>
    <w:p w:rsidR="000F33F6" w:rsidRPr="00E56EF9"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rsidR="00D7399B" w:rsidRPr="00BA7217"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 xml:space="preserve">You will select a cultural group or event(s) to work with, attend, and/or investigate, individually or in a small group, outside of the in-school context. This might involve volunteering at a community center for a particular ethnic/language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relates to what we have discussed in class, and what conclusions of relevance to teaching ELL students that you can draw. </w:t>
      </w:r>
    </w:p>
    <w:p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lastRenderedPageBreak/>
        <w:t xml:space="preserve">Cultural Miscommunication Paper </w:t>
      </w:r>
    </w:p>
    <w:p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Offer at least two ways to minimize cultural misunderstanding of this phenomenon.</w:t>
      </w:r>
    </w:p>
    <w:p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Conclude the paper with a description of how the knowledge that you have gained from this assignment will influence the way that you interact with ELLs in the classroom.   </w:t>
      </w:r>
    </w:p>
    <w:p w:rsidR="00D7399B" w:rsidRPr="00BA7217" w:rsidRDefault="00D7399B" w:rsidP="00D7399B">
      <w:pPr>
        <w:pStyle w:val="NormalWeb"/>
        <w:ind w:left="1080"/>
        <w:rPr>
          <w:rFonts w:ascii="Arial" w:hAnsi="Arial" w:cs="Arial"/>
          <w:color w:val="000000"/>
          <w:szCs w:val="24"/>
          <w:shd w:val="clear" w:color="auto" w:fill="FEFEFE"/>
        </w:rPr>
      </w:pPr>
      <w:r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Pr="00BA7217">
        <w:rPr>
          <w:rFonts w:ascii="Arial" w:hAnsi="Arial" w:cs="Arial"/>
          <w:color w:val="000000"/>
          <w:szCs w:val="24"/>
          <w:shd w:val="clear" w:color="auto" w:fill="FEFEFE"/>
        </w:rPr>
        <w:t xml:space="preserve"> </w:t>
      </w:r>
    </w:p>
    <w:p w:rsidR="00D7399B" w:rsidRPr="00BA7217" w:rsidRDefault="00D7399B" w:rsidP="00D7399B">
      <w:pPr>
        <w:pStyle w:val="NormalWeb"/>
        <w:ind w:left="360"/>
        <w:rPr>
          <w:rFonts w:ascii="Arial" w:hAnsi="Arial" w:cs="Arial"/>
          <w:szCs w:val="24"/>
          <w:lang w:val="en"/>
        </w:rPr>
      </w:pPr>
    </w:p>
    <w:p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rsidR="00D7399B" w:rsidRPr="00BA7217" w:rsidRDefault="00D7399B" w:rsidP="00D7399B">
      <w:pPr>
        <w:pStyle w:val="NormalWeb"/>
        <w:ind w:left="360"/>
        <w:rPr>
          <w:rFonts w:ascii="Arial" w:hAnsi="Arial" w:cs="Arial"/>
          <w:szCs w:val="24"/>
        </w:rPr>
      </w:pPr>
      <w:r w:rsidRPr="00BA7217">
        <w:rPr>
          <w:rFonts w:ascii="Arial" w:hAnsi="Arial" w:cs="Arial"/>
          <w:szCs w:val="24"/>
        </w:rPr>
        <w:t>Participation in weekly assignments is your way of demonstrating your completion of reading assignments and your ability to apply what you have read to the field of 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rsidR="008C34D2" w:rsidRDefault="008C34D2" w:rsidP="008C34D2">
      <w:pPr>
        <w:pStyle w:val="NormalWeb"/>
        <w:rPr>
          <w:rFonts w:ascii="Arial" w:hAnsi="Arial" w:cs="Arial"/>
          <w:b/>
          <w:bCs/>
          <w:color w:val="000000"/>
          <w:szCs w:val="24"/>
        </w:rPr>
      </w:pPr>
    </w:p>
    <w:p w:rsidR="008C34D2" w:rsidRPr="008C34D2" w:rsidRDefault="008C34D2" w:rsidP="008C34D2">
      <w:pPr>
        <w:pStyle w:val="Header"/>
        <w:numPr>
          <w:ilvl w:val="0"/>
          <w:numId w:val="3"/>
        </w:numPr>
        <w:tabs>
          <w:tab w:val="clear" w:pos="4320"/>
          <w:tab w:val="clear" w:pos="8640"/>
        </w:tabs>
        <w:rPr>
          <w:rFonts w:ascii="Arial" w:hAnsi="Arial" w:cs="Arial"/>
          <w:i/>
        </w:rPr>
      </w:pPr>
      <w:r w:rsidRPr="008C34D2">
        <w:rPr>
          <w:rFonts w:ascii="Arial" w:hAnsi="Arial" w:cs="Arial"/>
        </w:rPr>
        <w:t>Response Papers</w:t>
      </w:r>
      <w:r w:rsidRPr="008C34D2">
        <w:rPr>
          <w:rFonts w:ascii="Arial" w:hAnsi="Arial" w:cs="Arial"/>
          <w:i/>
        </w:rPr>
        <w:t>:</w:t>
      </w:r>
    </w:p>
    <w:p w:rsidR="008C34D2" w:rsidRPr="008C34D2" w:rsidRDefault="008C34D2" w:rsidP="00B84F89">
      <w:pPr>
        <w:pStyle w:val="NormalWeb"/>
        <w:ind w:left="720"/>
        <w:rPr>
          <w:rFonts w:ascii="Arial" w:hAnsi="Arial" w:cs="Arial"/>
          <w:b/>
          <w:bCs/>
          <w:color w:val="000000"/>
          <w:szCs w:val="24"/>
        </w:rPr>
      </w:pPr>
      <w:r w:rsidRPr="008C34D2">
        <w:rPr>
          <w:rFonts w:ascii="Arial" w:hAnsi="Arial" w:cs="Arial"/>
          <w:szCs w:val="24"/>
        </w:rPr>
        <w:tab/>
      </w:r>
      <w:r w:rsidRPr="008C34D2">
        <w:rPr>
          <w:rFonts w:ascii="Arial" w:eastAsia="Calibri" w:hAnsi="Arial" w:cs="Arial"/>
          <w:szCs w:val="24"/>
        </w:rP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8C34D2">
        <w:rPr>
          <w:rFonts w:ascii="Arial" w:eastAsia="Calibri" w:hAnsi="Arial" w:cs="Arial"/>
          <w:b/>
          <w:szCs w:val="24"/>
        </w:rPr>
        <w:t>The paper should be 3 pages long and be double spaced</w:t>
      </w:r>
      <w:r w:rsidRPr="008C34D2">
        <w:rPr>
          <w:rFonts w:ascii="Arial" w:eastAsia="Calibri" w:hAnsi="Arial" w:cs="Arial"/>
          <w:szCs w:val="24"/>
        </w:rPr>
        <w:t xml:space="preserve">.  Papers must be handed in on the day that that particular reading is discussed. </w:t>
      </w:r>
      <w:r>
        <w:rPr>
          <w:rFonts w:ascii="Arial" w:eastAsia="Calibri" w:hAnsi="Arial" w:cs="Arial"/>
          <w:szCs w:val="24"/>
        </w:rPr>
        <w:t xml:space="preserve">One paper should cover a reading from the first half of the semester, and the second paper should cover content from the second half of the semester. </w:t>
      </w:r>
      <w:r w:rsidRPr="008C34D2">
        <w:rPr>
          <w:rFonts w:ascii="Arial" w:eastAsia="Calibri" w:hAnsi="Arial" w:cs="Arial"/>
          <w:szCs w:val="24"/>
        </w:rPr>
        <w:t>Please submit to Canvas.  The due dates for the papers (2 of them) have been spaced throughout the semester to prevent procrastination until the end of the semester. You cannot submit two papers on the same day</w:t>
      </w:r>
      <w:r w:rsidRPr="008C34D2">
        <w:rPr>
          <w:rFonts w:ascii="Arial" w:hAnsi="Arial" w:cs="Arial"/>
          <w:b/>
          <w:bCs/>
          <w:color w:val="000000"/>
          <w:szCs w:val="24"/>
        </w:rPr>
        <w:t xml:space="preserve"> </w:t>
      </w:r>
    </w:p>
    <w:p w:rsidR="00D7399B" w:rsidRPr="00BA7217" w:rsidRDefault="00D7399B" w:rsidP="00D7399B">
      <w:pPr>
        <w:pStyle w:val="NormalWeb"/>
        <w:numPr>
          <w:ilvl w:val="0"/>
          <w:numId w:val="3"/>
        </w:numPr>
        <w:rPr>
          <w:rFonts w:ascii="Arial" w:hAnsi="Arial" w:cs="Arial"/>
          <w:b/>
          <w:bCs/>
          <w:color w:val="000000"/>
          <w:szCs w:val="24"/>
          <w:u w:val="single"/>
        </w:rPr>
      </w:pPr>
      <w:r w:rsidRPr="00BA7217">
        <w:rPr>
          <w:rFonts w:ascii="Arial" w:hAnsi="Arial" w:cs="Arial"/>
          <w:b/>
          <w:szCs w:val="24"/>
        </w:rPr>
        <w:t>Semester Exam</w:t>
      </w:r>
    </w:p>
    <w:p w:rsidR="008C34D2" w:rsidRPr="004629F4" w:rsidRDefault="00D7399B" w:rsidP="004629F4">
      <w:pPr>
        <w:pStyle w:val="NormalWeb"/>
        <w:ind w:left="360"/>
        <w:rPr>
          <w:rFonts w:ascii="Arial" w:hAnsi="Arial" w:cs="Arial"/>
          <w:szCs w:val="24"/>
        </w:rPr>
      </w:pPr>
      <w:r w:rsidRPr="00BA7217">
        <w:rPr>
          <w:rFonts w:ascii="Arial" w:hAnsi="Arial" w:cs="Arial"/>
          <w:szCs w:val="24"/>
        </w:rPr>
        <w:t xml:space="preserve">The exam will be a cumulative essay exam that assesses the standards and content taught in this course. </w:t>
      </w:r>
    </w:p>
    <w:sectPr w:rsidR="008C34D2" w:rsidRPr="004629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AA" w:rsidRDefault="003C28AA" w:rsidP="003C28AA">
      <w:pPr>
        <w:spacing w:after="0" w:line="240" w:lineRule="auto"/>
      </w:pPr>
      <w:r>
        <w:separator/>
      </w:r>
    </w:p>
  </w:endnote>
  <w:endnote w:type="continuationSeparator" w:id="0">
    <w:p w:rsidR="003C28AA" w:rsidRDefault="003C28AA"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AA" w:rsidRDefault="003C28AA" w:rsidP="003C28AA">
      <w:pPr>
        <w:spacing w:after="0" w:line="240" w:lineRule="auto"/>
      </w:pPr>
      <w:r>
        <w:separator/>
      </w:r>
    </w:p>
  </w:footnote>
  <w:footnote w:type="continuationSeparator" w:id="0">
    <w:p w:rsidR="003C28AA" w:rsidRDefault="003C28AA"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6B2E4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A"/>
    <w:rsid w:val="00027AF8"/>
    <w:rsid w:val="00064C13"/>
    <w:rsid w:val="000D35C3"/>
    <w:rsid w:val="000F33F6"/>
    <w:rsid w:val="00196EAD"/>
    <w:rsid w:val="001A09B5"/>
    <w:rsid w:val="001F6622"/>
    <w:rsid w:val="001F6A47"/>
    <w:rsid w:val="002167F4"/>
    <w:rsid w:val="0022594E"/>
    <w:rsid w:val="002425FF"/>
    <w:rsid w:val="00257BEE"/>
    <w:rsid w:val="00271D86"/>
    <w:rsid w:val="00276515"/>
    <w:rsid w:val="00282A2A"/>
    <w:rsid w:val="00293B60"/>
    <w:rsid w:val="002A2D64"/>
    <w:rsid w:val="002C21DB"/>
    <w:rsid w:val="002E02A5"/>
    <w:rsid w:val="002E1ED2"/>
    <w:rsid w:val="002F1339"/>
    <w:rsid w:val="003273C0"/>
    <w:rsid w:val="00352F59"/>
    <w:rsid w:val="0036533A"/>
    <w:rsid w:val="0039738A"/>
    <w:rsid w:val="003A0595"/>
    <w:rsid w:val="003C28AA"/>
    <w:rsid w:val="003D0594"/>
    <w:rsid w:val="003D31DD"/>
    <w:rsid w:val="0040156A"/>
    <w:rsid w:val="00417D3B"/>
    <w:rsid w:val="004629F4"/>
    <w:rsid w:val="00477043"/>
    <w:rsid w:val="00493580"/>
    <w:rsid w:val="004A73E7"/>
    <w:rsid w:val="004B467D"/>
    <w:rsid w:val="004C518A"/>
    <w:rsid w:val="004E48CD"/>
    <w:rsid w:val="004F6EF6"/>
    <w:rsid w:val="004F7D1A"/>
    <w:rsid w:val="005022F7"/>
    <w:rsid w:val="00507CB5"/>
    <w:rsid w:val="00514EAD"/>
    <w:rsid w:val="00515F8F"/>
    <w:rsid w:val="00521EDC"/>
    <w:rsid w:val="00547AA7"/>
    <w:rsid w:val="00560E4E"/>
    <w:rsid w:val="00577251"/>
    <w:rsid w:val="005C4A32"/>
    <w:rsid w:val="005F3CFB"/>
    <w:rsid w:val="005F584F"/>
    <w:rsid w:val="005F6FEF"/>
    <w:rsid w:val="006327F2"/>
    <w:rsid w:val="00643FC6"/>
    <w:rsid w:val="00680033"/>
    <w:rsid w:val="00691B8E"/>
    <w:rsid w:val="006959A0"/>
    <w:rsid w:val="006A12B0"/>
    <w:rsid w:val="006B070E"/>
    <w:rsid w:val="006F35D4"/>
    <w:rsid w:val="006F380E"/>
    <w:rsid w:val="006F4341"/>
    <w:rsid w:val="00720A7E"/>
    <w:rsid w:val="00742E8D"/>
    <w:rsid w:val="0077591C"/>
    <w:rsid w:val="0078008D"/>
    <w:rsid w:val="00785BF2"/>
    <w:rsid w:val="007B7F5E"/>
    <w:rsid w:val="0081190F"/>
    <w:rsid w:val="00826AA6"/>
    <w:rsid w:val="00826D9C"/>
    <w:rsid w:val="00826E2E"/>
    <w:rsid w:val="00834530"/>
    <w:rsid w:val="00862FCC"/>
    <w:rsid w:val="00864351"/>
    <w:rsid w:val="00885853"/>
    <w:rsid w:val="008B628D"/>
    <w:rsid w:val="008C34D2"/>
    <w:rsid w:val="008C51F6"/>
    <w:rsid w:val="008E46D6"/>
    <w:rsid w:val="008F666D"/>
    <w:rsid w:val="00903FD7"/>
    <w:rsid w:val="00917A49"/>
    <w:rsid w:val="00942A97"/>
    <w:rsid w:val="00947701"/>
    <w:rsid w:val="009836E9"/>
    <w:rsid w:val="009B5265"/>
    <w:rsid w:val="009B5D1B"/>
    <w:rsid w:val="009F18BF"/>
    <w:rsid w:val="009F3DD3"/>
    <w:rsid w:val="00A0325E"/>
    <w:rsid w:val="00A0769D"/>
    <w:rsid w:val="00A65634"/>
    <w:rsid w:val="00A762C2"/>
    <w:rsid w:val="00A8652E"/>
    <w:rsid w:val="00AB175D"/>
    <w:rsid w:val="00AD0BCB"/>
    <w:rsid w:val="00AE0A9B"/>
    <w:rsid w:val="00AF3613"/>
    <w:rsid w:val="00B069DD"/>
    <w:rsid w:val="00B13D6D"/>
    <w:rsid w:val="00B71CF3"/>
    <w:rsid w:val="00B84F89"/>
    <w:rsid w:val="00B85F27"/>
    <w:rsid w:val="00BA52E5"/>
    <w:rsid w:val="00BA7217"/>
    <w:rsid w:val="00BB6A61"/>
    <w:rsid w:val="00BE73BE"/>
    <w:rsid w:val="00BF3385"/>
    <w:rsid w:val="00C01B18"/>
    <w:rsid w:val="00C105E6"/>
    <w:rsid w:val="00C36CCD"/>
    <w:rsid w:val="00C51284"/>
    <w:rsid w:val="00C606E8"/>
    <w:rsid w:val="00C87443"/>
    <w:rsid w:val="00CD68A7"/>
    <w:rsid w:val="00CE4C33"/>
    <w:rsid w:val="00D40250"/>
    <w:rsid w:val="00D545EA"/>
    <w:rsid w:val="00D642D6"/>
    <w:rsid w:val="00D7399B"/>
    <w:rsid w:val="00D77B8E"/>
    <w:rsid w:val="00D91655"/>
    <w:rsid w:val="00DF2043"/>
    <w:rsid w:val="00DF4712"/>
    <w:rsid w:val="00DF54EC"/>
    <w:rsid w:val="00DF6386"/>
    <w:rsid w:val="00E00192"/>
    <w:rsid w:val="00E072AD"/>
    <w:rsid w:val="00E10978"/>
    <w:rsid w:val="00E209E7"/>
    <w:rsid w:val="00E24176"/>
    <w:rsid w:val="00E253B0"/>
    <w:rsid w:val="00E32260"/>
    <w:rsid w:val="00E40E4D"/>
    <w:rsid w:val="00E41BA8"/>
    <w:rsid w:val="00E51BEA"/>
    <w:rsid w:val="00E56EF9"/>
    <w:rsid w:val="00E65C09"/>
    <w:rsid w:val="00E660E2"/>
    <w:rsid w:val="00E67FBC"/>
    <w:rsid w:val="00E86ABE"/>
    <w:rsid w:val="00E87AF1"/>
    <w:rsid w:val="00EB1C26"/>
    <w:rsid w:val="00ED1B1F"/>
    <w:rsid w:val="00F4784B"/>
    <w:rsid w:val="00F77175"/>
    <w:rsid w:val="00F812E0"/>
    <w:rsid w:val="00FD3AB4"/>
    <w:rsid w:val="00FD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CDE7"/>
  <w15:chartTrackingRefBased/>
  <w15:docId w15:val="{2F3E7459-7CC4-42B7-AE09-FB939A72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4DF1-5EE2-403D-9BC3-C31FE669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GMW</cp:lastModifiedBy>
  <cp:revision>2</cp:revision>
  <dcterms:created xsi:type="dcterms:W3CDTF">2017-01-18T21:29:00Z</dcterms:created>
  <dcterms:modified xsi:type="dcterms:W3CDTF">2017-01-18T21:29:00Z</dcterms:modified>
</cp:coreProperties>
</file>