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67F65D2A"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w:t>
      </w:r>
      <w:r w:rsidR="007D5B7C">
        <w:rPr>
          <w:b/>
          <w:color w:val="E36C0A" w:themeColor="accent6" w:themeShade="BF"/>
          <w:sz w:val="32"/>
        </w:rPr>
        <w:t>80</w:t>
      </w:r>
      <w:r w:rsidR="00680B4C">
        <w:rPr>
          <w:b/>
          <w:color w:val="E36C0A" w:themeColor="accent6" w:themeShade="BF"/>
          <w:sz w:val="32"/>
        </w:rPr>
        <w:t>_</w:t>
      </w:r>
      <w:r w:rsidR="00DE3525">
        <w:rPr>
          <w:b/>
          <w:color w:val="E36C0A" w:themeColor="accent6" w:themeShade="BF"/>
          <w:sz w:val="32"/>
        </w:rPr>
        <w:t>74</w:t>
      </w:r>
      <w:r w:rsidR="007D5B7C">
        <w:rPr>
          <w:b/>
          <w:color w:val="E36C0A" w:themeColor="accent6" w:themeShade="BF"/>
          <w:sz w:val="32"/>
        </w:rPr>
        <w:t>8</w:t>
      </w:r>
      <w:r w:rsidR="00DE3525">
        <w:rPr>
          <w:b/>
          <w:color w:val="E36C0A" w:themeColor="accent6" w:themeShade="BF"/>
          <w:sz w:val="32"/>
        </w:rPr>
        <w:t>6</w:t>
      </w:r>
      <w:r w:rsidR="00F03A98">
        <w:rPr>
          <w:b/>
          <w:color w:val="E36C0A" w:themeColor="accent6" w:themeShade="BF"/>
          <w:sz w:val="32"/>
        </w:rPr>
        <w:t xml:space="preserve"> </w:t>
      </w:r>
      <w:r w:rsidR="004721C7">
        <w:rPr>
          <w:b/>
          <w:color w:val="E36C0A" w:themeColor="accent6" w:themeShade="BF"/>
          <w:sz w:val="32"/>
        </w:rPr>
        <w:t>Spring</w:t>
      </w:r>
      <w:r w:rsidR="00F03A98">
        <w:rPr>
          <w:b/>
          <w:color w:val="E36C0A" w:themeColor="accent6" w:themeShade="BF"/>
          <w:sz w:val="32"/>
        </w:rPr>
        <w:t xml:space="preserve"> 201</w:t>
      </w:r>
      <w:r w:rsidR="004721C7">
        <w:rPr>
          <w:b/>
          <w:color w:val="E36C0A" w:themeColor="accent6" w:themeShade="BF"/>
          <w:sz w:val="32"/>
        </w:rPr>
        <w:t>9</w:t>
      </w:r>
    </w:p>
    <w:p w14:paraId="35D57654" w14:textId="1DB1B316" w:rsidR="000B31CD" w:rsidRPr="002F1279" w:rsidRDefault="00F16C63" w:rsidP="002F1279">
      <w:pPr>
        <w:rPr>
          <w:b/>
          <w:color w:val="E36C0A" w:themeColor="accent6" w:themeShade="BF"/>
          <w:sz w:val="32"/>
        </w:rPr>
      </w:pPr>
      <w:r w:rsidRPr="004470E7">
        <w:rPr>
          <w:b/>
          <w:color w:val="E36C0A" w:themeColor="accent6" w:themeShade="BF"/>
          <w:sz w:val="32"/>
        </w:rPr>
        <w:t>Auburn University</w:t>
      </w: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7EF9F877" w:rsidR="00C62A26" w:rsidRDefault="00F16C63" w:rsidP="004F5963">
      <w:pPr>
        <w:ind w:left="2880" w:hanging="2880"/>
        <w:rPr>
          <w:color w:val="1F497D" w:themeColor="text2"/>
        </w:rPr>
      </w:pPr>
      <w:r w:rsidRPr="004470E7">
        <w:rPr>
          <w:color w:val="1F497D" w:themeColor="text2"/>
        </w:rPr>
        <w:t>Course Title</w:t>
      </w:r>
      <w:r w:rsidR="004721C7">
        <w:rPr>
          <w:color w:val="1F497D" w:themeColor="text2"/>
        </w:rPr>
        <w:t xml:space="preserve">: </w:t>
      </w:r>
      <w:r w:rsidR="007D5B7C">
        <w:rPr>
          <w:color w:val="1F497D" w:themeColor="text2"/>
        </w:rPr>
        <w:t>Assessment in ESL</w:t>
      </w:r>
      <w:r w:rsidR="00F03A98">
        <w:rPr>
          <w:color w:val="1F497D" w:themeColor="text2"/>
        </w:rPr>
        <w:t xml:space="preserve"> 3 </w:t>
      </w:r>
      <w:proofErr w:type="spellStart"/>
      <w:r w:rsidR="00F03A98">
        <w:rPr>
          <w:color w:val="1F497D" w:themeColor="text2"/>
        </w:rPr>
        <w:t>hrs</w:t>
      </w:r>
      <w:proofErr w:type="spellEnd"/>
    </w:p>
    <w:p w14:paraId="0300A51C" w14:textId="202A26E9" w:rsidR="00F03A98" w:rsidRDefault="00F03A98" w:rsidP="00F03A98">
      <w:pPr>
        <w:ind w:left="2880" w:hanging="2880"/>
        <w:rPr>
          <w:color w:val="1F497D" w:themeColor="text2"/>
        </w:rPr>
      </w:pPr>
      <w:r>
        <w:rPr>
          <w:color w:val="1F497D" w:themeColor="text2"/>
        </w:rPr>
        <w:t xml:space="preserve">Room and Schedule: </w:t>
      </w:r>
      <w:r w:rsidR="004721C7">
        <w:rPr>
          <w:color w:val="1F497D" w:themeColor="text2"/>
        </w:rPr>
        <w:t>MELL</w:t>
      </w:r>
      <w:r w:rsidR="009C1EA0">
        <w:rPr>
          <w:color w:val="1F497D" w:themeColor="text2"/>
        </w:rPr>
        <w:t xml:space="preserve"> </w:t>
      </w:r>
      <w:r w:rsidR="002F1279" w:rsidRPr="002F1279">
        <w:rPr>
          <w:color w:val="1F497D" w:themeColor="text2"/>
        </w:rPr>
        <w:t>3520</w:t>
      </w:r>
      <w:r>
        <w:rPr>
          <w:color w:val="1F497D" w:themeColor="text2"/>
        </w:rPr>
        <w:t xml:space="preserve">; </w:t>
      </w:r>
      <w:r w:rsidR="004721C7" w:rsidRPr="00322F65">
        <w:rPr>
          <w:color w:val="1F497D" w:themeColor="text2"/>
        </w:rPr>
        <w:t xml:space="preserve">Tue </w:t>
      </w:r>
      <w:r w:rsidR="00862CE6" w:rsidRPr="009C1EA0">
        <w:rPr>
          <w:color w:val="1F497D" w:themeColor="text2"/>
        </w:rPr>
        <w:t>4:00 – 6:50</w:t>
      </w:r>
      <w:r w:rsidRPr="009C1EA0">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4AC9074C"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7D5B7C">
        <w:rPr>
          <w:color w:val="1F497D" w:themeColor="text2"/>
        </w:rPr>
        <w:t xml:space="preserve">Tu/Th 1 – 3 p.m.; others made by appt. </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8772460" w14:textId="5ABA589C" w:rsidR="007D5B7C" w:rsidRDefault="007D5B7C" w:rsidP="007D5B7C">
      <w:pPr>
        <w:rPr>
          <w:color w:val="000000"/>
        </w:rPr>
      </w:pPr>
      <w:r>
        <w:rPr>
          <w:color w:val="000000"/>
        </w:rPr>
        <w:t xml:space="preserve">This course focuses on language assessment theory and practice.  The content of the course includes purposes for assessment, types of assessment including alternative assessment and construction of assessment instruments.  Central issues in the assessment of language will be presented and analyzed.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7BCE45B0" w14:textId="455C4D16" w:rsidR="007D5B7C" w:rsidRPr="00322F65" w:rsidRDefault="007D5B7C" w:rsidP="00322F65">
      <w:pPr>
        <w:rPr>
          <w:color w:val="000000"/>
        </w:rPr>
      </w:pPr>
      <w:r w:rsidRPr="00A2696B">
        <w:rPr>
          <w:color w:val="000000"/>
        </w:rPr>
        <w:t>Brown, H. D. (2010). Language assessment: principles and classroom practices (2nd ed.). White Plains, NY: Pearson Education. ISBN: 978-0-13-814931-4</w:t>
      </w:r>
    </w:p>
    <w:p w14:paraId="4B8C5DCA" w14:textId="77777777" w:rsidR="004274FC" w:rsidRDefault="000D1F10" w:rsidP="004274FC">
      <w:pPr>
        <w:widowControl w:val="0"/>
        <w:autoSpaceDE w:val="0"/>
        <w:autoSpaceDN w:val="0"/>
        <w:adjustRightInd w:val="0"/>
        <w:spacing w:after="240"/>
        <w:rPr>
          <w:b/>
          <w:bCs/>
          <w:u w:val="single"/>
        </w:rPr>
      </w:pPr>
      <w:r w:rsidRPr="000D1F10">
        <w:rPr>
          <w:b/>
          <w:bCs/>
          <w:u w:val="single"/>
        </w:rPr>
        <w:t>Course Objectives:</w:t>
      </w:r>
    </w:p>
    <w:p w14:paraId="1BD0B234" w14:textId="62F6E346" w:rsidR="00C21F8F" w:rsidRPr="004274FC" w:rsidRDefault="00C21F8F" w:rsidP="004274FC">
      <w:pPr>
        <w:widowControl w:val="0"/>
        <w:autoSpaceDE w:val="0"/>
        <w:autoSpaceDN w:val="0"/>
        <w:adjustRightInd w:val="0"/>
        <w:spacing w:after="240"/>
        <w:rPr>
          <w:b/>
          <w:bCs/>
          <w:u w:val="single"/>
        </w:rPr>
      </w:pPr>
      <w:r>
        <w:t>Engaged learners in this course can look forward to:</w:t>
      </w:r>
    </w:p>
    <w:p w14:paraId="30513614" w14:textId="67309499" w:rsidR="00C21F8F" w:rsidRDefault="00C21F8F" w:rsidP="00C21F8F">
      <w:pPr>
        <w:pStyle w:val="ListParagraph"/>
        <w:numPr>
          <w:ilvl w:val="0"/>
          <w:numId w:val="49"/>
        </w:numPr>
        <w:spacing w:after="160" w:line="259" w:lineRule="auto"/>
      </w:pPr>
      <w:r>
        <w:t>Identifying and utilizing a variety of language assessment instruments and classroom assessment tools that support ELLs.</w:t>
      </w:r>
    </w:p>
    <w:p w14:paraId="36947828" w14:textId="174DE5E0" w:rsidR="00C21F8F" w:rsidRDefault="00C21F8F" w:rsidP="00C21F8F">
      <w:pPr>
        <w:pStyle w:val="ListParagraph"/>
        <w:numPr>
          <w:ilvl w:val="0"/>
          <w:numId w:val="49"/>
        </w:numPr>
        <w:spacing w:after="160" w:line="259" w:lineRule="auto"/>
      </w:pPr>
      <w:r>
        <w:t xml:space="preserve">Evaluating assessment instruments and supporting evaluations with research </w:t>
      </w:r>
    </w:p>
    <w:p w14:paraId="78D256AB" w14:textId="4FC375A8" w:rsidR="00C21F8F" w:rsidRDefault="00C21F8F" w:rsidP="00C21F8F">
      <w:pPr>
        <w:pStyle w:val="ListParagraph"/>
        <w:numPr>
          <w:ilvl w:val="0"/>
          <w:numId w:val="49"/>
        </w:numPr>
        <w:spacing w:after="160" w:line="259" w:lineRule="auto"/>
      </w:pPr>
      <w:r>
        <w:t xml:space="preserve">Analyzing key issues in assessment for ELLs </w:t>
      </w:r>
    </w:p>
    <w:p w14:paraId="3853CA8B" w14:textId="075CFD82" w:rsidR="00C21F8F" w:rsidRDefault="00C21F8F" w:rsidP="00C21F8F">
      <w:pPr>
        <w:pStyle w:val="ListParagraph"/>
        <w:numPr>
          <w:ilvl w:val="0"/>
          <w:numId w:val="49"/>
        </w:numPr>
        <w:spacing w:after="160" w:line="259" w:lineRule="auto"/>
      </w:pPr>
      <w:r>
        <w:t xml:space="preserve">Creating assessments for listening, speaking, reading, writing, vocabulary and grammar </w:t>
      </w:r>
    </w:p>
    <w:p w14:paraId="018E0A0C" w14:textId="367A7A9C" w:rsidR="00C21F8F" w:rsidRDefault="004274FC" w:rsidP="00C21F8F">
      <w:pPr>
        <w:pStyle w:val="ListParagraph"/>
        <w:numPr>
          <w:ilvl w:val="0"/>
          <w:numId w:val="49"/>
        </w:numPr>
        <w:spacing w:after="160" w:line="259" w:lineRule="auto"/>
      </w:pPr>
      <w:r>
        <w:t xml:space="preserve">Engaging in small group and partner work that provides opportunities for collaboration and leadership </w:t>
      </w:r>
    </w:p>
    <w:p w14:paraId="41240FC7" w14:textId="4FBA346C" w:rsidR="00C21F8F" w:rsidRDefault="00C21F8F" w:rsidP="00C21F8F">
      <w:pPr>
        <w:pStyle w:val="ListParagraph"/>
        <w:numPr>
          <w:ilvl w:val="0"/>
          <w:numId w:val="49"/>
        </w:numPr>
        <w:spacing w:after="160" w:line="259" w:lineRule="auto"/>
      </w:pPr>
      <w:r>
        <w:t xml:space="preserve">Documenting </w:t>
      </w:r>
      <w:r w:rsidR="004274FC">
        <w:t>language proficiency among a targeted group of ELLs</w:t>
      </w:r>
    </w:p>
    <w:p w14:paraId="1F7E1F96" w14:textId="0008D2A0" w:rsidR="00C21F8F" w:rsidRDefault="004274FC" w:rsidP="00C21F8F">
      <w:pPr>
        <w:pStyle w:val="ListParagraph"/>
        <w:numPr>
          <w:ilvl w:val="0"/>
          <w:numId w:val="49"/>
        </w:numPr>
        <w:spacing w:after="160" w:line="259" w:lineRule="auto"/>
      </w:pPr>
      <w:r>
        <w:t>Feeling more comfortable with creating and using assessments in multiple contexts</w:t>
      </w:r>
    </w:p>
    <w:p w14:paraId="582B1E0E" w14:textId="03A5C4A0" w:rsidR="00493B13" w:rsidRDefault="00493B13">
      <w:pPr>
        <w:spacing w:after="200"/>
        <w:rPr>
          <w:u w:val="single"/>
        </w:rPr>
      </w:pPr>
      <w:r>
        <w:rPr>
          <w:u w:val="single"/>
        </w:rPr>
        <w:br w:type="page"/>
      </w:r>
    </w:p>
    <w:p w14:paraId="71E70097" w14:textId="13950D47" w:rsidR="00FA57F6" w:rsidRDefault="00026B40" w:rsidP="00FA57F6">
      <w:pPr>
        <w:widowControl w:val="0"/>
        <w:autoSpaceDE w:val="0"/>
        <w:autoSpaceDN w:val="0"/>
        <w:adjustRightInd w:val="0"/>
        <w:spacing w:after="240"/>
        <w:rPr>
          <w:u w:val="single"/>
        </w:rPr>
      </w:pPr>
      <w:r>
        <w:rPr>
          <w:u w:val="single"/>
        </w:rPr>
        <w:lastRenderedPageBreak/>
        <w:t>Active Learning Environment</w:t>
      </w:r>
    </w:p>
    <w:p w14:paraId="62B26B1E" w14:textId="77777777" w:rsidR="009A1305" w:rsidRDefault="00493B13" w:rsidP="009A1305">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5D2DCC78" wp14:editId="16876174">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3F4AAB6F" w14:textId="4A65A3A4" w:rsidR="009A1305" w:rsidRPr="009A1305" w:rsidRDefault="009A1305" w:rsidP="009C1EA0">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02088640" w14:textId="50CF785D"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567BBDF5" w14:textId="64335664" w:rsidR="009A1305" w:rsidRDefault="009A1305" w:rsidP="00FA57F6">
      <w:pPr>
        <w:widowControl w:val="0"/>
        <w:autoSpaceDE w:val="0"/>
        <w:autoSpaceDN w:val="0"/>
        <w:adjustRightInd w:val="0"/>
        <w:spacing w:after="240"/>
        <w:rPr>
          <w:rFonts w:ascii="Times" w:hAnsi="Times"/>
          <w:color w:val="1F497D" w:themeColor="text2"/>
          <w:sz w:val="26"/>
          <w:szCs w:val="26"/>
        </w:rPr>
      </w:pPr>
      <w:r w:rsidRPr="00883C55">
        <w:rPr>
          <w:noProof/>
        </w:rPr>
        <w:drawing>
          <wp:inline distT="0" distB="0" distL="0" distR="0" wp14:anchorId="208613DF" wp14:editId="52B507CF">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3120" cy="3318110"/>
                    </a:xfrm>
                    <a:prstGeom prst="rect">
                      <a:avLst/>
                    </a:prstGeom>
                  </pic:spPr>
                </pic:pic>
              </a:graphicData>
            </a:graphic>
          </wp:inline>
        </w:drawing>
      </w:r>
    </w:p>
    <w:p w14:paraId="4ECCF7A1" w14:textId="562E8482" w:rsidR="009A1305" w:rsidRDefault="009A1305" w:rsidP="00FA57F6">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15CD4DA8" w14:textId="7A195742" w:rsidR="009A1305" w:rsidRDefault="009A1305" w:rsidP="00FA57F6">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5452F85B" w14:textId="4BA4D863" w:rsidR="00DE3525" w:rsidRPr="00493B13" w:rsidRDefault="00DE3525" w:rsidP="00FA57F6">
      <w:pPr>
        <w:widowControl w:val="0"/>
        <w:autoSpaceDE w:val="0"/>
        <w:autoSpaceDN w:val="0"/>
        <w:adjustRightInd w:val="0"/>
        <w:spacing w:after="240"/>
        <w:rPr>
          <w:u w:val="single"/>
        </w:rPr>
      </w:pPr>
      <w:r w:rsidRPr="00493B13">
        <w:rPr>
          <w:rFonts w:ascii="Times" w:hAnsi="Times"/>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4F303B80" w14:textId="11CB426E" w:rsidR="00986325" w:rsidRDefault="008B6830" w:rsidP="00986325">
      <w:pPr>
        <w:rPr>
          <w:bCs/>
        </w:rPr>
      </w:pPr>
      <w:r>
        <w:rPr>
          <w:b/>
          <w:bCs/>
          <w:color w:val="000000"/>
        </w:rPr>
        <w:t>Course Requirements</w:t>
      </w:r>
    </w:p>
    <w:p w14:paraId="2208F9D8" w14:textId="4D65945B" w:rsidR="00986325" w:rsidRDefault="00986325" w:rsidP="00986325">
      <w:pPr>
        <w:rPr>
          <w:bCs/>
        </w:rPr>
      </w:pPr>
    </w:p>
    <w:p w14:paraId="12F63550" w14:textId="4DA430C5" w:rsidR="00986325" w:rsidRDefault="00986325" w:rsidP="00986325">
      <w:pPr>
        <w:rPr>
          <w:b/>
        </w:rPr>
      </w:pPr>
      <w:r>
        <w:rPr>
          <w:b/>
        </w:rPr>
        <w:t xml:space="preserve">A.  </w:t>
      </w:r>
      <w:r w:rsidR="008B6830">
        <w:rPr>
          <w:b/>
        </w:rPr>
        <w:t>Preparation</w:t>
      </w:r>
      <w:r>
        <w:rPr>
          <w:b/>
        </w:rPr>
        <w:t xml:space="preserve"> and Participation (</w:t>
      </w:r>
      <w:r w:rsidR="008B6830">
        <w:rPr>
          <w:b/>
        </w:rPr>
        <w:t>4</w:t>
      </w:r>
      <w:r>
        <w:rPr>
          <w:b/>
        </w:rPr>
        <w:t>0%)</w:t>
      </w:r>
    </w:p>
    <w:p w14:paraId="56C94EC4" w14:textId="23462492" w:rsidR="00FD4210" w:rsidRDefault="00FD4210" w:rsidP="00986325">
      <w:pPr>
        <w:rPr>
          <w:b/>
        </w:rPr>
      </w:pPr>
      <w:r>
        <w:rPr>
          <w:b/>
        </w:rPr>
        <w:t>Reading Formative Assessments</w:t>
      </w:r>
    </w:p>
    <w:p w14:paraId="53396F51" w14:textId="4086C8E1" w:rsidR="00986325" w:rsidRDefault="00986325" w:rsidP="00986325">
      <w:pPr>
        <w:rPr>
          <w:b/>
        </w:rPr>
      </w:pPr>
      <w:proofErr w:type="spellStart"/>
      <w:r>
        <w:rPr>
          <w:b/>
        </w:rPr>
        <w:t>Perusall</w:t>
      </w:r>
      <w:proofErr w:type="spellEnd"/>
      <w:r>
        <w:rPr>
          <w:b/>
        </w:rPr>
        <w:t xml:space="preserve"> Reading Participation</w:t>
      </w:r>
    </w:p>
    <w:p w14:paraId="0DD52ECB" w14:textId="0D2D369F" w:rsidR="007A22B1" w:rsidRDefault="007A22B1" w:rsidP="00986325">
      <w:pPr>
        <w:rPr>
          <w:b/>
        </w:rPr>
      </w:pPr>
      <w:r>
        <w:rPr>
          <w:b/>
        </w:rPr>
        <w:t>Discussion Leads</w:t>
      </w:r>
      <w:bookmarkStart w:id="0" w:name="_GoBack"/>
      <w:bookmarkEnd w:id="0"/>
    </w:p>
    <w:p w14:paraId="40EEDAB6" w14:textId="77777777" w:rsidR="008B6830" w:rsidRDefault="008B6830" w:rsidP="00986325">
      <w:pPr>
        <w:rPr>
          <w:b/>
        </w:rPr>
      </w:pPr>
    </w:p>
    <w:p w14:paraId="162FB637" w14:textId="0DC4EB15" w:rsidR="008B6830" w:rsidRDefault="008B6830" w:rsidP="00986325">
      <w:pPr>
        <w:rPr>
          <w:b/>
        </w:rPr>
      </w:pPr>
      <w:r>
        <w:rPr>
          <w:b/>
        </w:rPr>
        <w:t>B. Academic Writing and Skills (10%)</w:t>
      </w:r>
    </w:p>
    <w:p w14:paraId="5D70634C" w14:textId="4B339D8B" w:rsidR="00986325" w:rsidRDefault="00986325" w:rsidP="00986325">
      <w:pPr>
        <w:rPr>
          <w:b/>
        </w:rPr>
      </w:pPr>
      <w:r>
        <w:rPr>
          <w:b/>
        </w:rPr>
        <w:t>Article Synthesis + APA reference</w:t>
      </w:r>
    </w:p>
    <w:p w14:paraId="3B9E3187" w14:textId="77777777" w:rsidR="00986325" w:rsidRDefault="00986325" w:rsidP="00986325">
      <w:pPr>
        <w:rPr>
          <w:b/>
        </w:rPr>
      </w:pPr>
    </w:p>
    <w:p w14:paraId="3EDED67E" w14:textId="510A2B22" w:rsidR="00986325" w:rsidRDefault="008B6830" w:rsidP="00986325">
      <w:pPr>
        <w:rPr>
          <w:b/>
        </w:rPr>
      </w:pPr>
      <w:r>
        <w:rPr>
          <w:b/>
        </w:rPr>
        <w:t>C</w:t>
      </w:r>
      <w:r w:rsidR="00986325">
        <w:rPr>
          <w:b/>
        </w:rPr>
        <w:t>.  Assignments (30%)</w:t>
      </w:r>
    </w:p>
    <w:p w14:paraId="00F69633" w14:textId="07C68A27" w:rsidR="00986325" w:rsidRDefault="00986325" w:rsidP="00986325">
      <w:pPr>
        <w:rPr>
          <w:b/>
        </w:rPr>
      </w:pPr>
      <w:r>
        <w:rPr>
          <w:b/>
        </w:rPr>
        <w:t>Content Area Test Creation</w:t>
      </w:r>
    </w:p>
    <w:p w14:paraId="66AEAB78" w14:textId="2752EFB8" w:rsidR="00986325" w:rsidRDefault="00986325" w:rsidP="00986325">
      <w:pPr>
        <w:rPr>
          <w:b/>
        </w:rPr>
      </w:pPr>
      <w:r>
        <w:rPr>
          <w:b/>
        </w:rPr>
        <w:t>ELP Instrument and Report</w:t>
      </w:r>
    </w:p>
    <w:p w14:paraId="33C32204" w14:textId="33C8560B" w:rsidR="00986325" w:rsidRDefault="00986325" w:rsidP="00986325">
      <w:pPr>
        <w:rPr>
          <w:b/>
        </w:rPr>
      </w:pPr>
      <w:r>
        <w:rPr>
          <w:b/>
        </w:rPr>
        <w:t>Authentic Assessment Demonstration</w:t>
      </w:r>
    </w:p>
    <w:p w14:paraId="2799B598" w14:textId="30FF4B80" w:rsidR="008B6830" w:rsidRDefault="008B6830" w:rsidP="00986325">
      <w:pPr>
        <w:rPr>
          <w:b/>
        </w:rPr>
      </w:pPr>
      <w:r>
        <w:rPr>
          <w:b/>
        </w:rPr>
        <w:t>Issues of Assessment Presentation</w:t>
      </w:r>
    </w:p>
    <w:p w14:paraId="0EECC61F" w14:textId="77777777" w:rsidR="00986325" w:rsidRDefault="00986325" w:rsidP="00986325">
      <w:pPr>
        <w:rPr>
          <w:b/>
        </w:rPr>
      </w:pPr>
    </w:p>
    <w:p w14:paraId="2C795174" w14:textId="54847C59" w:rsidR="00986325" w:rsidRDefault="008B6830" w:rsidP="00986325">
      <w:pPr>
        <w:rPr>
          <w:b/>
        </w:rPr>
      </w:pPr>
      <w:r>
        <w:rPr>
          <w:b/>
        </w:rPr>
        <w:t>D</w:t>
      </w:r>
      <w:r w:rsidR="00986325">
        <w:rPr>
          <w:b/>
        </w:rPr>
        <w:t>.  Final Exam (20%)</w:t>
      </w:r>
    </w:p>
    <w:p w14:paraId="4CF94C70" w14:textId="4536AB57" w:rsidR="00986325" w:rsidRPr="00986325" w:rsidRDefault="00986325" w:rsidP="00986325">
      <w:pPr>
        <w:rPr>
          <w:bCs/>
        </w:rPr>
      </w:pPr>
      <w:proofErr w:type="spellStart"/>
      <w:r>
        <w:rPr>
          <w:b/>
        </w:rPr>
        <w:t>Eportfolio</w:t>
      </w:r>
      <w:proofErr w:type="spellEnd"/>
      <w:r>
        <w:rPr>
          <w:b/>
        </w:rPr>
        <w:t>/Reflective paper</w:t>
      </w:r>
    </w:p>
    <w:p w14:paraId="7BA12906" w14:textId="77777777" w:rsidR="007D5B7C" w:rsidRPr="00461E39" w:rsidRDefault="007D5B7C" w:rsidP="007D5B7C">
      <w:pPr>
        <w:pStyle w:val="ListParagraph"/>
        <w:rPr>
          <w:bCs/>
        </w:rPr>
      </w:pPr>
    </w:p>
    <w:p w14:paraId="3B3DFD63" w14:textId="77777777" w:rsidR="008B6830" w:rsidRDefault="007D5B7C" w:rsidP="008B6830">
      <w:pPr>
        <w:rPr>
          <w:b/>
          <w:bCs/>
        </w:rPr>
      </w:pPr>
      <w:r>
        <w:rPr>
          <w:b/>
          <w:bCs/>
        </w:rPr>
        <w:t xml:space="preserve">A.  Preparation and Participation. </w:t>
      </w:r>
    </w:p>
    <w:p w14:paraId="70AFD831" w14:textId="78E4822A" w:rsidR="007D5B7C" w:rsidRPr="008B6830" w:rsidRDefault="007A22B1" w:rsidP="008B6830">
      <w:pPr>
        <w:pStyle w:val="ListParagraph"/>
        <w:numPr>
          <w:ilvl w:val="0"/>
          <w:numId w:val="50"/>
        </w:numPr>
        <w:rPr>
          <w:b/>
          <w:bCs/>
        </w:rPr>
      </w:pPr>
      <w:r w:rsidRPr="007A22B1">
        <w:rPr>
          <w:b/>
          <w:bCs/>
        </w:rPr>
        <w:t>Formative Assessments:</w:t>
      </w:r>
      <w:r>
        <w:rPr>
          <w:bCs/>
        </w:rPr>
        <w:t xml:space="preserve">  </w:t>
      </w:r>
      <w:r w:rsidR="007D5B7C" w:rsidRPr="008B6830">
        <w:rPr>
          <w:bCs/>
        </w:rPr>
        <w:t xml:space="preserve">Students will participate in syllabus development by determining a preparation indicator </w:t>
      </w:r>
      <w:r w:rsidR="00986325" w:rsidRPr="008B6830">
        <w:rPr>
          <w:bCs/>
        </w:rPr>
        <w:t xml:space="preserve">(formative assessment) </w:t>
      </w:r>
      <w:r w:rsidR="007D5B7C" w:rsidRPr="008B6830">
        <w:rPr>
          <w:bCs/>
        </w:rPr>
        <w:t>to be used during the semester.  This could be a reading or vocabulary quiz, a graphic organizer of key ideas, or a reading guide</w:t>
      </w:r>
      <w:r w:rsidR="00824BA4">
        <w:rPr>
          <w:bCs/>
        </w:rPr>
        <w:t xml:space="preserve"> (more suggestions will be provided)</w:t>
      </w:r>
      <w:r w:rsidR="007D5B7C" w:rsidRPr="008B6830">
        <w:rPr>
          <w:bCs/>
        </w:rPr>
        <w:t xml:space="preserve">. </w:t>
      </w:r>
      <w:r w:rsidR="007D5B7C" w:rsidRPr="008B6830">
        <w:rPr>
          <w:iCs/>
          <w:color w:val="000000"/>
        </w:rPr>
        <w:t xml:space="preserve">This will be uploaded to Canvas prior to class each week.  </w:t>
      </w:r>
      <w:r w:rsidR="007D5B7C" w:rsidRPr="008B6830">
        <w:rPr>
          <w:b/>
          <w:bCs/>
          <w:color w:val="000000"/>
        </w:rPr>
        <w:t xml:space="preserve">Distance students </w:t>
      </w:r>
      <w:r w:rsidR="00986325" w:rsidRPr="008B6830">
        <w:rPr>
          <w:b/>
          <w:bCs/>
          <w:color w:val="000000"/>
        </w:rPr>
        <w:t xml:space="preserve">(and any absent F2F students) </w:t>
      </w:r>
      <w:r w:rsidR="007D5B7C" w:rsidRPr="008B6830">
        <w:rPr>
          <w:b/>
          <w:bCs/>
          <w:color w:val="000000"/>
        </w:rPr>
        <w:t xml:space="preserve">will also participate in discussion boards each week based on class discussion topics or activities. These will be posted weekly. </w:t>
      </w:r>
    </w:p>
    <w:p w14:paraId="6875155F" w14:textId="281B75E6" w:rsidR="008B6830" w:rsidRPr="008B6830" w:rsidRDefault="007A22B1" w:rsidP="008B6830">
      <w:pPr>
        <w:pStyle w:val="ListParagraph"/>
        <w:numPr>
          <w:ilvl w:val="0"/>
          <w:numId w:val="50"/>
        </w:numPr>
        <w:rPr>
          <w:bCs/>
        </w:rPr>
      </w:pPr>
      <w:proofErr w:type="spellStart"/>
      <w:r w:rsidRPr="007A22B1">
        <w:rPr>
          <w:b/>
          <w:bCs/>
        </w:rPr>
        <w:t>Perusall</w:t>
      </w:r>
      <w:proofErr w:type="spellEnd"/>
      <w:r w:rsidRPr="007A22B1">
        <w:rPr>
          <w:b/>
          <w:bCs/>
        </w:rPr>
        <w:t xml:space="preserve"> and Student-led Discussions:</w:t>
      </w:r>
      <w:r>
        <w:rPr>
          <w:bCs/>
        </w:rPr>
        <w:t xml:space="preserve">  </w:t>
      </w:r>
      <w:r w:rsidR="008B6830" w:rsidRPr="008B6830">
        <w:rPr>
          <w:bCs/>
        </w:rPr>
        <w:t xml:space="preserve">Students will participate in weekly article reading, synthesis, and leadership.  Class discussions will be led by teams of students weekly.  </w:t>
      </w:r>
    </w:p>
    <w:p w14:paraId="2505CA4F" w14:textId="77777777" w:rsidR="007D5B7C" w:rsidRDefault="007D5B7C" w:rsidP="007D5B7C">
      <w:pPr>
        <w:rPr>
          <w:b/>
          <w:bCs/>
          <w:color w:val="000000"/>
        </w:rPr>
      </w:pPr>
    </w:p>
    <w:p w14:paraId="6A2F11F0" w14:textId="538E04FC" w:rsidR="007D5B7C" w:rsidRPr="00D41ABA" w:rsidRDefault="007D5B7C" w:rsidP="007D5B7C">
      <w:pPr>
        <w:rPr>
          <w:bCs/>
        </w:rPr>
      </w:pPr>
      <w:r>
        <w:rPr>
          <w:b/>
          <w:bCs/>
          <w:color w:val="000000"/>
        </w:rPr>
        <w:t xml:space="preserve">B.  Content Area Test Creation.  </w:t>
      </w:r>
      <w:r>
        <w:rPr>
          <w:bCs/>
          <w:color w:val="000000"/>
        </w:rPr>
        <w:t xml:space="preserve">Students will create a </w:t>
      </w:r>
      <w:r w:rsidR="00986325">
        <w:rPr>
          <w:bCs/>
          <w:color w:val="000000"/>
        </w:rPr>
        <w:t>scaffolded test suitable for a</w:t>
      </w:r>
      <w:r w:rsidR="00824BA4">
        <w:rPr>
          <w:bCs/>
          <w:color w:val="000000"/>
        </w:rPr>
        <w:t xml:space="preserve"> range of</w:t>
      </w:r>
      <w:r w:rsidR="00986325">
        <w:rPr>
          <w:bCs/>
          <w:color w:val="000000"/>
        </w:rPr>
        <w:t xml:space="preserve"> NNES/ELL in a mainstream classroom</w:t>
      </w:r>
      <w:r>
        <w:rPr>
          <w:bCs/>
          <w:color w:val="000000"/>
        </w:rPr>
        <w:t xml:space="preserve">. </w:t>
      </w:r>
    </w:p>
    <w:p w14:paraId="2AD00AD7" w14:textId="77777777" w:rsidR="007D5B7C" w:rsidRDefault="007D5B7C" w:rsidP="007D5B7C">
      <w:pPr>
        <w:rPr>
          <w:b/>
          <w:bCs/>
        </w:rPr>
      </w:pPr>
    </w:p>
    <w:p w14:paraId="0A3CAE1B" w14:textId="79193398" w:rsidR="007D5B7C" w:rsidRDefault="007D5B7C" w:rsidP="007D5B7C">
      <w:pPr>
        <w:rPr>
          <w:color w:val="000000"/>
        </w:rPr>
      </w:pPr>
      <w:r>
        <w:rPr>
          <w:b/>
          <w:bCs/>
        </w:rPr>
        <w:t xml:space="preserve">C.  </w:t>
      </w:r>
      <w:r>
        <w:rPr>
          <w:b/>
          <w:bCs/>
          <w:iCs/>
          <w:color w:val="000000"/>
        </w:rPr>
        <w:t>ELP</w:t>
      </w:r>
      <w:r w:rsidRPr="002D602C">
        <w:rPr>
          <w:b/>
          <w:bCs/>
          <w:iCs/>
          <w:color w:val="000000"/>
        </w:rPr>
        <w:t xml:space="preserve"> Assessment Instrument</w:t>
      </w:r>
      <w:r>
        <w:rPr>
          <w:b/>
          <w:bCs/>
          <w:iCs/>
          <w:color w:val="000000"/>
        </w:rPr>
        <w:t xml:space="preserve"> &amp; Report</w:t>
      </w:r>
      <w:r w:rsidRPr="002D602C">
        <w:rPr>
          <w:b/>
          <w:iCs/>
          <w:color w:val="000000"/>
        </w:rPr>
        <w:t>.</w:t>
      </w:r>
      <w:r w:rsidRPr="000E6497">
        <w:rPr>
          <w:color w:val="000000"/>
        </w:rPr>
        <w:t xml:space="preserve"> Students </w:t>
      </w:r>
      <w:r>
        <w:rPr>
          <w:color w:val="000000"/>
        </w:rPr>
        <w:t xml:space="preserve">will </w:t>
      </w:r>
      <w:r w:rsidRPr="000E6497">
        <w:rPr>
          <w:color w:val="000000"/>
        </w:rPr>
        <w:t xml:space="preserve">develop an assessment instrument that will be used for screening </w:t>
      </w:r>
      <w:r>
        <w:rPr>
          <w:bCs/>
          <w:color w:val="000000"/>
        </w:rPr>
        <w:t>ELs</w:t>
      </w:r>
      <w:r w:rsidR="00574F8A">
        <w:rPr>
          <w:bCs/>
          <w:color w:val="000000"/>
        </w:rPr>
        <w:t>/</w:t>
      </w:r>
      <w:r>
        <w:rPr>
          <w:bCs/>
          <w:color w:val="000000"/>
        </w:rPr>
        <w:t>NNESs</w:t>
      </w:r>
      <w:r w:rsidRPr="000E6497">
        <w:rPr>
          <w:color w:val="000000"/>
        </w:rPr>
        <w:t xml:space="preserve"> in the four language domains of listening, speaking, reading and writing. The assessment instrument wi</w:t>
      </w:r>
      <w:r>
        <w:rPr>
          <w:color w:val="000000"/>
        </w:rPr>
        <w:t xml:space="preserve">ll include the actual test and all </w:t>
      </w:r>
      <w:r w:rsidRPr="000E6497">
        <w:rPr>
          <w:color w:val="000000"/>
        </w:rPr>
        <w:t xml:space="preserve">evaluation materials. </w:t>
      </w:r>
      <w:r w:rsidRPr="000E6497">
        <w:rPr>
          <w:i/>
          <w:iCs/>
          <w:color w:val="000000"/>
        </w:rPr>
        <w:t xml:space="preserve"> </w:t>
      </w:r>
      <w:r w:rsidRPr="000E6497">
        <w:rPr>
          <w:color w:val="000000"/>
        </w:rPr>
        <w:t xml:space="preserve">Students </w:t>
      </w:r>
      <w:r>
        <w:rPr>
          <w:color w:val="000000"/>
        </w:rPr>
        <w:t xml:space="preserve">will </w:t>
      </w:r>
      <w:r w:rsidRPr="000E6497">
        <w:rPr>
          <w:color w:val="000000"/>
        </w:rPr>
        <w:t xml:space="preserve">administer their Original Assessment Instrument </w:t>
      </w:r>
      <w:r>
        <w:rPr>
          <w:color w:val="000000"/>
        </w:rPr>
        <w:t xml:space="preserve">and report the results according to assignment details. </w:t>
      </w:r>
    </w:p>
    <w:p w14:paraId="54EFE6AC" w14:textId="77777777" w:rsidR="007D5B7C" w:rsidRPr="00D41ABA" w:rsidRDefault="007D5B7C" w:rsidP="007D5B7C">
      <w:pPr>
        <w:rPr>
          <w:color w:val="000000"/>
        </w:rPr>
      </w:pPr>
    </w:p>
    <w:p w14:paraId="12713C6A" w14:textId="77777777" w:rsidR="007D5B7C" w:rsidRDefault="007D5B7C" w:rsidP="007D5B7C">
      <w:pPr>
        <w:rPr>
          <w:color w:val="000000"/>
        </w:rPr>
      </w:pPr>
      <w:r>
        <w:rPr>
          <w:b/>
          <w:bCs/>
        </w:rPr>
        <w:t xml:space="preserve">D.  </w:t>
      </w:r>
      <w:r w:rsidRPr="002D602C">
        <w:rPr>
          <w:b/>
          <w:bCs/>
          <w:iCs/>
          <w:color w:val="000000"/>
        </w:rPr>
        <w:t>Authentic Assessment Demonstration</w:t>
      </w:r>
      <w:r w:rsidRPr="002D602C">
        <w:rPr>
          <w:b/>
          <w:bCs/>
          <w:color w:val="000000"/>
        </w:rPr>
        <w:t>.</w:t>
      </w:r>
      <w:r w:rsidRPr="000E6497">
        <w:rPr>
          <w:color w:val="000000"/>
        </w:rPr>
        <w:t xml:space="preserve">  Students will </w:t>
      </w:r>
      <w:r>
        <w:rPr>
          <w:color w:val="000000"/>
        </w:rPr>
        <w:t xml:space="preserve">create and </w:t>
      </w:r>
      <w:r w:rsidRPr="000E6497">
        <w:rPr>
          <w:color w:val="000000"/>
        </w:rPr>
        <w:t xml:space="preserve">demonstrate one </w:t>
      </w:r>
      <w:r>
        <w:rPr>
          <w:color w:val="000000"/>
        </w:rPr>
        <w:t xml:space="preserve">type of authentic assessment.  </w:t>
      </w:r>
    </w:p>
    <w:p w14:paraId="1D275F83" w14:textId="77777777" w:rsidR="007D5B7C" w:rsidRDefault="007D5B7C" w:rsidP="007D5B7C">
      <w:pPr>
        <w:rPr>
          <w:color w:val="000000"/>
        </w:rPr>
      </w:pPr>
    </w:p>
    <w:p w14:paraId="0A87F67D" w14:textId="77777777" w:rsidR="007D5B7C" w:rsidRPr="000E6497" w:rsidRDefault="007D5B7C" w:rsidP="007D5B7C">
      <w:pPr>
        <w:rPr>
          <w:i/>
          <w:iCs/>
          <w:color w:val="000000"/>
        </w:rPr>
      </w:pPr>
      <w:r w:rsidRPr="0097477C">
        <w:rPr>
          <w:b/>
          <w:color w:val="000000"/>
        </w:rPr>
        <w:t>E</w:t>
      </w:r>
      <w:r>
        <w:rPr>
          <w:color w:val="000000"/>
        </w:rPr>
        <w:t xml:space="preserve">. </w:t>
      </w:r>
      <w:r w:rsidRPr="00AF1EFD">
        <w:rPr>
          <w:b/>
          <w:color w:val="000000"/>
        </w:rPr>
        <w:t>Issues of Assessment Presentation.</w:t>
      </w:r>
      <w:r>
        <w:rPr>
          <w:color w:val="000000"/>
        </w:rPr>
        <w:t xml:space="preserve">  Students will read, research, and present an issue of assessment for ELs or NNESs.  </w:t>
      </w:r>
    </w:p>
    <w:p w14:paraId="1D07E158" w14:textId="77777777" w:rsidR="007D5B7C" w:rsidRDefault="007D5B7C" w:rsidP="007D5B7C">
      <w:pPr>
        <w:rPr>
          <w:i/>
          <w:iCs/>
        </w:rPr>
      </w:pPr>
    </w:p>
    <w:p w14:paraId="525CAED4" w14:textId="592FEC66" w:rsidR="007D5B7C" w:rsidRPr="00A03CE8" w:rsidRDefault="007D5B7C" w:rsidP="007D5B7C">
      <w:pPr>
        <w:rPr>
          <w:i/>
          <w:iCs/>
          <w:color w:val="000000"/>
        </w:rPr>
      </w:pPr>
      <w:r>
        <w:rPr>
          <w:b/>
          <w:bCs/>
        </w:rPr>
        <w:t>F.  Final Exam</w:t>
      </w:r>
      <w:r w:rsidR="008B6830">
        <w:rPr>
          <w:b/>
          <w:bCs/>
        </w:rPr>
        <w:t xml:space="preserve">: </w:t>
      </w:r>
      <w:proofErr w:type="spellStart"/>
      <w:r w:rsidR="008B6830">
        <w:rPr>
          <w:b/>
          <w:bCs/>
        </w:rPr>
        <w:t>ePortfolio</w:t>
      </w:r>
      <w:proofErr w:type="spellEnd"/>
      <w:r w:rsidR="008B6830">
        <w:rPr>
          <w:b/>
          <w:bCs/>
        </w:rPr>
        <w:t xml:space="preserve"> and reflection paper</w:t>
      </w:r>
    </w:p>
    <w:p w14:paraId="48ABEE41" w14:textId="77777777" w:rsidR="007D5B7C" w:rsidRDefault="007D5B7C" w:rsidP="007D5B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p>
    <w:p w14:paraId="06E01B65" w14:textId="77777777" w:rsidR="007D5B7C" w:rsidRDefault="007D5B7C" w:rsidP="007D5B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4F1CFA">
        <w:rPr>
          <w:b/>
          <w:bCs/>
          <w:sz w:val="22"/>
          <w:szCs w:val="22"/>
        </w:rPr>
        <w:t>Evaluation:</w:t>
      </w:r>
    </w:p>
    <w:p w14:paraId="5E8794C2" w14:textId="77777777" w:rsidR="007D5B7C" w:rsidRPr="005C288D" w:rsidRDefault="007D5B7C" w:rsidP="007D5B7C">
      <w:r w:rsidRPr="005C288D">
        <w:lastRenderedPageBreak/>
        <w:t>All assignments are graded according to the specific assignment criteria and returned to students by the next class meeting after submission unless noted</w:t>
      </w:r>
      <w:r>
        <w:t xml:space="preserve"> otherwise. </w:t>
      </w:r>
      <w:r w:rsidRPr="005C288D">
        <w:t xml:space="preserve">I adhere firmly to the University’s statement on academic conduct/plagiarism.  Based on these evaluation criteria, your final grade will be </w:t>
      </w:r>
      <w:r>
        <w:t>based on the following:</w:t>
      </w:r>
    </w:p>
    <w:p w14:paraId="1262B09E" w14:textId="77777777" w:rsidR="007D5B7C" w:rsidRPr="005C288D" w:rsidRDefault="007D5B7C" w:rsidP="007D5B7C">
      <w:pPr>
        <w:rPr>
          <w:sz w:val="22"/>
          <w:szCs w:val="22"/>
        </w:rPr>
      </w:pPr>
    </w:p>
    <w:p w14:paraId="6F1E6494" w14:textId="77777777" w:rsidR="007D5B7C" w:rsidRPr="00E55960" w:rsidRDefault="007D5B7C" w:rsidP="007D5B7C">
      <w:pPr>
        <w:rPr>
          <w:color w:val="000000"/>
        </w:rPr>
      </w:pPr>
      <w:r w:rsidRPr="000E6497">
        <w:rPr>
          <w:color w:val="000000"/>
        </w:rPr>
        <w:t xml:space="preserve">A   </w:t>
      </w:r>
      <w:proofErr w:type="gramStart"/>
      <w:r w:rsidRPr="000E6497">
        <w:rPr>
          <w:color w:val="000000"/>
        </w:rPr>
        <w:t>=</w:t>
      </w:r>
      <w:r>
        <w:rPr>
          <w:color w:val="000000"/>
        </w:rPr>
        <w:t xml:space="preserve">  </w:t>
      </w:r>
      <w:r w:rsidRPr="000E6497">
        <w:rPr>
          <w:color w:val="000000"/>
        </w:rPr>
        <w:t>100</w:t>
      </w:r>
      <w:proofErr w:type="gramEnd"/>
      <w:r>
        <w:rPr>
          <w:color w:val="000000"/>
        </w:rPr>
        <w:t xml:space="preserve">-90    B   =  89-80    C   =  79-70    </w:t>
      </w:r>
      <w:r w:rsidRPr="000E6497">
        <w:rPr>
          <w:color w:val="000000"/>
        </w:rPr>
        <w:t xml:space="preserve">D   =  </w:t>
      </w:r>
      <w:r>
        <w:rPr>
          <w:color w:val="000000"/>
        </w:rPr>
        <w:t>69-60      F   =  59-0</w:t>
      </w:r>
    </w:p>
    <w:p w14:paraId="79778498" w14:textId="77777777" w:rsidR="007D0045" w:rsidRDefault="007D0045" w:rsidP="007D0045">
      <w:pPr>
        <w:ind w:left="720"/>
        <w:rPr>
          <w:b/>
        </w:rPr>
      </w:pPr>
    </w:p>
    <w:p w14:paraId="44958774" w14:textId="77777777" w:rsidR="00A44706" w:rsidRDefault="00A44706" w:rsidP="00A44706">
      <w:pPr>
        <w:rPr>
          <w:sz w:val="22"/>
          <w:szCs w:val="22"/>
        </w:rPr>
      </w:pPr>
      <w:r w:rsidRPr="00DF2F29">
        <w:rPr>
          <w:sz w:val="22"/>
          <w:szCs w:val="22"/>
          <w:u w:val="single"/>
        </w:rPr>
        <w:t>Attendance and Participation</w:t>
      </w:r>
      <w:r w:rsidRPr="00DF2F29">
        <w:rPr>
          <w:sz w:val="22"/>
          <w:szCs w:val="22"/>
        </w:rPr>
        <w:t xml:space="preserve">: </w:t>
      </w:r>
      <w:r>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participate in online discussions, and spend time delving into the variety of technology resources we will be discovering together. </w:t>
      </w:r>
    </w:p>
    <w:p w14:paraId="377A3E70" w14:textId="77777777" w:rsidR="00A44706" w:rsidRPr="00564225" w:rsidRDefault="00A44706" w:rsidP="00A44706">
      <w:pPr>
        <w:rPr>
          <w:i/>
          <w:sz w:val="22"/>
          <w:szCs w:val="22"/>
        </w:rPr>
      </w:pPr>
      <w:r w:rsidRPr="00564225">
        <w:rPr>
          <w:i/>
          <w:sz w:val="22"/>
          <w:szCs w:val="22"/>
        </w:rPr>
        <w:t xml:space="preserve">*Special note: anyone absent from the F2F session will be allowed to make up their participation points by joining in with the distance discussion board during the week of absence.  </w:t>
      </w:r>
    </w:p>
    <w:p w14:paraId="67BA2B99" w14:textId="77777777" w:rsidR="00A44706" w:rsidRPr="00C04EAE" w:rsidRDefault="00A44706" w:rsidP="00A44706">
      <w:pPr>
        <w:rPr>
          <w:i/>
          <w:color w:val="000000"/>
        </w:rPr>
      </w:pPr>
    </w:p>
    <w:p w14:paraId="6C276F69" w14:textId="77777777" w:rsidR="00A44706" w:rsidRPr="00FA6412" w:rsidRDefault="00A44706" w:rsidP="00A44706">
      <w:pPr>
        <w:rPr>
          <w:color w:val="000000"/>
          <w:sz w:val="22"/>
          <w:szCs w:val="22"/>
        </w:rPr>
      </w:pPr>
      <w:r w:rsidRPr="00FA6412">
        <w:rPr>
          <w:sz w:val="22"/>
          <w:szCs w:val="22"/>
          <w:u w:val="single"/>
        </w:rPr>
        <w:t>Distance Student Requirements</w:t>
      </w:r>
      <w:r w:rsidRPr="00FA6412">
        <w:rPr>
          <w:sz w:val="22"/>
          <w:szCs w:val="22"/>
        </w:rPr>
        <w:t xml:space="preserve">: </w:t>
      </w:r>
      <w:r w:rsidRPr="00FA6412">
        <w:rPr>
          <w:color w:val="000000"/>
          <w:sz w:val="22"/>
          <w:szCs w:val="22"/>
        </w:rPr>
        <w:t>The distance section is "asynchronous" for distance students.  The following will be available to distance students:</w:t>
      </w:r>
    </w:p>
    <w:p w14:paraId="3FE9FF63" w14:textId="77777777" w:rsidR="00A44706" w:rsidRDefault="00A44706" w:rsidP="00A44706">
      <w:pPr>
        <w:ind w:firstLine="720"/>
        <w:rPr>
          <w:color w:val="000000"/>
          <w:sz w:val="22"/>
          <w:szCs w:val="22"/>
        </w:rPr>
      </w:pPr>
      <w:r w:rsidRPr="00FA6412">
        <w:rPr>
          <w:color w:val="000000"/>
          <w:sz w:val="22"/>
          <w:szCs w:val="22"/>
        </w:rPr>
        <w:t xml:space="preserve">- </w:t>
      </w:r>
      <w:r>
        <w:rPr>
          <w:color w:val="000000"/>
          <w:sz w:val="22"/>
          <w:szCs w:val="22"/>
        </w:rPr>
        <w:t>opportunity to participate live via Zoom during F2F course</w:t>
      </w:r>
    </w:p>
    <w:p w14:paraId="0EF756B4" w14:textId="77777777" w:rsidR="00A44706" w:rsidRPr="00FA6412" w:rsidRDefault="00A44706" w:rsidP="00A44706">
      <w:pPr>
        <w:ind w:firstLine="720"/>
        <w:rPr>
          <w:color w:val="000000"/>
          <w:sz w:val="22"/>
          <w:szCs w:val="22"/>
        </w:rPr>
      </w:pPr>
      <w:r>
        <w:rPr>
          <w:color w:val="000000"/>
          <w:sz w:val="22"/>
          <w:szCs w:val="22"/>
        </w:rPr>
        <w:t xml:space="preserve">- </w:t>
      </w:r>
      <w:r w:rsidRPr="00FA6412">
        <w:rPr>
          <w:color w:val="000000"/>
          <w:sz w:val="22"/>
          <w:szCs w:val="22"/>
        </w:rPr>
        <w:t xml:space="preserve">full </w:t>
      </w:r>
      <w:proofErr w:type="spellStart"/>
      <w:r w:rsidRPr="00FA6412">
        <w:rPr>
          <w:color w:val="000000"/>
          <w:sz w:val="22"/>
          <w:szCs w:val="22"/>
        </w:rPr>
        <w:t>Panopto</w:t>
      </w:r>
      <w:proofErr w:type="spellEnd"/>
      <w:r w:rsidRPr="00FA6412">
        <w:rPr>
          <w:color w:val="000000"/>
          <w:sz w:val="22"/>
          <w:szCs w:val="22"/>
        </w:rPr>
        <w:t xml:space="preserve"> recording of </w:t>
      </w:r>
      <w:r>
        <w:rPr>
          <w:color w:val="000000"/>
          <w:sz w:val="22"/>
          <w:szCs w:val="22"/>
        </w:rPr>
        <w:t xml:space="preserve">weekly </w:t>
      </w:r>
      <w:r w:rsidRPr="00FA6412">
        <w:rPr>
          <w:color w:val="000000"/>
          <w:sz w:val="22"/>
          <w:szCs w:val="22"/>
        </w:rPr>
        <w:t xml:space="preserve">F2F class sessions </w:t>
      </w:r>
    </w:p>
    <w:p w14:paraId="41C5F3C8" w14:textId="77777777" w:rsidR="00A44706" w:rsidRPr="00FA6412" w:rsidRDefault="00A44706" w:rsidP="00A44706">
      <w:pPr>
        <w:ind w:firstLine="720"/>
        <w:rPr>
          <w:color w:val="000000"/>
          <w:sz w:val="22"/>
          <w:szCs w:val="22"/>
        </w:rPr>
      </w:pPr>
      <w:r w:rsidRPr="00FA6412">
        <w:rPr>
          <w:color w:val="000000"/>
          <w:sz w:val="22"/>
          <w:szCs w:val="22"/>
        </w:rPr>
        <w:t>- Canvas modules that outline weekly expectations</w:t>
      </w:r>
    </w:p>
    <w:p w14:paraId="622628EE" w14:textId="77777777" w:rsidR="00A44706" w:rsidRPr="00FA6412" w:rsidRDefault="00A44706" w:rsidP="00A44706">
      <w:pPr>
        <w:ind w:left="720"/>
        <w:rPr>
          <w:color w:val="000000"/>
          <w:sz w:val="22"/>
          <w:szCs w:val="22"/>
        </w:rPr>
      </w:pPr>
      <w:r w:rsidRPr="00FA6412">
        <w:rPr>
          <w:color w:val="000000"/>
          <w:sz w:val="22"/>
          <w:szCs w:val="22"/>
        </w:rPr>
        <w:t>- Canvas distance discussion boards</w:t>
      </w:r>
    </w:p>
    <w:p w14:paraId="6CFD142A" w14:textId="77777777" w:rsidR="00A44706" w:rsidRPr="00FA6412" w:rsidRDefault="00A44706" w:rsidP="00A44706">
      <w:pPr>
        <w:ind w:left="720"/>
        <w:rPr>
          <w:color w:val="000000"/>
          <w:sz w:val="22"/>
          <w:szCs w:val="22"/>
        </w:rPr>
      </w:pPr>
      <w:r w:rsidRPr="00FA6412">
        <w:rPr>
          <w:color w:val="000000"/>
          <w:sz w:val="22"/>
          <w:szCs w:val="22"/>
        </w:rPr>
        <w:t xml:space="preserve">- 3 set 1 hour live "drop in" office hours via </w:t>
      </w:r>
      <w:r>
        <w:rPr>
          <w:color w:val="000000"/>
          <w:sz w:val="22"/>
          <w:szCs w:val="22"/>
        </w:rPr>
        <w:t>Zoom</w:t>
      </w:r>
      <w:r w:rsidRPr="00FA6412">
        <w:rPr>
          <w:color w:val="000000"/>
          <w:sz w:val="22"/>
          <w:szCs w:val="22"/>
        </w:rPr>
        <w:t xml:space="preserve"> (details will be sent later)</w:t>
      </w:r>
    </w:p>
    <w:p w14:paraId="43FB8A11" w14:textId="77777777" w:rsidR="00A44706" w:rsidRPr="00FA6412" w:rsidRDefault="00A44706" w:rsidP="00A44706">
      <w:pPr>
        <w:ind w:left="720"/>
        <w:rPr>
          <w:color w:val="000000"/>
          <w:sz w:val="22"/>
          <w:szCs w:val="22"/>
        </w:rPr>
      </w:pPr>
      <w:r w:rsidRPr="00FA6412">
        <w:rPr>
          <w:color w:val="000000"/>
          <w:sz w:val="22"/>
          <w:szCs w:val="22"/>
        </w:rPr>
        <w:t xml:space="preserve">- other </w:t>
      </w:r>
      <w:r>
        <w:rPr>
          <w:color w:val="000000"/>
          <w:sz w:val="22"/>
          <w:szCs w:val="22"/>
        </w:rPr>
        <w:t>Zoom</w:t>
      </w:r>
      <w:r w:rsidRPr="00FA6412">
        <w:rPr>
          <w:color w:val="000000"/>
          <w:sz w:val="22"/>
          <w:szCs w:val="22"/>
        </w:rPr>
        <w:t xml:space="preserve"> chat sessions as requested</w:t>
      </w:r>
    </w:p>
    <w:p w14:paraId="23EC7CED" w14:textId="77777777" w:rsidR="00A44706" w:rsidRPr="00FA6412" w:rsidRDefault="00A44706" w:rsidP="00A44706">
      <w:pPr>
        <w:ind w:left="720"/>
        <w:rPr>
          <w:color w:val="000000"/>
          <w:sz w:val="22"/>
          <w:szCs w:val="22"/>
        </w:rPr>
      </w:pPr>
    </w:p>
    <w:p w14:paraId="42816644" w14:textId="77777777" w:rsidR="00A44706" w:rsidRPr="00FA6412" w:rsidRDefault="00A44706" w:rsidP="00A44706">
      <w:pPr>
        <w:rPr>
          <w:b/>
          <w:color w:val="000000"/>
          <w:sz w:val="22"/>
          <w:szCs w:val="22"/>
        </w:rPr>
      </w:pPr>
      <w:r w:rsidRPr="00FA6412">
        <w:rPr>
          <w:color w:val="000000"/>
          <w:sz w:val="22"/>
          <w:szCs w:val="22"/>
        </w:rPr>
        <w:t>Distance students follow the same weekly schedule as F2F students, and adhere to all assignment due dates as listed in the syllabus or outlined in Canvas as the course proceeds.</w:t>
      </w:r>
      <w:r w:rsidRPr="00FA6412">
        <w:rPr>
          <w:b/>
          <w:color w:val="000000"/>
          <w:sz w:val="22"/>
          <w:szCs w:val="22"/>
        </w:rPr>
        <w:t xml:space="preserve"> </w:t>
      </w:r>
      <w:r w:rsidRPr="00FA6412">
        <w:rPr>
          <w:i/>
          <w:color w:val="000000"/>
          <w:sz w:val="22"/>
          <w:szCs w:val="22"/>
        </w:rPr>
        <w:t xml:space="preserve">Attendance and participation:  distance students will be </w:t>
      </w:r>
      <w:r>
        <w:rPr>
          <w:i/>
          <w:color w:val="000000"/>
          <w:sz w:val="22"/>
          <w:szCs w:val="22"/>
        </w:rPr>
        <w:t>expected to either Zoom in live with us during the F2F class session or</w:t>
      </w:r>
      <w:r w:rsidRPr="00FA6412">
        <w:rPr>
          <w:i/>
          <w:color w:val="000000"/>
          <w:sz w:val="22"/>
          <w:szCs w:val="22"/>
        </w:rPr>
        <w:t xml:space="preserve"> participate weekly in Distance Discussion Boards. </w:t>
      </w:r>
    </w:p>
    <w:p w14:paraId="34ECA8CE" w14:textId="77777777" w:rsidR="006A0151" w:rsidRDefault="006A0151" w:rsidP="00C77A4F">
      <w:pPr>
        <w:ind w:left="720"/>
        <w:rPr>
          <w:sz w:val="22"/>
          <w:szCs w:val="22"/>
        </w:rPr>
      </w:pPr>
    </w:p>
    <w:p w14:paraId="7614C46B" w14:textId="15E23567" w:rsidR="006A0151" w:rsidRPr="00DF2F29" w:rsidRDefault="006A0151" w:rsidP="00E83059">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w:t>
      </w:r>
    </w:p>
    <w:p w14:paraId="5E98B748" w14:textId="77777777" w:rsidR="00C77A4F" w:rsidRPr="00DF2F29" w:rsidRDefault="00C77A4F" w:rsidP="00C77A4F">
      <w:pPr>
        <w:rPr>
          <w:sz w:val="22"/>
          <w:szCs w:val="22"/>
          <w:u w:val="single"/>
        </w:rPr>
      </w:pPr>
    </w:p>
    <w:p w14:paraId="23BC38C6" w14:textId="22275F1A" w:rsidR="00C77A4F" w:rsidRPr="00DF2F29" w:rsidRDefault="00C77A4F" w:rsidP="00E83059">
      <w:pPr>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 xml:space="preserve">class assignments. These readings contain information that will be included in the </w:t>
      </w:r>
      <w:r w:rsidR="00E83059">
        <w:rPr>
          <w:sz w:val="22"/>
          <w:szCs w:val="22"/>
        </w:rPr>
        <w:t xml:space="preserve">group quizzes, </w:t>
      </w:r>
      <w:r w:rsidRPr="00DF2F29">
        <w:rPr>
          <w:sz w:val="22"/>
          <w:szCs w:val="22"/>
        </w:rPr>
        <w:t>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77777777" w:rsidR="00DE3525" w:rsidRPr="00DE3525" w:rsidRDefault="00AE14BA" w:rsidP="00E83059">
      <w:pPr>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CTES 7420 is a comprehensive study of theories of second language acquisition. The course covers SLA from three perspectives: psycholinguistics, sociolinguistics and neurolinguistics. The course requires students not only to interpret and analyze theoretical models of SLA, it requires students to make clear the connections between research and effective practice in SLA programs. Crucial to the success of second language teaching and learning is educators’ in-depth understanding of how processes of second language acquisition are theorized and researched. The rigorous examination of SLA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52A8823" w:rsidR="00E372BA" w:rsidRPr="004470E7" w:rsidRDefault="00322F65"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86BD4" w:rsidRDefault="00AE14BA" w:rsidP="00A86BD4">
      <w:pPr>
        <w:autoSpaceDE w:val="0"/>
        <w:autoSpaceDN w:val="0"/>
        <w:adjustRightInd w:val="0"/>
        <w:spacing w:line="276" w:lineRule="auto"/>
        <w:rPr>
          <w:rFonts w:cs="Arial"/>
          <w:i/>
          <w:sz w:val="22"/>
          <w:szCs w:val="22"/>
        </w:rPr>
      </w:pPr>
      <w:r w:rsidRPr="00A86BD4">
        <w:rPr>
          <w:b/>
          <w:sz w:val="22"/>
          <w:szCs w:val="22"/>
          <w:u w:val="single"/>
        </w:rPr>
        <w:t>Attendance/Absences</w:t>
      </w:r>
      <w:r w:rsidRPr="00A86BD4">
        <w:rPr>
          <w:b/>
          <w:sz w:val="22"/>
          <w:szCs w:val="22"/>
        </w:rPr>
        <w:t>:</w:t>
      </w:r>
      <w:r w:rsidRPr="00A86BD4">
        <w:rPr>
          <w:sz w:val="22"/>
          <w:szCs w:val="22"/>
        </w:rPr>
        <w:t xml:space="preserve">  </w:t>
      </w:r>
      <w:r w:rsidRPr="00A86BD4">
        <w:rPr>
          <w:rFonts w:cs="Arial"/>
          <w:b/>
          <w:bCs/>
          <w:sz w:val="22"/>
          <w:szCs w:val="22"/>
        </w:rPr>
        <w:t>Excused Absences</w:t>
      </w:r>
      <w:r w:rsidRPr="00A86BD4">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Default="00A86BD4" w:rsidP="00A86BD4">
      <w:pPr>
        <w:autoSpaceDE w:val="0"/>
        <w:autoSpaceDN w:val="0"/>
        <w:adjustRightInd w:val="0"/>
        <w:spacing w:line="276" w:lineRule="auto"/>
        <w:rPr>
          <w:rFonts w:cs="Arial"/>
          <w:b/>
          <w:bCs/>
          <w:sz w:val="22"/>
          <w:szCs w:val="22"/>
          <w:u w:val="single"/>
        </w:rPr>
      </w:pPr>
    </w:p>
    <w:p w14:paraId="2CD775D9" w14:textId="77777777" w:rsidR="00AE14BA" w:rsidRPr="00A86BD4" w:rsidRDefault="00AE14BA" w:rsidP="00A86BD4">
      <w:pPr>
        <w:autoSpaceDE w:val="0"/>
        <w:autoSpaceDN w:val="0"/>
        <w:adjustRightInd w:val="0"/>
        <w:spacing w:line="276" w:lineRule="auto"/>
        <w:rPr>
          <w:rFonts w:cs="Arial"/>
          <w:sz w:val="22"/>
          <w:szCs w:val="22"/>
        </w:rPr>
      </w:pPr>
      <w:r w:rsidRPr="00A86BD4">
        <w:rPr>
          <w:rFonts w:cs="Arial"/>
          <w:b/>
          <w:bCs/>
          <w:sz w:val="22"/>
          <w:szCs w:val="22"/>
          <w:u w:val="single"/>
        </w:rPr>
        <w:t>Make-Up Policy</w:t>
      </w:r>
      <w:r w:rsidRPr="00A86BD4">
        <w:rPr>
          <w:rFonts w:cs="Arial"/>
          <w:b/>
          <w:bCs/>
          <w:sz w:val="22"/>
          <w:szCs w:val="22"/>
        </w:rPr>
        <w:t xml:space="preserve">: </w:t>
      </w:r>
      <w:r w:rsidRPr="00A86BD4">
        <w:rPr>
          <w:rFonts w:cs="Arial"/>
          <w:bCs/>
          <w:sz w:val="22"/>
          <w:szCs w:val="22"/>
        </w:rPr>
        <w:t>Arrangement</w:t>
      </w:r>
      <w:r w:rsidRPr="00A86BD4">
        <w:rPr>
          <w:rFonts w:cs="Arial"/>
          <w:bCs/>
          <w:color w:val="000000" w:themeColor="text1"/>
          <w:sz w:val="22"/>
          <w:szCs w:val="22"/>
        </w:rPr>
        <w:t>s</w:t>
      </w:r>
      <w:r w:rsidRPr="00A86BD4">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Default="00A86BD4" w:rsidP="00A86BD4">
      <w:pPr>
        <w:autoSpaceDE w:val="0"/>
        <w:autoSpaceDN w:val="0"/>
        <w:adjustRightInd w:val="0"/>
        <w:spacing w:line="276" w:lineRule="auto"/>
        <w:rPr>
          <w:rFonts w:cs="Arial"/>
          <w:b/>
          <w:bCs/>
          <w:sz w:val="22"/>
          <w:szCs w:val="22"/>
          <w:u w:val="single"/>
        </w:rPr>
      </w:pPr>
    </w:p>
    <w:p w14:paraId="60D0CC0A" w14:textId="77777777" w:rsidR="00AE14BA" w:rsidRPr="00A86BD4" w:rsidRDefault="00AE14BA" w:rsidP="00A86BD4">
      <w:pPr>
        <w:autoSpaceDE w:val="0"/>
        <w:autoSpaceDN w:val="0"/>
        <w:adjustRightInd w:val="0"/>
        <w:spacing w:line="276" w:lineRule="auto"/>
        <w:rPr>
          <w:rFonts w:cs="Arial"/>
        </w:rPr>
      </w:pPr>
      <w:r w:rsidRPr="00A86BD4">
        <w:rPr>
          <w:rFonts w:cs="Arial"/>
          <w:b/>
          <w:bCs/>
          <w:sz w:val="22"/>
          <w:szCs w:val="22"/>
          <w:u w:val="single"/>
        </w:rPr>
        <w:t>Late Assignments</w:t>
      </w:r>
      <w:r w:rsidRPr="00A86BD4">
        <w:rPr>
          <w:rFonts w:cs="Arial"/>
          <w:b/>
          <w:bCs/>
          <w:sz w:val="22"/>
          <w:szCs w:val="22"/>
        </w:rPr>
        <w:t>:</w:t>
      </w:r>
      <w:r w:rsidRPr="00A86BD4">
        <w:rPr>
          <w:rFonts w:cs="Arial"/>
          <w:sz w:val="22"/>
          <w:szCs w:val="22"/>
        </w:rPr>
        <w:t xml:space="preserve"> </w:t>
      </w:r>
      <w:r w:rsidRPr="00A86BD4">
        <w:rPr>
          <w:sz w:val="22"/>
          <w:szCs w:val="22"/>
        </w:rPr>
        <w:t>Late assignments lose 10% credit per unexcused day late to a maximum of 30% lost credit.</w:t>
      </w:r>
      <w:r w:rsidRPr="00521B84">
        <w:t xml:space="preserve">  </w:t>
      </w:r>
    </w:p>
    <w:p w14:paraId="7E75C125" w14:textId="77777777" w:rsidR="00A86BD4" w:rsidRDefault="00A86BD4" w:rsidP="00A86BD4">
      <w:pPr>
        <w:rPr>
          <w:rFonts w:ascii="Times" w:hAnsi="Times"/>
          <w:b/>
          <w:sz w:val="22"/>
          <w:szCs w:val="22"/>
          <w:u w:val="single"/>
        </w:rPr>
      </w:pPr>
    </w:p>
    <w:p w14:paraId="563DEA81" w14:textId="7CFC5EE6" w:rsidR="000B31CD" w:rsidRPr="007713FC" w:rsidRDefault="000B31CD" w:rsidP="00A86BD4">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There will be no unannounced quizzes.</w:t>
      </w:r>
    </w:p>
    <w:p w14:paraId="067FB4A3" w14:textId="77777777" w:rsidR="00A86BD4" w:rsidRDefault="00A86BD4" w:rsidP="00A86BD4">
      <w:pPr>
        <w:rPr>
          <w:rFonts w:ascii="Times" w:hAnsi="Times"/>
          <w:b/>
          <w:sz w:val="22"/>
          <w:szCs w:val="22"/>
          <w:u w:val="single"/>
        </w:rPr>
      </w:pPr>
    </w:p>
    <w:p w14:paraId="402D8E00" w14:textId="1D250739" w:rsidR="000B31CD" w:rsidRPr="00A86BD4" w:rsidRDefault="000B31CD" w:rsidP="00A86BD4">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C417EFE" w14:textId="77777777" w:rsidR="00A86BD4" w:rsidRDefault="00A86BD4" w:rsidP="00A86BD4">
      <w:pPr>
        <w:spacing w:after="200"/>
        <w:rPr>
          <w:rFonts w:ascii="Times" w:hAnsi="Times"/>
          <w:b/>
          <w:sz w:val="22"/>
          <w:szCs w:val="22"/>
          <w:u w:val="single"/>
        </w:rPr>
      </w:pPr>
    </w:p>
    <w:p w14:paraId="4F747398" w14:textId="3092D4DF" w:rsidR="00D94360" w:rsidRPr="00A86BD4" w:rsidRDefault="00D94360" w:rsidP="00A86BD4">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2"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6B4FA132" w14:textId="632A1F6E" w:rsidR="000B31CD" w:rsidRPr="00B52636" w:rsidRDefault="000B31CD" w:rsidP="00A86BD4">
      <w:pPr>
        <w:spacing w:after="200"/>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A86BD4" w:rsidRDefault="001A4123" w:rsidP="00A86BD4">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4"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9A1BE17" w14:textId="77777777" w:rsidR="00A86BD4" w:rsidRDefault="00A86BD4" w:rsidP="007C442D">
      <w:pPr>
        <w:rPr>
          <w:rFonts w:ascii="Times" w:eastAsiaTheme="minorEastAsia" w:hAnsi="Times" w:cs="Calibri"/>
          <w:b/>
          <w:sz w:val="22"/>
          <w:szCs w:val="22"/>
          <w:u w:val="single"/>
          <w:lang w:eastAsia="ja-JP"/>
        </w:rPr>
      </w:pPr>
    </w:p>
    <w:p w14:paraId="3C137C5D" w14:textId="73807EFC" w:rsidR="007C442D" w:rsidRPr="00A86BD4"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r w:rsidR="00A86BD4">
        <w:rPr>
          <w:rFonts w:ascii="Times" w:eastAsiaTheme="minorEastAsia" w:hAnsi="Times" w:cs="Calibri"/>
          <w:b/>
          <w:sz w:val="22"/>
          <w:szCs w:val="22"/>
          <w:u w:val="single"/>
          <w:lang w:eastAsia="ja-JP"/>
        </w:rPr>
        <w:t xml:space="preserve">  </w:t>
      </w:r>
      <w:r>
        <w:rPr>
          <w:rFonts w:ascii="Times" w:eastAsiaTheme="minorEastAsia" w:hAnsi="Times" w:cs="Calibri"/>
          <w:sz w:val="22"/>
          <w:szCs w:val="22"/>
          <w:lang w:eastAsia="ja-JP"/>
        </w:rPr>
        <w:t xml:space="preserve">Please refer to </w:t>
      </w:r>
      <w:hyperlink r:id="rId15"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23948628" w14:textId="77777777" w:rsidR="00A86BD4" w:rsidRDefault="00A86BD4" w:rsidP="00AE14BA">
      <w:pPr>
        <w:tabs>
          <w:tab w:val="left" w:pos="720"/>
        </w:tabs>
        <w:rPr>
          <w:b/>
          <w:sz w:val="22"/>
          <w:szCs w:val="22"/>
          <w:u w:val="single"/>
        </w:rPr>
      </w:pPr>
    </w:p>
    <w:p w14:paraId="7FA3AB39" w14:textId="13EB62B5" w:rsidR="00AE14BA" w:rsidRPr="00AE14BA" w:rsidRDefault="00AE14BA" w:rsidP="00A86BD4">
      <w:pPr>
        <w:tabs>
          <w:tab w:val="left" w:pos="720"/>
        </w:tabs>
        <w:rPr>
          <w:sz w:val="22"/>
          <w:szCs w:val="22"/>
        </w:rPr>
      </w:pPr>
      <w:r w:rsidRPr="00AE14BA">
        <w:rPr>
          <w:b/>
          <w:sz w:val="22"/>
          <w:szCs w:val="22"/>
          <w:u w:val="single"/>
        </w:rPr>
        <w:t>Distance Learning Students</w:t>
      </w:r>
      <w:r w:rsidRPr="00AE14BA">
        <w:rPr>
          <w:sz w:val="22"/>
          <w:szCs w:val="22"/>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w:t>
      </w:r>
      <w:r w:rsidRPr="00AE14BA">
        <w:rPr>
          <w:sz w:val="22"/>
          <w:szCs w:val="22"/>
        </w:rPr>
        <w:lastRenderedPageBreak/>
        <w:t>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6"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7"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18" w:history="1">
        <w:r w:rsidRPr="00576E1B">
          <w:rPr>
            <w:color w:val="0000E9"/>
            <w:u w:val="single" w:color="0000E9"/>
          </w:rPr>
          <w:t>http://www.auburn.edu/academic/provost/undergrad_studies/support/</w:t>
        </w:r>
      </w:hyperlink>
      <w:r w:rsidRPr="00576E1B">
        <w:rPr>
          <w:b/>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6204980D" w:rsidR="000942A5"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6"/>
        <w:gridCol w:w="1781"/>
        <w:gridCol w:w="3239"/>
        <w:gridCol w:w="2702"/>
        <w:gridCol w:w="2075"/>
      </w:tblGrid>
      <w:tr w:rsidR="00A13050" w14:paraId="166D4AFA" w14:textId="77777777" w:rsidTr="00800DE9">
        <w:trPr>
          <w:cnfStyle w:val="100000000000" w:firstRow="1" w:lastRow="0" w:firstColumn="0" w:lastColumn="0" w:oddVBand="0" w:evenVBand="0" w:oddHBand="0" w:evenHBand="0" w:firstRowFirstColumn="0" w:firstRowLastColumn="0" w:lastRowFirstColumn="0" w:lastRowLastColumn="0"/>
          <w:cantSplit/>
          <w:trHeight w:val="327"/>
        </w:trPr>
        <w:tc>
          <w:tcPr>
            <w:tcW w:w="5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0678A2" w:rsidRPr="00C85390" w:rsidRDefault="000678A2" w:rsidP="00D65D98">
            <w:pPr>
              <w:rPr>
                <w:color w:val="000000" w:themeColor="text1"/>
              </w:rPr>
            </w:pPr>
            <w:r w:rsidRPr="00C85390">
              <w:rPr>
                <w:color w:val="000000" w:themeColor="text1"/>
              </w:rPr>
              <w:t xml:space="preserve">Week </w:t>
            </w:r>
          </w:p>
        </w:tc>
        <w:tc>
          <w:tcPr>
            <w:tcW w:w="8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0678A2" w:rsidRPr="00C85390" w:rsidRDefault="000678A2" w:rsidP="00D65D98">
            <w:pPr>
              <w:rPr>
                <w:color w:val="000000" w:themeColor="text1"/>
              </w:rPr>
            </w:pPr>
            <w:r w:rsidRPr="00C85390">
              <w:rPr>
                <w:color w:val="000000" w:themeColor="text1"/>
              </w:rPr>
              <w:t>Topics</w:t>
            </w:r>
          </w:p>
        </w:tc>
        <w:tc>
          <w:tcPr>
            <w:tcW w:w="14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0678A2" w:rsidRPr="00C85390" w:rsidRDefault="000678A2" w:rsidP="00D65D98">
            <w:pPr>
              <w:rPr>
                <w:color w:val="000000" w:themeColor="text1"/>
              </w:rPr>
            </w:pPr>
            <w:r>
              <w:rPr>
                <w:color w:val="000000" w:themeColor="text1"/>
              </w:rPr>
              <w:t>Prior to Class Meeting</w:t>
            </w:r>
          </w:p>
          <w:p w14:paraId="3E087D11" w14:textId="2BDC7A4E" w:rsidR="000678A2" w:rsidRPr="00C85390" w:rsidRDefault="000678A2" w:rsidP="00D65D98">
            <w:pPr>
              <w:rPr>
                <w:color w:val="000000" w:themeColor="text1"/>
              </w:rPr>
            </w:pPr>
          </w:p>
        </w:tc>
        <w:tc>
          <w:tcPr>
            <w:tcW w:w="122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98779" w14:textId="1249DB82" w:rsidR="000678A2" w:rsidRPr="00C85390" w:rsidRDefault="000678A2" w:rsidP="00D65D98">
            <w:pPr>
              <w:rPr>
                <w:color w:val="000000" w:themeColor="text1"/>
              </w:rPr>
            </w:pPr>
            <w:r>
              <w:rPr>
                <w:color w:val="000000" w:themeColor="text1"/>
              </w:rPr>
              <w:t>In Class Plan</w:t>
            </w:r>
          </w:p>
        </w:tc>
        <w:tc>
          <w:tcPr>
            <w:tcW w:w="9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0678A2" w:rsidRPr="00C85390" w:rsidRDefault="000678A2" w:rsidP="004B2A34">
            <w:pPr>
              <w:rPr>
                <w:color w:val="000000" w:themeColor="text1"/>
              </w:rPr>
            </w:pPr>
            <w:r>
              <w:rPr>
                <w:color w:val="000000" w:themeColor="text1"/>
              </w:rPr>
              <w:t xml:space="preserve">Assignments </w:t>
            </w:r>
          </w:p>
        </w:tc>
      </w:tr>
      <w:tr w:rsidR="007D5B7C" w14:paraId="02438114" w14:textId="77777777" w:rsidTr="007D5B7C">
        <w:trPr>
          <w:cantSplit/>
          <w:trHeight w:val="849"/>
        </w:trPr>
        <w:tc>
          <w:tcPr>
            <w:tcW w:w="5000" w:type="pct"/>
            <w:gridSpan w:val="5"/>
            <w:tcBorders>
              <w:top w:val="single" w:sz="6" w:space="0" w:color="17365D" w:themeColor="text2" w:themeShade="BF"/>
            </w:tcBorders>
            <w:noWrap/>
          </w:tcPr>
          <w:p w14:paraId="02E15BAA" w14:textId="70463335" w:rsidR="007D5B7C" w:rsidRPr="002F1279" w:rsidRDefault="007D5B7C" w:rsidP="00D65D98">
            <w:pPr>
              <w:rPr>
                <w:color w:val="000000" w:themeColor="text1"/>
                <w:sz w:val="20"/>
                <w:szCs w:val="20"/>
              </w:rPr>
            </w:pPr>
            <w:r w:rsidRPr="002F1279">
              <w:rPr>
                <w:b/>
                <w:sz w:val="20"/>
                <w:szCs w:val="20"/>
              </w:rPr>
              <w:t xml:space="preserve">1: 1/8 – First week of classes.  Classes begin on 1/9, so no class meeting this week. Please read the syllabus and post an online introductory post in your assessment work group.  </w:t>
            </w:r>
          </w:p>
          <w:p w14:paraId="31EAB901" w14:textId="524A2E5C" w:rsidR="007D5B7C" w:rsidRPr="007E7651" w:rsidRDefault="007D5B7C" w:rsidP="007D0045">
            <w:pPr>
              <w:pStyle w:val="DecimalAligned"/>
              <w:spacing w:after="0" w:line="240" w:lineRule="auto"/>
              <w:rPr>
                <w:color w:val="000000" w:themeColor="text1"/>
                <w:sz w:val="20"/>
                <w:szCs w:val="20"/>
              </w:rPr>
            </w:pPr>
            <w:r w:rsidRPr="007E7651">
              <w:t xml:space="preserve"> </w:t>
            </w:r>
          </w:p>
          <w:p w14:paraId="7D478712" w14:textId="652A94D0" w:rsidR="007D5B7C" w:rsidRPr="007E7651" w:rsidRDefault="007D5B7C" w:rsidP="00EE71A7">
            <w:pPr>
              <w:pStyle w:val="DecimalAligned"/>
              <w:spacing w:after="0" w:line="240" w:lineRule="auto"/>
              <w:rPr>
                <w:color w:val="000000" w:themeColor="text1"/>
                <w:sz w:val="20"/>
                <w:szCs w:val="20"/>
              </w:rPr>
            </w:pPr>
          </w:p>
        </w:tc>
      </w:tr>
      <w:tr w:rsidR="00A13050" w14:paraId="4D6F5971" w14:textId="77777777" w:rsidTr="00800DE9">
        <w:trPr>
          <w:cantSplit/>
          <w:trHeight w:val="557"/>
        </w:trPr>
        <w:tc>
          <w:tcPr>
            <w:tcW w:w="544" w:type="pct"/>
            <w:noWrap/>
          </w:tcPr>
          <w:p w14:paraId="541089FD" w14:textId="78B9731B" w:rsidR="000678A2" w:rsidRPr="002F1279" w:rsidRDefault="000678A2" w:rsidP="00FA6412">
            <w:pPr>
              <w:rPr>
                <w:color w:val="000000" w:themeColor="text1"/>
                <w:sz w:val="20"/>
                <w:szCs w:val="20"/>
              </w:rPr>
            </w:pPr>
            <w:r w:rsidRPr="002F1279">
              <w:rPr>
                <w:b/>
                <w:sz w:val="20"/>
                <w:szCs w:val="20"/>
              </w:rPr>
              <w:t xml:space="preserve">2: </w:t>
            </w:r>
            <w:r w:rsidR="007D5B7C" w:rsidRPr="002F1279">
              <w:rPr>
                <w:b/>
                <w:sz w:val="20"/>
                <w:szCs w:val="20"/>
              </w:rPr>
              <w:t>1/15</w:t>
            </w:r>
          </w:p>
        </w:tc>
        <w:tc>
          <w:tcPr>
            <w:tcW w:w="810" w:type="pct"/>
          </w:tcPr>
          <w:p w14:paraId="198A9F9B" w14:textId="0BDB2ED0" w:rsidR="000678A2" w:rsidRPr="002F1279" w:rsidRDefault="002F1279" w:rsidP="007E7651">
            <w:pPr>
              <w:rPr>
                <w:color w:val="000000" w:themeColor="text1"/>
                <w:sz w:val="20"/>
                <w:szCs w:val="20"/>
              </w:rPr>
            </w:pPr>
            <w:r w:rsidRPr="002F1279">
              <w:rPr>
                <w:color w:val="000000" w:themeColor="text1"/>
                <w:sz w:val="20"/>
                <w:szCs w:val="20"/>
              </w:rPr>
              <w:t>Assessment concepts and issues</w:t>
            </w:r>
          </w:p>
        </w:tc>
        <w:tc>
          <w:tcPr>
            <w:tcW w:w="1473" w:type="pct"/>
          </w:tcPr>
          <w:p w14:paraId="3B8E5111" w14:textId="77777777" w:rsidR="0046276F" w:rsidRDefault="002F1279" w:rsidP="00EE71A7">
            <w:pPr>
              <w:pStyle w:val="DecimalAligned"/>
              <w:spacing w:line="240" w:lineRule="auto"/>
              <w:contextualSpacing/>
              <w:rPr>
                <w:rFonts w:ascii="Times New Roman" w:hAnsi="Times New Roman"/>
                <w:sz w:val="20"/>
                <w:szCs w:val="20"/>
              </w:rPr>
            </w:pPr>
            <w:r w:rsidRPr="002F1279">
              <w:rPr>
                <w:rFonts w:ascii="Times New Roman" w:hAnsi="Times New Roman"/>
                <w:sz w:val="20"/>
                <w:szCs w:val="20"/>
              </w:rPr>
              <w:t xml:space="preserve">Chapter 1, Brown &amp; </w:t>
            </w:r>
            <w:proofErr w:type="spellStart"/>
            <w:r w:rsidRPr="002F1279">
              <w:rPr>
                <w:rFonts w:ascii="Times New Roman" w:hAnsi="Times New Roman"/>
                <w:sz w:val="20"/>
                <w:szCs w:val="20"/>
              </w:rPr>
              <w:t>Abeywickrama</w:t>
            </w:r>
            <w:proofErr w:type="spellEnd"/>
          </w:p>
          <w:p w14:paraId="53B3D446" w14:textId="021185CB" w:rsidR="002F1279" w:rsidRPr="002F1279" w:rsidRDefault="00824BA4" w:rsidP="00EE71A7">
            <w:pPr>
              <w:pStyle w:val="DecimalAligned"/>
              <w:spacing w:line="240" w:lineRule="auto"/>
              <w:contextualSpacing/>
              <w:rPr>
                <w:rFonts w:ascii="Times New Roman" w:hAnsi="Times New Roman"/>
                <w:sz w:val="20"/>
                <w:szCs w:val="20"/>
              </w:rPr>
            </w:pPr>
            <w:r>
              <w:rPr>
                <w:rFonts w:ascii="Times New Roman" w:hAnsi="Times New Roman"/>
                <w:sz w:val="20"/>
                <w:szCs w:val="20"/>
              </w:rPr>
              <w:t>Chapter 1, McNamara (pdf)</w:t>
            </w:r>
          </w:p>
        </w:tc>
        <w:tc>
          <w:tcPr>
            <w:tcW w:w="1229" w:type="pct"/>
          </w:tcPr>
          <w:p w14:paraId="1FB29A18" w14:textId="77777777" w:rsidR="002450BF" w:rsidRDefault="00824BA4" w:rsidP="00E55632">
            <w:pPr>
              <w:pStyle w:val="DecimalAligned"/>
              <w:spacing w:after="0" w:line="240" w:lineRule="auto"/>
              <w:rPr>
                <w:sz w:val="20"/>
                <w:szCs w:val="20"/>
              </w:rPr>
            </w:pPr>
            <w:r>
              <w:rPr>
                <w:sz w:val="20"/>
                <w:szCs w:val="20"/>
              </w:rPr>
              <w:t>TBA – please see Canvas for Agenda</w:t>
            </w:r>
          </w:p>
          <w:p w14:paraId="566297C8" w14:textId="77777777" w:rsidR="00163E8B" w:rsidRDefault="00163E8B" w:rsidP="00163E8B">
            <w:pPr>
              <w:pStyle w:val="DecimalAligned"/>
              <w:numPr>
                <w:ilvl w:val="0"/>
                <w:numId w:val="50"/>
              </w:numPr>
              <w:spacing w:after="0" w:line="240" w:lineRule="auto"/>
              <w:rPr>
                <w:sz w:val="20"/>
                <w:szCs w:val="20"/>
              </w:rPr>
            </w:pPr>
            <w:r>
              <w:rPr>
                <w:sz w:val="20"/>
                <w:szCs w:val="20"/>
              </w:rPr>
              <w:t>Article choices</w:t>
            </w:r>
          </w:p>
          <w:p w14:paraId="09FAC2AA" w14:textId="77777777" w:rsidR="00163E8B" w:rsidRDefault="00163E8B" w:rsidP="00163E8B">
            <w:pPr>
              <w:pStyle w:val="DecimalAligned"/>
              <w:numPr>
                <w:ilvl w:val="0"/>
                <w:numId w:val="50"/>
              </w:numPr>
              <w:spacing w:after="0" w:line="240" w:lineRule="auto"/>
              <w:rPr>
                <w:sz w:val="20"/>
                <w:szCs w:val="20"/>
              </w:rPr>
            </w:pPr>
            <w:r>
              <w:rPr>
                <w:sz w:val="20"/>
                <w:szCs w:val="20"/>
              </w:rPr>
              <w:t>Authentic assessment choices</w:t>
            </w:r>
          </w:p>
          <w:p w14:paraId="633DF4A9" w14:textId="563CB7B2" w:rsidR="00163E8B" w:rsidRPr="008B1B5B" w:rsidRDefault="00163E8B" w:rsidP="00163E8B">
            <w:pPr>
              <w:pStyle w:val="DecimalAligned"/>
              <w:numPr>
                <w:ilvl w:val="0"/>
                <w:numId w:val="50"/>
              </w:numPr>
              <w:spacing w:after="0" w:line="240" w:lineRule="auto"/>
              <w:rPr>
                <w:sz w:val="20"/>
                <w:szCs w:val="20"/>
              </w:rPr>
            </w:pPr>
            <w:r>
              <w:rPr>
                <w:sz w:val="20"/>
                <w:szCs w:val="20"/>
              </w:rPr>
              <w:t>Issue choices</w:t>
            </w:r>
          </w:p>
        </w:tc>
        <w:tc>
          <w:tcPr>
            <w:tcW w:w="944" w:type="pct"/>
          </w:tcPr>
          <w:p w14:paraId="15198ABC" w14:textId="46F7CE19" w:rsidR="000678A2" w:rsidRPr="008B1B5B" w:rsidRDefault="00163E8B" w:rsidP="00800DE9">
            <w:pPr>
              <w:pStyle w:val="DecimalAligned"/>
              <w:spacing w:after="0" w:line="240" w:lineRule="auto"/>
              <w:rPr>
                <w:color w:val="000000" w:themeColor="text1"/>
                <w:sz w:val="20"/>
                <w:szCs w:val="20"/>
              </w:rPr>
            </w:pPr>
            <w:r>
              <w:rPr>
                <w:color w:val="000000" w:themeColor="text1"/>
                <w:sz w:val="20"/>
                <w:szCs w:val="20"/>
              </w:rPr>
              <w:t>Please identify 3 – 5 ELLs/NNES for practice assessments this semester.  Submit names &amp; email addresses. *school age children will need parent permission</w:t>
            </w:r>
          </w:p>
        </w:tc>
      </w:tr>
      <w:tr w:rsidR="00A13050" w14:paraId="148C85F2" w14:textId="77777777" w:rsidTr="00800DE9">
        <w:trPr>
          <w:cantSplit/>
          <w:trHeight w:val="800"/>
        </w:trPr>
        <w:tc>
          <w:tcPr>
            <w:tcW w:w="544" w:type="pct"/>
            <w:noWrap/>
          </w:tcPr>
          <w:p w14:paraId="4B93D6A4" w14:textId="459A5E02" w:rsidR="000678A2" w:rsidRPr="002F1279" w:rsidRDefault="000678A2" w:rsidP="00FA6412">
            <w:pPr>
              <w:rPr>
                <w:b/>
                <w:sz w:val="20"/>
                <w:szCs w:val="20"/>
              </w:rPr>
            </w:pPr>
            <w:r w:rsidRPr="002F1279">
              <w:rPr>
                <w:b/>
                <w:sz w:val="20"/>
                <w:szCs w:val="20"/>
              </w:rPr>
              <w:t xml:space="preserve">3: </w:t>
            </w:r>
            <w:r w:rsidR="007D5B7C" w:rsidRPr="002F1279">
              <w:rPr>
                <w:b/>
                <w:sz w:val="20"/>
                <w:szCs w:val="20"/>
              </w:rPr>
              <w:t>1/22*</w:t>
            </w:r>
          </w:p>
        </w:tc>
        <w:tc>
          <w:tcPr>
            <w:tcW w:w="810" w:type="pct"/>
          </w:tcPr>
          <w:p w14:paraId="37A2C4A8" w14:textId="77777777" w:rsidR="002F1279" w:rsidRDefault="008B1B5B" w:rsidP="000970EB">
            <w:pPr>
              <w:rPr>
                <w:sz w:val="20"/>
                <w:szCs w:val="20"/>
              </w:rPr>
            </w:pPr>
            <w:r w:rsidRPr="002F1279">
              <w:rPr>
                <w:sz w:val="20"/>
                <w:szCs w:val="20"/>
              </w:rPr>
              <w:t>Principles of Language Assessment</w:t>
            </w:r>
          </w:p>
          <w:p w14:paraId="019E24AE" w14:textId="623C64E6" w:rsidR="00A44706" w:rsidRPr="002F1279" w:rsidRDefault="00A44706" w:rsidP="000970EB">
            <w:pPr>
              <w:rPr>
                <w:sz w:val="20"/>
                <w:szCs w:val="20"/>
              </w:rPr>
            </w:pPr>
            <w:r>
              <w:rPr>
                <w:sz w:val="20"/>
                <w:szCs w:val="20"/>
              </w:rPr>
              <w:t>Major Assessments review</w:t>
            </w:r>
          </w:p>
        </w:tc>
        <w:tc>
          <w:tcPr>
            <w:tcW w:w="1473" w:type="pct"/>
          </w:tcPr>
          <w:p w14:paraId="104ADF04" w14:textId="77777777" w:rsidR="008B1B5B" w:rsidRDefault="008B1B5B" w:rsidP="008B1B5B">
            <w:pPr>
              <w:rPr>
                <w:sz w:val="20"/>
                <w:szCs w:val="20"/>
              </w:rPr>
            </w:pPr>
            <w:r w:rsidRPr="002F1279">
              <w:rPr>
                <w:sz w:val="20"/>
                <w:szCs w:val="20"/>
              </w:rPr>
              <w:t xml:space="preserve">Chapter 2, Brown &amp; </w:t>
            </w:r>
            <w:proofErr w:type="spellStart"/>
            <w:r w:rsidRPr="002F1279">
              <w:rPr>
                <w:sz w:val="20"/>
                <w:szCs w:val="20"/>
              </w:rPr>
              <w:t>Abeywickrama</w:t>
            </w:r>
            <w:proofErr w:type="spellEnd"/>
          </w:p>
          <w:p w14:paraId="57F4FE4E" w14:textId="1DB26EC2" w:rsidR="002F1279" w:rsidRDefault="00824BA4" w:rsidP="00E55632">
            <w:pPr>
              <w:pStyle w:val="DecimalAligned"/>
              <w:spacing w:line="240" w:lineRule="auto"/>
              <w:contextualSpacing/>
              <w:rPr>
                <w:rFonts w:ascii="Times New Roman" w:hAnsi="Times New Roman"/>
                <w:sz w:val="20"/>
                <w:szCs w:val="20"/>
              </w:rPr>
            </w:pPr>
            <w:r>
              <w:rPr>
                <w:rFonts w:ascii="Times New Roman" w:hAnsi="Times New Roman"/>
                <w:sz w:val="20"/>
                <w:szCs w:val="20"/>
              </w:rPr>
              <w:t>Chapter 2, McNamara (pdf)</w:t>
            </w:r>
          </w:p>
          <w:p w14:paraId="15246489" w14:textId="77777777" w:rsidR="00A44706" w:rsidRDefault="00A44706" w:rsidP="00E55632">
            <w:pPr>
              <w:pStyle w:val="DecimalAligned"/>
              <w:spacing w:line="240" w:lineRule="auto"/>
              <w:contextualSpacing/>
              <w:rPr>
                <w:rFonts w:ascii="Times New Roman" w:hAnsi="Times New Roman"/>
                <w:sz w:val="20"/>
                <w:szCs w:val="20"/>
              </w:rPr>
            </w:pPr>
            <w:r>
              <w:rPr>
                <w:rFonts w:ascii="Times New Roman" w:hAnsi="Times New Roman"/>
                <w:sz w:val="20"/>
                <w:szCs w:val="20"/>
              </w:rPr>
              <w:t>ACCUPLACER</w:t>
            </w:r>
          </w:p>
          <w:p w14:paraId="524287F2" w14:textId="77777777" w:rsidR="00A44706" w:rsidRDefault="00A44706" w:rsidP="00E55632">
            <w:pPr>
              <w:pStyle w:val="DecimalAligned"/>
              <w:spacing w:line="240" w:lineRule="auto"/>
              <w:contextualSpacing/>
              <w:rPr>
                <w:rFonts w:ascii="Times New Roman" w:hAnsi="Times New Roman"/>
                <w:sz w:val="20"/>
                <w:szCs w:val="20"/>
              </w:rPr>
            </w:pPr>
            <w:r>
              <w:rPr>
                <w:rFonts w:ascii="Times New Roman" w:hAnsi="Times New Roman"/>
                <w:sz w:val="20"/>
                <w:szCs w:val="20"/>
              </w:rPr>
              <w:t>KITE</w:t>
            </w:r>
          </w:p>
          <w:p w14:paraId="2AF1C52F" w14:textId="0F23A176" w:rsidR="00A44706" w:rsidRPr="002F1279" w:rsidRDefault="00A44706" w:rsidP="00E55632">
            <w:pPr>
              <w:pStyle w:val="DecimalAligned"/>
              <w:spacing w:line="240" w:lineRule="auto"/>
              <w:contextualSpacing/>
              <w:rPr>
                <w:rFonts w:ascii="Times New Roman" w:hAnsi="Times New Roman"/>
                <w:sz w:val="20"/>
                <w:szCs w:val="20"/>
              </w:rPr>
            </w:pPr>
            <w:r>
              <w:rPr>
                <w:rFonts w:ascii="Times New Roman" w:hAnsi="Times New Roman"/>
                <w:sz w:val="20"/>
                <w:szCs w:val="20"/>
              </w:rPr>
              <w:t>MTELP</w:t>
            </w:r>
          </w:p>
        </w:tc>
        <w:tc>
          <w:tcPr>
            <w:tcW w:w="1229" w:type="pct"/>
          </w:tcPr>
          <w:p w14:paraId="5B478FFB" w14:textId="3CE3C9FF" w:rsidR="002450BF" w:rsidRPr="008B1B5B" w:rsidRDefault="00824BA4" w:rsidP="00E55632">
            <w:pPr>
              <w:pStyle w:val="DecimalAligned"/>
              <w:spacing w:after="0" w:line="240" w:lineRule="auto"/>
              <w:rPr>
                <w:b/>
                <w:sz w:val="20"/>
                <w:szCs w:val="20"/>
              </w:rPr>
            </w:pPr>
            <w:r>
              <w:rPr>
                <w:sz w:val="20"/>
                <w:szCs w:val="20"/>
              </w:rPr>
              <w:t>TBA – please see Canvas for Agenda</w:t>
            </w:r>
          </w:p>
        </w:tc>
        <w:tc>
          <w:tcPr>
            <w:tcW w:w="944" w:type="pct"/>
          </w:tcPr>
          <w:p w14:paraId="182668BB" w14:textId="64F5EE2D" w:rsidR="000678A2" w:rsidRPr="008B1B5B" w:rsidRDefault="000678A2" w:rsidP="00AF259B">
            <w:pPr>
              <w:pStyle w:val="DecimalAligned"/>
              <w:spacing w:after="0" w:line="240" w:lineRule="auto"/>
              <w:rPr>
                <w:sz w:val="20"/>
                <w:szCs w:val="20"/>
              </w:rPr>
            </w:pPr>
          </w:p>
        </w:tc>
      </w:tr>
      <w:tr w:rsidR="00A13050" w14:paraId="04B77A0D" w14:textId="77777777" w:rsidTr="00800DE9">
        <w:trPr>
          <w:cantSplit/>
          <w:trHeight w:val="557"/>
        </w:trPr>
        <w:tc>
          <w:tcPr>
            <w:tcW w:w="544" w:type="pct"/>
            <w:noWrap/>
          </w:tcPr>
          <w:p w14:paraId="2D01C0B0" w14:textId="4286C4C8" w:rsidR="000678A2" w:rsidRPr="002F1279" w:rsidRDefault="007E7651" w:rsidP="00EE71A7">
            <w:pPr>
              <w:rPr>
                <w:color w:val="000000" w:themeColor="text1"/>
                <w:sz w:val="20"/>
                <w:szCs w:val="20"/>
              </w:rPr>
            </w:pPr>
            <w:r w:rsidRPr="002F1279">
              <w:rPr>
                <w:b/>
                <w:sz w:val="20"/>
                <w:szCs w:val="20"/>
              </w:rPr>
              <w:t>4</w:t>
            </w:r>
            <w:r w:rsidR="000678A2" w:rsidRPr="002F1279">
              <w:rPr>
                <w:b/>
                <w:sz w:val="20"/>
                <w:szCs w:val="20"/>
              </w:rPr>
              <w:t xml:space="preserve">: </w:t>
            </w:r>
            <w:r w:rsidR="007D5B7C" w:rsidRPr="002F1279">
              <w:rPr>
                <w:b/>
                <w:sz w:val="20"/>
                <w:szCs w:val="20"/>
              </w:rPr>
              <w:t>1/29</w:t>
            </w:r>
            <w:r w:rsidR="001E5B29">
              <w:rPr>
                <w:b/>
                <w:sz w:val="20"/>
                <w:szCs w:val="20"/>
              </w:rPr>
              <w:t>*</w:t>
            </w:r>
          </w:p>
        </w:tc>
        <w:tc>
          <w:tcPr>
            <w:tcW w:w="810" w:type="pct"/>
          </w:tcPr>
          <w:p w14:paraId="7FFB92A9" w14:textId="77777777" w:rsidR="000678A2" w:rsidRDefault="008B1B5B" w:rsidP="00E55632">
            <w:pPr>
              <w:pStyle w:val="DecimalAligned"/>
              <w:spacing w:line="240" w:lineRule="auto"/>
              <w:rPr>
                <w:rFonts w:ascii="Times New Roman" w:hAnsi="Times New Roman"/>
                <w:sz w:val="20"/>
                <w:szCs w:val="20"/>
              </w:rPr>
            </w:pPr>
            <w:r w:rsidRPr="002F1279">
              <w:rPr>
                <w:rFonts w:ascii="Times New Roman" w:hAnsi="Times New Roman"/>
                <w:sz w:val="20"/>
                <w:szCs w:val="20"/>
              </w:rPr>
              <w:t>Designing Classroom Language Tests</w:t>
            </w:r>
          </w:p>
          <w:p w14:paraId="3749E04D" w14:textId="49D7D37F" w:rsidR="007A22B1" w:rsidRPr="002F1279" w:rsidRDefault="007A22B1" w:rsidP="00E55632">
            <w:pPr>
              <w:pStyle w:val="DecimalAligned"/>
              <w:spacing w:line="240" w:lineRule="auto"/>
              <w:rPr>
                <w:rFonts w:ascii="Times New Roman" w:hAnsi="Times New Roman"/>
                <w:sz w:val="20"/>
                <w:szCs w:val="20"/>
              </w:rPr>
            </w:pPr>
            <w:r>
              <w:rPr>
                <w:rFonts w:ascii="Times New Roman" w:hAnsi="Times New Roman"/>
                <w:sz w:val="20"/>
                <w:szCs w:val="20"/>
              </w:rPr>
              <w:t>Content Area Assessment</w:t>
            </w:r>
          </w:p>
        </w:tc>
        <w:tc>
          <w:tcPr>
            <w:tcW w:w="1473" w:type="pct"/>
          </w:tcPr>
          <w:p w14:paraId="78438C9C" w14:textId="527637DA" w:rsidR="008B1B5B" w:rsidRDefault="008B1B5B" w:rsidP="008B1B5B">
            <w:pPr>
              <w:pStyle w:val="DecimalAligned"/>
              <w:spacing w:line="240" w:lineRule="auto"/>
              <w:contextualSpacing/>
              <w:rPr>
                <w:rFonts w:ascii="Times New Roman" w:hAnsi="Times New Roman"/>
                <w:sz w:val="20"/>
                <w:szCs w:val="20"/>
              </w:rPr>
            </w:pPr>
            <w:r w:rsidRPr="002F1279">
              <w:rPr>
                <w:rFonts w:ascii="Times New Roman" w:hAnsi="Times New Roman"/>
                <w:sz w:val="20"/>
                <w:szCs w:val="20"/>
              </w:rPr>
              <w:t xml:space="preserve">Chapter 3, Brown &amp; </w:t>
            </w:r>
            <w:proofErr w:type="spellStart"/>
            <w:r w:rsidRPr="002F1279">
              <w:rPr>
                <w:rFonts w:ascii="Times New Roman" w:hAnsi="Times New Roman"/>
                <w:sz w:val="20"/>
                <w:szCs w:val="20"/>
              </w:rPr>
              <w:t>Abeywickrama</w:t>
            </w:r>
            <w:proofErr w:type="spellEnd"/>
          </w:p>
          <w:p w14:paraId="2545F24C" w14:textId="0E3B5076" w:rsidR="002F1279" w:rsidRPr="008B1B5B" w:rsidRDefault="002F1279" w:rsidP="008B1B5B">
            <w:pPr>
              <w:pStyle w:val="DecimalAligned"/>
              <w:spacing w:line="240" w:lineRule="auto"/>
              <w:contextualSpacing/>
              <w:rPr>
                <w:rFonts w:ascii="Times New Roman" w:hAnsi="Times New Roman"/>
                <w:sz w:val="20"/>
                <w:szCs w:val="20"/>
              </w:rPr>
            </w:pPr>
            <w:r>
              <w:rPr>
                <w:sz w:val="20"/>
                <w:szCs w:val="20"/>
              </w:rPr>
              <w:t xml:space="preserve">Article </w:t>
            </w:r>
            <w:r w:rsidR="00824BA4">
              <w:rPr>
                <w:sz w:val="20"/>
                <w:szCs w:val="20"/>
              </w:rPr>
              <w:t>1</w:t>
            </w:r>
            <w:r>
              <w:rPr>
                <w:sz w:val="20"/>
                <w:szCs w:val="20"/>
              </w:rPr>
              <w:t xml:space="preserve"> &amp; </w:t>
            </w:r>
            <w:r w:rsidR="00824BA4">
              <w:rPr>
                <w:sz w:val="20"/>
                <w:szCs w:val="20"/>
              </w:rPr>
              <w:t>2</w:t>
            </w:r>
          </w:p>
        </w:tc>
        <w:tc>
          <w:tcPr>
            <w:tcW w:w="1229" w:type="pct"/>
          </w:tcPr>
          <w:p w14:paraId="2B02F786" w14:textId="6E5E5D10" w:rsidR="000678A2" w:rsidRPr="008B1B5B" w:rsidRDefault="00824BA4" w:rsidP="00E55632">
            <w:pPr>
              <w:pStyle w:val="DecimalAligned"/>
              <w:rPr>
                <w:sz w:val="20"/>
                <w:szCs w:val="20"/>
              </w:rPr>
            </w:pPr>
            <w:r>
              <w:rPr>
                <w:sz w:val="20"/>
                <w:szCs w:val="20"/>
              </w:rPr>
              <w:t>TBA – please see Canvas for Agenda</w:t>
            </w:r>
          </w:p>
        </w:tc>
        <w:tc>
          <w:tcPr>
            <w:tcW w:w="944" w:type="pct"/>
          </w:tcPr>
          <w:p w14:paraId="076D0F8D" w14:textId="2E4D50F6" w:rsidR="009A2699" w:rsidRPr="008B1B5B" w:rsidRDefault="009A2699" w:rsidP="00800DE9">
            <w:pPr>
              <w:pStyle w:val="DecimalAligned"/>
              <w:rPr>
                <w:sz w:val="20"/>
                <w:szCs w:val="20"/>
              </w:rPr>
            </w:pPr>
          </w:p>
        </w:tc>
      </w:tr>
      <w:tr w:rsidR="00A13050" w14:paraId="49702C1B" w14:textId="77777777" w:rsidTr="00800DE9">
        <w:trPr>
          <w:cantSplit/>
          <w:trHeight w:val="791"/>
        </w:trPr>
        <w:tc>
          <w:tcPr>
            <w:tcW w:w="544" w:type="pct"/>
            <w:noWrap/>
          </w:tcPr>
          <w:p w14:paraId="0EAB6319" w14:textId="238D9127" w:rsidR="000678A2" w:rsidRPr="002F1279" w:rsidRDefault="007E7651" w:rsidP="00FA6412">
            <w:pPr>
              <w:rPr>
                <w:color w:val="000000" w:themeColor="text1"/>
                <w:sz w:val="20"/>
                <w:szCs w:val="20"/>
              </w:rPr>
            </w:pPr>
            <w:r w:rsidRPr="002F1279">
              <w:rPr>
                <w:b/>
                <w:sz w:val="20"/>
                <w:szCs w:val="20"/>
              </w:rPr>
              <w:t>5</w:t>
            </w:r>
            <w:r w:rsidR="000678A2" w:rsidRPr="002F1279">
              <w:rPr>
                <w:b/>
                <w:sz w:val="20"/>
                <w:szCs w:val="20"/>
              </w:rPr>
              <w:t xml:space="preserve">: </w:t>
            </w:r>
            <w:r w:rsidR="00322F65" w:rsidRPr="002F1279">
              <w:rPr>
                <w:b/>
                <w:sz w:val="20"/>
                <w:szCs w:val="20"/>
              </w:rPr>
              <w:t>2/5</w:t>
            </w:r>
          </w:p>
        </w:tc>
        <w:tc>
          <w:tcPr>
            <w:tcW w:w="810" w:type="pct"/>
          </w:tcPr>
          <w:p w14:paraId="6005819C" w14:textId="5541C3D9" w:rsidR="000678A2" w:rsidRPr="002F1279" w:rsidRDefault="008B1B5B" w:rsidP="0072055E">
            <w:pPr>
              <w:pStyle w:val="DecimalAligned"/>
              <w:spacing w:line="240" w:lineRule="auto"/>
              <w:rPr>
                <w:rFonts w:ascii="Times New Roman" w:hAnsi="Times New Roman"/>
                <w:sz w:val="20"/>
                <w:szCs w:val="20"/>
              </w:rPr>
            </w:pPr>
            <w:r w:rsidRPr="002F1279">
              <w:rPr>
                <w:color w:val="000000" w:themeColor="text1"/>
                <w:sz w:val="20"/>
                <w:szCs w:val="20"/>
              </w:rPr>
              <w:t>Assessing Listening</w:t>
            </w:r>
          </w:p>
        </w:tc>
        <w:tc>
          <w:tcPr>
            <w:tcW w:w="1473" w:type="pct"/>
          </w:tcPr>
          <w:p w14:paraId="66FF20DD" w14:textId="77777777" w:rsidR="008B1B5B" w:rsidRDefault="008B1B5B" w:rsidP="008B1B5B">
            <w:pPr>
              <w:pStyle w:val="DecimalAligned"/>
              <w:contextualSpacing/>
              <w:rPr>
                <w:rFonts w:ascii="Times New Roman" w:hAnsi="Times New Roman"/>
                <w:sz w:val="20"/>
                <w:szCs w:val="20"/>
              </w:rPr>
            </w:pPr>
            <w:r w:rsidRPr="002F1279">
              <w:rPr>
                <w:rFonts w:ascii="Times New Roman" w:hAnsi="Times New Roman"/>
                <w:sz w:val="20"/>
                <w:szCs w:val="20"/>
              </w:rPr>
              <w:t xml:space="preserve">Chapter 7, Brown &amp; </w:t>
            </w:r>
            <w:proofErr w:type="spellStart"/>
            <w:r w:rsidRPr="002F1279">
              <w:rPr>
                <w:rFonts w:ascii="Times New Roman" w:hAnsi="Times New Roman"/>
                <w:sz w:val="20"/>
                <w:szCs w:val="20"/>
              </w:rPr>
              <w:t>Abeywickrama</w:t>
            </w:r>
            <w:proofErr w:type="spellEnd"/>
          </w:p>
          <w:p w14:paraId="634612E4" w14:textId="1A348832" w:rsidR="002F1279" w:rsidRPr="002F1279" w:rsidRDefault="002F1279" w:rsidP="002F1279">
            <w:pPr>
              <w:pStyle w:val="DecimalAligned"/>
              <w:spacing w:line="240" w:lineRule="auto"/>
              <w:contextualSpacing/>
              <w:rPr>
                <w:rFonts w:ascii="Times New Roman" w:hAnsi="Times New Roman"/>
                <w:sz w:val="20"/>
                <w:szCs w:val="20"/>
              </w:rPr>
            </w:pPr>
            <w:r>
              <w:rPr>
                <w:rFonts w:ascii="Times New Roman" w:hAnsi="Times New Roman"/>
                <w:sz w:val="20"/>
                <w:szCs w:val="20"/>
              </w:rPr>
              <w:t xml:space="preserve">Article </w:t>
            </w:r>
            <w:r w:rsidR="00824BA4">
              <w:rPr>
                <w:rFonts w:ascii="Times New Roman" w:hAnsi="Times New Roman"/>
                <w:sz w:val="20"/>
                <w:szCs w:val="20"/>
              </w:rPr>
              <w:t>3 &amp; 4</w:t>
            </w:r>
          </w:p>
        </w:tc>
        <w:tc>
          <w:tcPr>
            <w:tcW w:w="1229" w:type="pct"/>
          </w:tcPr>
          <w:p w14:paraId="664764F7" w14:textId="77777777" w:rsidR="002450BF" w:rsidRDefault="00824BA4" w:rsidP="00E55632">
            <w:pPr>
              <w:pStyle w:val="DecimalAligned"/>
              <w:spacing w:after="0" w:line="240" w:lineRule="auto"/>
              <w:rPr>
                <w:sz w:val="20"/>
                <w:szCs w:val="20"/>
              </w:rPr>
            </w:pPr>
            <w:r>
              <w:rPr>
                <w:sz w:val="20"/>
                <w:szCs w:val="20"/>
              </w:rPr>
              <w:t>TBA – please see Canvas for Agenda</w:t>
            </w:r>
          </w:p>
          <w:p w14:paraId="228D95AA" w14:textId="77777777" w:rsidR="00516B80" w:rsidRDefault="00516B80" w:rsidP="00E5563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1</w:t>
            </w:r>
          </w:p>
          <w:p w14:paraId="702BD178" w14:textId="77777777" w:rsidR="00516B80" w:rsidRDefault="00516B80" w:rsidP="00E5563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2</w:t>
            </w:r>
          </w:p>
          <w:p w14:paraId="186AA15F" w14:textId="60253D77" w:rsidR="00516B80" w:rsidRPr="008B1B5B" w:rsidRDefault="00516B80" w:rsidP="00E5563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3</w:t>
            </w:r>
          </w:p>
        </w:tc>
        <w:tc>
          <w:tcPr>
            <w:tcW w:w="944" w:type="pct"/>
          </w:tcPr>
          <w:p w14:paraId="126E78CB" w14:textId="52C36436" w:rsidR="00E55632" w:rsidRPr="008B1B5B" w:rsidRDefault="00E55632" w:rsidP="002450BF">
            <w:pPr>
              <w:pStyle w:val="DecimalAligned"/>
              <w:spacing w:after="0" w:line="240" w:lineRule="auto"/>
              <w:rPr>
                <w:color w:val="000000" w:themeColor="text1"/>
                <w:sz w:val="20"/>
                <w:szCs w:val="20"/>
              </w:rPr>
            </w:pPr>
          </w:p>
        </w:tc>
      </w:tr>
      <w:tr w:rsidR="00A13050" w14:paraId="32DCFCEA" w14:textId="77777777" w:rsidTr="00800DE9">
        <w:trPr>
          <w:cantSplit/>
          <w:trHeight w:val="791"/>
        </w:trPr>
        <w:tc>
          <w:tcPr>
            <w:tcW w:w="544" w:type="pct"/>
            <w:noWrap/>
          </w:tcPr>
          <w:p w14:paraId="703B5604" w14:textId="7B3A7DC2" w:rsidR="000678A2" w:rsidRPr="002F1279" w:rsidRDefault="007E7651" w:rsidP="00FA6412">
            <w:pPr>
              <w:rPr>
                <w:b/>
                <w:sz w:val="20"/>
                <w:szCs w:val="20"/>
              </w:rPr>
            </w:pPr>
            <w:r w:rsidRPr="002F1279">
              <w:rPr>
                <w:b/>
                <w:sz w:val="20"/>
                <w:szCs w:val="20"/>
              </w:rPr>
              <w:t>6</w:t>
            </w:r>
            <w:r w:rsidR="000678A2" w:rsidRPr="002F1279">
              <w:rPr>
                <w:b/>
                <w:sz w:val="20"/>
                <w:szCs w:val="20"/>
              </w:rPr>
              <w:t xml:space="preserve">: </w:t>
            </w:r>
            <w:r w:rsidR="007D5B7C" w:rsidRPr="002F1279">
              <w:rPr>
                <w:b/>
                <w:sz w:val="20"/>
                <w:szCs w:val="20"/>
              </w:rPr>
              <w:t>2/</w:t>
            </w:r>
            <w:r w:rsidR="00322F65" w:rsidRPr="002F1279">
              <w:rPr>
                <w:b/>
                <w:sz w:val="20"/>
                <w:szCs w:val="20"/>
              </w:rPr>
              <w:t>12</w:t>
            </w:r>
          </w:p>
        </w:tc>
        <w:tc>
          <w:tcPr>
            <w:tcW w:w="810" w:type="pct"/>
          </w:tcPr>
          <w:p w14:paraId="2F5FC06E" w14:textId="6D7A975F" w:rsidR="000678A2" w:rsidRPr="002F1279" w:rsidRDefault="000678A2" w:rsidP="00223B25">
            <w:pPr>
              <w:pStyle w:val="DecimalAligned"/>
              <w:spacing w:line="240" w:lineRule="auto"/>
              <w:rPr>
                <w:rFonts w:ascii="Times New Roman" w:hAnsi="Times New Roman"/>
                <w:sz w:val="20"/>
                <w:szCs w:val="20"/>
              </w:rPr>
            </w:pPr>
          </w:p>
        </w:tc>
        <w:tc>
          <w:tcPr>
            <w:tcW w:w="1473" w:type="pct"/>
          </w:tcPr>
          <w:p w14:paraId="076601DF" w14:textId="4E07EABA" w:rsidR="002F1279" w:rsidRPr="002F1279" w:rsidRDefault="002F1279" w:rsidP="00E55632">
            <w:pPr>
              <w:pStyle w:val="DecimalAligned"/>
              <w:spacing w:line="240" w:lineRule="auto"/>
              <w:contextualSpacing/>
              <w:rPr>
                <w:rFonts w:ascii="Times New Roman" w:hAnsi="Times New Roman"/>
                <w:sz w:val="20"/>
                <w:szCs w:val="20"/>
              </w:rPr>
            </w:pPr>
            <w:r>
              <w:rPr>
                <w:rFonts w:ascii="Times New Roman" w:hAnsi="Times New Roman"/>
                <w:sz w:val="20"/>
                <w:szCs w:val="20"/>
              </w:rPr>
              <w:t xml:space="preserve">Article </w:t>
            </w:r>
            <w:r w:rsidR="00824BA4">
              <w:rPr>
                <w:rFonts w:ascii="Times New Roman" w:hAnsi="Times New Roman"/>
                <w:sz w:val="20"/>
                <w:szCs w:val="20"/>
              </w:rPr>
              <w:t>5 &amp; 6</w:t>
            </w:r>
          </w:p>
        </w:tc>
        <w:tc>
          <w:tcPr>
            <w:tcW w:w="1229" w:type="pct"/>
          </w:tcPr>
          <w:p w14:paraId="0149DE28" w14:textId="77777777" w:rsidR="000678A2" w:rsidRDefault="00824BA4" w:rsidP="00E55632">
            <w:pPr>
              <w:pStyle w:val="DecimalAligned"/>
              <w:spacing w:after="0" w:line="240" w:lineRule="auto"/>
              <w:rPr>
                <w:sz w:val="20"/>
                <w:szCs w:val="20"/>
              </w:rPr>
            </w:pPr>
            <w:r>
              <w:rPr>
                <w:sz w:val="20"/>
                <w:szCs w:val="20"/>
              </w:rPr>
              <w:t>TBA – please see Canvas for Agenda</w:t>
            </w:r>
          </w:p>
          <w:p w14:paraId="2B923537" w14:textId="77777777" w:rsidR="00516B80" w:rsidRDefault="00516B80" w:rsidP="00E5563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4</w:t>
            </w:r>
          </w:p>
          <w:p w14:paraId="556EDBAD" w14:textId="77777777" w:rsidR="00516B80" w:rsidRDefault="00516B80" w:rsidP="00E5563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5</w:t>
            </w:r>
          </w:p>
          <w:p w14:paraId="76EE38DF" w14:textId="4CB4563B" w:rsidR="00516B80" w:rsidRPr="008B1B5B" w:rsidRDefault="00516B80" w:rsidP="00E5563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6</w:t>
            </w:r>
          </w:p>
        </w:tc>
        <w:tc>
          <w:tcPr>
            <w:tcW w:w="944" w:type="pct"/>
          </w:tcPr>
          <w:p w14:paraId="6F628D8B" w14:textId="31096779" w:rsidR="00680B4C" w:rsidRPr="008B1B5B" w:rsidRDefault="004274FC" w:rsidP="00EE71A7">
            <w:pPr>
              <w:pStyle w:val="DecimalAligned"/>
              <w:spacing w:after="0" w:line="240" w:lineRule="auto"/>
              <w:rPr>
                <w:sz w:val="20"/>
                <w:szCs w:val="20"/>
              </w:rPr>
            </w:pPr>
            <w:r w:rsidRPr="008B1B5B">
              <w:rPr>
                <w:sz w:val="20"/>
                <w:szCs w:val="20"/>
              </w:rPr>
              <w:t>Classroom content area assessment due</w:t>
            </w:r>
          </w:p>
        </w:tc>
      </w:tr>
      <w:tr w:rsidR="00A13050" w:rsidRPr="00F8796E" w14:paraId="6939B397" w14:textId="77777777" w:rsidTr="00800DE9">
        <w:trPr>
          <w:cantSplit/>
          <w:trHeight w:val="872"/>
        </w:trPr>
        <w:tc>
          <w:tcPr>
            <w:tcW w:w="544" w:type="pct"/>
            <w:noWrap/>
          </w:tcPr>
          <w:p w14:paraId="40780880" w14:textId="3BF090F6" w:rsidR="000678A2" w:rsidRPr="002F1279" w:rsidRDefault="007E7651" w:rsidP="00EE71A7">
            <w:pPr>
              <w:rPr>
                <w:color w:val="000000" w:themeColor="text1"/>
                <w:sz w:val="20"/>
                <w:szCs w:val="20"/>
              </w:rPr>
            </w:pPr>
            <w:r w:rsidRPr="002F1279">
              <w:rPr>
                <w:b/>
                <w:sz w:val="20"/>
                <w:szCs w:val="20"/>
              </w:rPr>
              <w:t>7</w:t>
            </w:r>
            <w:r w:rsidR="000678A2" w:rsidRPr="002F1279">
              <w:rPr>
                <w:b/>
                <w:sz w:val="20"/>
                <w:szCs w:val="20"/>
              </w:rPr>
              <w:t xml:space="preserve">:  </w:t>
            </w:r>
            <w:r w:rsidR="007D5B7C" w:rsidRPr="002F1279">
              <w:rPr>
                <w:b/>
                <w:sz w:val="20"/>
                <w:szCs w:val="20"/>
              </w:rPr>
              <w:t>2/</w:t>
            </w:r>
            <w:r w:rsidR="00322F65" w:rsidRPr="002F1279">
              <w:rPr>
                <w:b/>
                <w:sz w:val="20"/>
                <w:szCs w:val="20"/>
              </w:rPr>
              <w:t>19</w:t>
            </w:r>
          </w:p>
        </w:tc>
        <w:tc>
          <w:tcPr>
            <w:tcW w:w="810" w:type="pct"/>
          </w:tcPr>
          <w:p w14:paraId="57EAF38F" w14:textId="130E1758" w:rsidR="000678A2" w:rsidRPr="002F1279" w:rsidRDefault="008B1B5B" w:rsidP="000336F1">
            <w:pPr>
              <w:pStyle w:val="DecimalAligned"/>
              <w:rPr>
                <w:color w:val="000000" w:themeColor="text1"/>
                <w:sz w:val="20"/>
                <w:szCs w:val="20"/>
              </w:rPr>
            </w:pPr>
            <w:r>
              <w:rPr>
                <w:color w:val="000000" w:themeColor="text1"/>
                <w:sz w:val="20"/>
                <w:szCs w:val="20"/>
              </w:rPr>
              <w:t>Assessing Speaking</w:t>
            </w:r>
          </w:p>
        </w:tc>
        <w:tc>
          <w:tcPr>
            <w:tcW w:w="1473" w:type="pct"/>
          </w:tcPr>
          <w:p w14:paraId="4CB47281" w14:textId="77777777" w:rsidR="008B1B5B" w:rsidRDefault="008B1B5B" w:rsidP="008B1B5B">
            <w:pPr>
              <w:pStyle w:val="DecimalAligned"/>
              <w:spacing w:line="240" w:lineRule="auto"/>
              <w:contextualSpacing/>
              <w:rPr>
                <w:rFonts w:ascii="Times New Roman" w:hAnsi="Times New Roman"/>
                <w:sz w:val="20"/>
                <w:szCs w:val="20"/>
              </w:rPr>
            </w:pPr>
            <w:r w:rsidRPr="002F1279">
              <w:rPr>
                <w:rFonts w:ascii="Times New Roman" w:hAnsi="Times New Roman"/>
                <w:sz w:val="20"/>
                <w:szCs w:val="20"/>
              </w:rPr>
              <w:t xml:space="preserve">Chapter 8, Brown &amp; </w:t>
            </w:r>
            <w:proofErr w:type="spellStart"/>
            <w:r w:rsidRPr="002F1279">
              <w:rPr>
                <w:rFonts w:ascii="Times New Roman" w:hAnsi="Times New Roman"/>
                <w:sz w:val="20"/>
                <w:szCs w:val="20"/>
              </w:rPr>
              <w:t>Abeywickrama</w:t>
            </w:r>
            <w:proofErr w:type="spellEnd"/>
          </w:p>
          <w:p w14:paraId="5F4C8BBF" w14:textId="582D5C50" w:rsidR="002F1279" w:rsidRPr="008B1B5B" w:rsidRDefault="002F1279" w:rsidP="008B1B5B">
            <w:pPr>
              <w:pStyle w:val="DecimalAligned"/>
              <w:spacing w:line="240" w:lineRule="auto"/>
              <w:contextualSpacing/>
              <w:rPr>
                <w:rFonts w:ascii="Times New Roman" w:hAnsi="Times New Roman"/>
                <w:sz w:val="20"/>
                <w:szCs w:val="20"/>
              </w:rPr>
            </w:pPr>
            <w:r>
              <w:rPr>
                <w:sz w:val="20"/>
                <w:szCs w:val="20"/>
              </w:rPr>
              <w:t xml:space="preserve">Article </w:t>
            </w:r>
            <w:r w:rsidR="00824BA4">
              <w:rPr>
                <w:sz w:val="20"/>
                <w:szCs w:val="20"/>
              </w:rPr>
              <w:t>7 &amp; 8</w:t>
            </w:r>
          </w:p>
          <w:p w14:paraId="6B8EA5B7" w14:textId="3FEDDBBF" w:rsidR="004274FC" w:rsidRPr="002F1279" w:rsidRDefault="004274FC" w:rsidP="00E55632">
            <w:pPr>
              <w:rPr>
                <w:sz w:val="20"/>
                <w:szCs w:val="20"/>
              </w:rPr>
            </w:pPr>
          </w:p>
        </w:tc>
        <w:tc>
          <w:tcPr>
            <w:tcW w:w="1229" w:type="pct"/>
          </w:tcPr>
          <w:p w14:paraId="3284D465" w14:textId="77777777" w:rsidR="002450BF" w:rsidRDefault="00824BA4" w:rsidP="00E55632">
            <w:pPr>
              <w:pStyle w:val="DecimalAligned"/>
              <w:spacing w:after="0"/>
              <w:rPr>
                <w:sz w:val="20"/>
                <w:szCs w:val="20"/>
              </w:rPr>
            </w:pPr>
            <w:r>
              <w:rPr>
                <w:sz w:val="20"/>
                <w:szCs w:val="20"/>
              </w:rPr>
              <w:t>TBA – please see Canvas for Agenda</w:t>
            </w:r>
          </w:p>
          <w:p w14:paraId="000BE92C" w14:textId="77777777" w:rsidR="00516B80" w:rsidRDefault="00516B80" w:rsidP="00E55632">
            <w:pPr>
              <w:pStyle w:val="DecimalAligned"/>
              <w:spacing w:after="0"/>
              <w:rPr>
                <w:sz w:val="20"/>
                <w:szCs w:val="20"/>
              </w:rPr>
            </w:pPr>
            <w:proofErr w:type="spellStart"/>
            <w:r>
              <w:rPr>
                <w:sz w:val="20"/>
                <w:szCs w:val="20"/>
              </w:rPr>
              <w:t>Auth</w:t>
            </w:r>
            <w:proofErr w:type="spellEnd"/>
            <w:r>
              <w:rPr>
                <w:sz w:val="20"/>
                <w:szCs w:val="20"/>
              </w:rPr>
              <w:t xml:space="preserve"> assessment demo 7</w:t>
            </w:r>
          </w:p>
          <w:p w14:paraId="198ED251" w14:textId="77777777" w:rsidR="00516B80" w:rsidRDefault="00516B80" w:rsidP="00E55632">
            <w:pPr>
              <w:pStyle w:val="DecimalAligned"/>
              <w:spacing w:after="0"/>
              <w:rPr>
                <w:sz w:val="20"/>
                <w:szCs w:val="20"/>
              </w:rPr>
            </w:pPr>
            <w:proofErr w:type="spellStart"/>
            <w:r>
              <w:rPr>
                <w:sz w:val="20"/>
                <w:szCs w:val="20"/>
              </w:rPr>
              <w:t>Auth</w:t>
            </w:r>
            <w:proofErr w:type="spellEnd"/>
            <w:r>
              <w:rPr>
                <w:sz w:val="20"/>
                <w:szCs w:val="20"/>
              </w:rPr>
              <w:t xml:space="preserve"> assessment demo 8</w:t>
            </w:r>
          </w:p>
          <w:p w14:paraId="6791E296" w14:textId="301C3178" w:rsidR="00516B80" w:rsidRPr="008B1B5B" w:rsidRDefault="00516B80" w:rsidP="00E55632">
            <w:pPr>
              <w:pStyle w:val="DecimalAligned"/>
              <w:spacing w:after="0"/>
              <w:rPr>
                <w:sz w:val="20"/>
                <w:szCs w:val="20"/>
              </w:rPr>
            </w:pPr>
            <w:proofErr w:type="spellStart"/>
            <w:r>
              <w:rPr>
                <w:sz w:val="20"/>
                <w:szCs w:val="20"/>
              </w:rPr>
              <w:t>Auth</w:t>
            </w:r>
            <w:proofErr w:type="spellEnd"/>
            <w:r>
              <w:rPr>
                <w:sz w:val="20"/>
                <w:szCs w:val="20"/>
              </w:rPr>
              <w:t xml:space="preserve"> assessment demo 9 </w:t>
            </w:r>
          </w:p>
        </w:tc>
        <w:tc>
          <w:tcPr>
            <w:tcW w:w="944" w:type="pct"/>
          </w:tcPr>
          <w:p w14:paraId="5A78457B" w14:textId="0178E73C" w:rsidR="000678A2" w:rsidRPr="008B1B5B" w:rsidRDefault="00516B80" w:rsidP="00AF259B">
            <w:pPr>
              <w:pStyle w:val="DecimalAligned"/>
              <w:spacing w:after="0"/>
              <w:rPr>
                <w:sz w:val="20"/>
                <w:szCs w:val="20"/>
              </w:rPr>
            </w:pPr>
            <w:r>
              <w:rPr>
                <w:sz w:val="20"/>
                <w:szCs w:val="20"/>
              </w:rPr>
              <w:t xml:space="preserve">Article synthesis </w:t>
            </w:r>
            <w:r w:rsidR="007A22B1">
              <w:rPr>
                <w:sz w:val="20"/>
                <w:szCs w:val="20"/>
              </w:rPr>
              <w:t>1</w:t>
            </w:r>
          </w:p>
        </w:tc>
      </w:tr>
      <w:tr w:rsidR="00A13050" w:rsidRPr="00F8796E" w14:paraId="21011731" w14:textId="77777777" w:rsidTr="00800DE9">
        <w:trPr>
          <w:cantSplit/>
          <w:trHeight w:val="557"/>
        </w:trPr>
        <w:tc>
          <w:tcPr>
            <w:tcW w:w="544" w:type="pct"/>
            <w:noWrap/>
          </w:tcPr>
          <w:p w14:paraId="4AF4F2F1" w14:textId="45C3BC17" w:rsidR="000678A2" w:rsidRPr="002F1279" w:rsidRDefault="007E7651" w:rsidP="00D65D98">
            <w:pPr>
              <w:rPr>
                <w:color w:val="000000" w:themeColor="text1"/>
                <w:sz w:val="20"/>
                <w:szCs w:val="20"/>
              </w:rPr>
            </w:pPr>
            <w:r w:rsidRPr="002F1279">
              <w:rPr>
                <w:b/>
                <w:sz w:val="20"/>
                <w:szCs w:val="20"/>
              </w:rPr>
              <w:t>8</w:t>
            </w:r>
            <w:r w:rsidR="000678A2" w:rsidRPr="002F1279">
              <w:rPr>
                <w:b/>
                <w:sz w:val="20"/>
                <w:szCs w:val="20"/>
              </w:rPr>
              <w:t xml:space="preserve">: </w:t>
            </w:r>
            <w:r w:rsidR="00322F65" w:rsidRPr="002F1279">
              <w:rPr>
                <w:b/>
                <w:sz w:val="20"/>
                <w:szCs w:val="20"/>
              </w:rPr>
              <w:t>2/26</w:t>
            </w:r>
          </w:p>
          <w:p w14:paraId="4682C93C" w14:textId="3FE57A80" w:rsidR="000678A2" w:rsidRPr="002F1279" w:rsidRDefault="000678A2" w:rsidP="00D65D98">
            <w:pPr>
              <w:rPr>
                <w:color w:val="000000" w:themeColor="text1"/>
                <w:sz w:val="20"/>
                <w:szCs w:val="20"/>
              </w:rPr>
            </w:pPr>
          </w:p>
        </w:tc>
        <w:tc>
          <w:tcPr>
            <w:tcW w:w="810" w:type="pct"/>
          </w:tcPr>
          <w:p w14:paraId="226EEC73" w14:textId="21B26E64" w:rsidR="000678A2" w:rsidRPr="002F1279" w:rsidRDefault="000678A2" w:rsidP="00DB61E1">
            <w:pPr>
              <w:pStyle w:val="DecimalAligned"/>
              <w:spacing w:line="240" w:lineRule="auto"/>
              <w:rPr>
                <w:color w:val="000000" w:themeColor="text1"/>
                <w:sz w:val="20"/>
                <w:szCs w:val="20"/>
              </w:rPr>
            </w:pPr>
          </w:p>
        </w:tc>
        <w:tc>
          <w:tcPr>
            <w:tcW w:w="1473" w:type="pct"/>
          </w:tcPr>
          <w:p w14:paraId="2AAA25D4" w14:textId="1F2D8DC3" w:rsidR="008B1B5B" w:rsidRDefault="008B1B5B" w:rsidP="004274FC">
            <w:pPr>
              <w:pStyle w:val="DecimalAligned"/>
              <w:contextualSpacing/>
              <w:rPr>
                <w:color w:val="000000" w:themeColor="text1"/>
                <w:sz w:val="20"/>
                <w:szCs w:val="20"/>
              </w:rPr>
            </w:pPr>
            <w:r>
              <w:rPr>
                <w:color w:val="000000" w:themeColor="text1"/>
                <w:sz w:val="20"/>
                <w:szCs w:val="20"/>
              </w:rPr>
              <w:t xml:space="preserve">Article </w:t>
            </w:r>
            <w:r w:rsidR="00824BA4">
              <w:rPr>
                <w:color w:val="000000" w:themeColor="text1"/>
                <w:sz w:val="20"/>
                <w:szCs w:val="20"/>
              </w:rPr>
              <w:t>9 &amp; 10</w:t>
            </w:r>
          </w:p>
          <w:p w14:paraId="6BDCDF14" w14:textId="724698CB" w:rsidR="002F1279" w:rsidRPr="002F1279" w:rsidRDefault="002F1279" w:rsidP="004274FC">
            <w:pPr>
              <w:pStyle w:val="DecimalAligned"/>
              <w:contextualSpacing/>
              <w:rPr>
                <w:color w:val="000000" w:themeColor="text1"/>
                <w:sz w:val="20"/>
                <w:szCs w:val="20"/>
              </w:rPr>
            </w:pPr>
          </w:p>
        </w:tc>
        <w:tc>
          <w:tcPr>
            <w:tcW w:w="1229" w:type="pct"/>
          </w:tcPr>
          <w:p w14:paraId="2B3910C9" w14:textId="77777777" w:rsidR="000678A2" w:rsidRDefault="00824BA4" w:rsidP="00DB61E1">
            <w:pPr>
              <w:rPr>
                <w:sz w:val="20"/>
                <w:szCs w:val="20"/>
              </w:rPr>
            </w:pPr>
            <w:r>
              <w:rPr>
                <w:sz w:val="20"/>
                <w:szCs w:val="20"/>
              </w:rPr>
              <w:t>TBA – please see Canvas for Agenda</w:t>
            </w:r>
          </w:p>
          <w:p w14:paraId="215A1C9F" w14:textId="77777777" w:rsidR="00516B80" w:rsidRDefault="00516B80" w:rsidP="00DB61E1">
            <w:pPr>
              <w:rPr>
                <w:sz w:val="20"/>
                <w:szCs w:val="20"/>
              </w:rPr>
            </w:pPr>
            <w:proofErr w:type="spellStart"/>
            <w:r>
              <w:rPr>
                <w:sz w:val="20"/>
                <w:szCs w:val="20"/>
              </w:rPr>
              <w:t>Auth</w:t>
            </w:r>
            <w:proofErr w:type="spellEnd"/>
            <w:r>
              <w:rPr>
                <w:sz w:val="20"/>
                <w:szCs w:val="20"/>
              </w:rPr>
              <w:t xml:space="preserve"> assessment demo 10</w:t>
            </w:r>
          </w:p>
          <w:p w14:paraId="00DCE4C7" w14:textId="77777777" w:rsidR="00516B80" w:rsidRDefault="00516B80" w:rsidP="00DB61E1">
            <w:pPr>
              <w:rPr>
                <w:sz w:val="20"/>
                <w:szCs w:val="20"/>
              </w:rPr>
            </w:pPr>
            <w:proofErr w:type="spellStart"/>
            <w:r>
              <w:rPr>
                <w:sz w:val="20"/>
                <w:szCs w:val="20"/>
              </w:rPr>
              <w:t>Auth</w:t>
            </w:r>
            <w:proofErr w:type="spellEnd"/>
            <w:r>
              <w:rPr>
                <w:sz w:val="20"/>
                <w:szCs w:val="20"/>
              </w:rPr>
              <w:t xml:space="preserve"> assessment demo 11</w:t>
            </w:r>
          </w:p>
          <w:p w14:paraId="5D01740D" w14:textId="7BDECEA9" w:rsidR="00516B80" w:rsidRPr="008B1B5B" w:rsidRDefault="00516B80" w:rsidP="00DB61E1">
            <w:pPr>
              <w:rPr>
                <w:sz w:val="20"/>
                <w:szCs w:val="20"/>
              </w:rPr>
            </w:pPr>
            <w:proofErr w:type="spellStart"/>
            <w:r>
              <w:rPr>
                <w:sz w:val="20"/>
                <w:szCs w:val="20"/>
              </w:rPr>
              <w:t>Auth</w:t>
            </w:r>
            <w:proofErr w:type="spellEnd"/>
            <w:r>
              <w:rPr>
                <w:sz w:val="20"/>
                <w:szCs w:val="20"/>
              </w:rPr>
              <w:t xml:space="preserve"> assessment demo 12</w:t>
            </w:r>
          </w:p>
        </w:tc>
        <w:tc>
          <w:tcPr>
            <w:tcW w:w="944" w:type="pct"/>
          </w:tcPr>
          <w:p w14:paraId="1366FA01" w14:textId="5C33A20F" w:rsidR="00CC43CF" w:rsidRPr="008B1B5B" w:rsidRDefault="00CC43CF" w:rsidP="00EE71A7">
            <w:pPr>
              <w:rPr>
                <w:b/>
                <w:sz w:val="20"/>
                <w:szCs w:val="20"/>
              </w:rPr>
            </w:pPr>
          </w:p>
        </w:tc>
      </w:tr>
      <w:tr w:rsidR="00322F65" w:rsidRPr="00F8796E" w14:paraId="1DC6EE08" w14:textId="77777777" w:rsidTr="00800DE9">
        <w:trPr>
          <w:cantSplit/>
          <w:trHeight w:val="557"/>
        </w:trPr>
        <w:tc>
          <w:tcPr>
            <w:tcW w:w="544" w:type="pct"/>
            <w:noWrap/>
          </w:tcPr>
          <w:p w14:paraId="776EFEF9" w14:textId="1EA37A7A" w:rsidR="00322F65" w:rsidRPr="002F1279" w:rsidRDefault="00322F65" w:rsidP="00D65D98">
            <w:pPr>
              <w:rPr>
                <w:b/>
                <w:sz w:val="20"/>
                <w:szCs w:val="20"/>
              </w:rPr>
            </w:pPr>
            <w:r w:rsidRPr="002F1279">
              <w:rPr>
                <w:b/>
                <w:sz w:val="20"/>
                <w:szCs w:val="20"/>
              </w:rPr>
              <w:lastRenderedPageBreak/>
              <w:t>9:  3/5</w:t>
            </w:r>
          </w:p>
        </w:tc>
        <w:tc>
          <w:tcPr>
            <w:tcW w:w="810" w:type="pct"/>
          </w:tcPr>
          <w:p w14:paraId="78389130" w14:textId="3A34B7A9" w:rsidR="004274FC" w:rsidRPr="002F1279" w:rsidRDefault="008B1B5B" w:rsidP="00DB61E1">
            <w:pPr>
              <w:pStyle w:val="DecimalAligned"/>
              <w:spacing w:line="240" w:lineRule="auto"/>
              <w:rPr>
                <w:color w:val="000000" w:themeColor="text1"/>
                <w:sz w:val="20"/>
                <w:szCs w:val="20"/>
              </w:rPr>
            </w:pPr>
            <w:r>
              <w:rPr>
                <w:color w:val="000000" w:themeColor="text1"/>
                <w:sz w:val="20"/>
                <w:szCs w:val="20"/>
              </w:rPr>
              <w:t>Assessing Reading</w:t>
            </w:r>
          </w:p>
        </w:tc>
        <w:tc>
          <w:tcPr>
            <w:tcW w:w="1473" w:type="pct"/>
          </w:tcPr>
          <w:p w14:paraId="5392E8E8" w14:textId="77777777" w:rsidR="008B1B5B" w:rsidRDefault="008B1B5B" w:rsidP="008B1B5B">
            <w:pPr>
              <w:pStyle w:val="DecimalAligned"/>
              <w:contextualSpacing/>
              <w:rPr>
                <w:rFonts w:ascii="Times New Roman" w:hAnsi="Times New Roman"/>
                <w:sz w:val="20"/>
                <w:szCs w:val="20"/>
              </w:rPr>
            </w:pPr>
            <w:r w:rsidRPr="002F1279">
              <w:rPr>
                <w:rFonts w:ascii="Times New Roman" w:hAnsi="Times New Roman"/>
                <w:sz w:val="20"/>
                <w:szCs w:val="20"/>
              </w:rPr>
              <w:t xml:space="preserve">Chapter 9, Brown &amp; </w:t>
            </w:r>
            <w:proofErr w:type="spellStart"/>
            <w:r w:rsidRPr="002F1279">
              <w:rPr>
                <w:rFonts w:ascii="Times New Roman" w:hAnsi="Times New Roman"/>
                <w:sz w:val="20"/>
                <w:szCs w:val="20"/>
              </w:rPr>
              <w:t>Abeywickrama</w:t>
            </w:r>
            <w:proofErr w:type="spellEnd"/>
          </w:p>
          <w:p w14:paraId="74725A66" w14:textId="5F6D5F78" w:rsidR="008B1B5B" w:rsidRDefault="008B1B5B" w:rsidP="004274FC">
            <w:pPr>
              <w:pStyle w:val="DecimalAligned"/>
              <w:contextualSpacing/>
              <w:rPr>
                <w:color w:val="000000" w:themeColor="text1"/>
                <w:sz w:val="20"/>
                <w:szCs w:val="20"/>
              </w:rPr>
            </w:pPr>
            <w:r>
              <w:rPr>
                <w:color w:val="000000" w:themeColor="text1"/>
                <w:sz w:val="20"/>
                <w:szCs w:val="20"/>
              </w:rPr>
              <w:t xml:space="preserve">Article </w:t>
            </w:r>
            <w:r w:rsidR="00824BA4">
              <w:rPr>
                <w:color w:val="000000" w:themeColor="text1"/>
                <w:sz w:val="20"/>
                <w:szCs w:val="20"/>
              </w:rPr>
              <w:t>11 &amp; 12</w:t>
            </w:r>
          </w:p>
          <w:p w14:paraId="2D26CCA9" w14:textId="3C2C59FF" w:rsidR="002F1279" w:rsidRPr="002F1279" w:rsidRDefault="002F1279" w:rsidP="004274FC">
            <w:pPr>
              <w:pStyle w:val="DecimalAligned"/>
              <w:contextualSpacing/>
              <w:rPr>
                <w:color w:val="000000" w:themeColor="text1"/>
                <w:sz w:val="20"/>
                <w:szCs w:val="20"/>
              </w:rPr>
            </w:pPr>
          </w:p>
        </w:tc>
        <w:tc>
          <w:tcPr>
            <w:tcW w:w="1229" w:type="pct"/>
          </w:tcPr>
          <w:p w14:paraId="19CDDB37" w14:textId="77777777" w:rsidR="00322F65" w:rsidRDefault="00824BA4" w:rsidP="00DB61E1">
            <w:pPr>
              <w:rPr>
                <w:sz w:val="20"/>
                <w:szCs w:val="20"/>
              </w:rPr>
            </w:pPr>
            <w:r>
              <w:rPr>
                <w:sz w:val="20"/>
                <w:szCs w:val="20"/>
              </w:rPr>
              <w:t>TBA – please see Canvas for Agenda</w:t>
            </w:r>
          </w:p>
          <w:p w14:paraId="4B5E3FD1" w14:textId="77777777" w:rsidR="00516B80" w:rsidRDefault="00516B80" w:rsidP="00DB61E1">
            <w:pPr>
              <w:rPr>
                <w:sz w:val="20"/>
                <w:szCs w:val="20"/>
              </w:rPr>
            </w:pPr>
            <w:proofErr w:type="spellStart"/>
            <w:r>
              <w:rPr>
                <w:sz w:val="20"/>
                <w:szCs w:val="20"/>
              </w:rPr>
              <w:t>Auth</w:t>
            </w:r>
            <w:proofErr w:type="spellEnd"/>
            <w:r>
              <w:rPr>
                <w:sz w:val="20"/>
                <w:szCs w:val="20"/>
              </w:rPr>
              <w:t xml:space="preserve"> assessment demo 13</w:t>
            </w:r>
          </w:p>
          <w:p w14:paraId="2DBC3AAB" w14:textId="77777777" w:rsidR="00516B80" w:rsidRDefault="00516B80" w:rsidP="00DB61E1">
            <w:pPr>
              <w:rPr>
                <w:sz w:val="20"/>
                <w:szCs w:val="20"/>
              </w:rPr>
            </w:pPr>
            <w:proofErr w:type="spellStart"/>
            <w:r>
              <w:rPr>
                <w:sz w:val="20"/>
                <w:szCs w:val="20"/>
              </w:rPr>
              <w:t>Auth</w:t>
            </w:r>
            <w:proofErr w:type="spellEnd"/>
            <w:r>
              <w:rPr>
                <w:sz w:val="20"/>
                <w:szCs w:val="20"/>
              </w:rPr>
              <w:t xml:space="preserve"> assessment demo 14</w:t>
            </w:r>
          </w:p>
          <w:p w14:paraId="44862A5D" w14:textId="41D6F8AE" w:rsidR="00516B80" w:rsidRPr="008B1B5B" w:rsidRDefault="00516B80" w:rsidP="00DB61E1">
            <w:pPr>
              <w:rPr>
                <w:sz w:val="20"/>
                <w:szCs w:val="20"/>
              </w:rPr>
            </w:pPr>
            <w:proofErr w:type="spellStart"/>
            <w:r>
              <w:rPr>
                <w:sz w:val="20"/>
                <w:szCs w:val="20"/>
              </w:rPr>
              <w:t>Auth</w:t>
            </w:r>
            <w:proofErr w:type="spellEnd"/>
            <w:r>
              <w:rPr>
                <w:sz w:val="20"/>
                <w:szCs w:val="20"/>
              </w:rPr>
              <w:t xml:space="preserve"> assessment demo 15</w:t>
            </w:r>
          </w:p>
        </w:tc>
        <w:tc>
          <w:tcPr>
            <w:tcW w:w="944" w:type="pct"/>
          </w:tcPr>
          <w:p w14:paraId="6A1409C0" w14:textId="77777777" w:rsidR="00322F65" w:rsidRPr="008B1B5B" w:rsidRDefault="00322F65" w:rsidP="00EE71A7">
            <w:pPr>
              <w:rPr>
                <w:b/>
                <w:sz w:val="20"/>
                <w:szCs w:val="20"/>
              </w:rPr>
            </w:pPr>
          </w:p>
        </w:tc>
      </w:tr>
      <w:tr w:rsidR="007D5B7C" w:rsidRPr="00F8796E" w14:paraId="0391BEB0" w14:textId="77777777" w:rsidTr="002F1279">
        <w:trPr>
          <w:cantSplit/>
          <w:trHeight w:val="530"/>
        </w:trPr>
        <w:tc>
          <w:tcPr>
            <w:tcW w:w="5000" w:type="pct"/>
            <w:gridSpan w:val="5"/>
            <w:shd w:val="clear" w:color="auto" w:fill="BFBFBF" w:themeFill="background1" w:themeFillShade="BF"/>
            <w:noWrap/>
          </w:tcPr>
          <w:p w14:paraId="725E44E0" w14:textId="36AC30EE" w:rsidR="007D5B7C" w:rsidRPr="008B1B5B" w:rsidRDefault="007D5B7C" w:rsidP="002F1279">
            <w:pPr>
              <w:pStyle w:val="DecimalAligned"/>
              <w:jc w:val="center"/>
              <w:rPr>
                <w:color w:val="000000" w:themeColor="text1"/>
                <w:sz w:val="20"/>
                <w:szCs w:val="20"/>
              </w:rPr>
            </w:pPr>
            <w:r w:rsidRPr="008B1B5B">
              <w:rPr>
                <w:b/>
                <w:sz w:val="20"/>
                <w:szCs w:val="20"/>
              </w:rPr>
              <w:t>SPRING BREAK 3/11 – 3/15</w:t>
            </w:r>
          </w:p>
        </w:tc>
      </w:tr>
      <w:tr w:rsidR="00A13050" w14:paraId="56646286" w14:textId="77777777" w:rsidTr="00800DE9">
        <w:trPr>
          <w:cantSplit/>
          <w:trHeight w:val="620"/>
        </w:trPr>
        <w:tc>
          <w:tcPr>
            <w:tcW w:w="544" w:type="pct"/>
            <w:noWrap/>
          </w:tcPr>
          <w:p w14:paraId="6E2DE52B" w14:textId="1F2FDD78" w:rsidR="000678A2" w:rsidRPr="002F1279" w:rsidRDefault="00322F65" w:rsidP="00D65D98">
            <w:pPr>
              <w:rPr>
                <w:color w:val="000000" w:themeColor="text1"/>
                <w:sz w:val="20"/>
                <w:szCs w:val="20"/>
              </w:rPr>
            </w:pPr>
            <w:r w:rsidRPr="002F1279">
              <w:rPr>
                <w:b/>
                <w:sz w:val="20"/>
                <w:szCs w:val="20"/>
              </w:rPr>
              <w:t>10</w:t>
            </w:r>
            <w:r w:rsidR="000678A2" w:rsidRPr="002F1279">
              <w:rPr>
                <w:b/>
                <w:sz w:val="20"/>
                <w:szCs w:val="20"/>
              </w:rPr>
              <w:t xml:space="preserve">: </w:t>
            </w:r>
            <w:r w:rsidR="007D5B7C" w:rsidRPr="002F1279">
              <w:rPr>
                <w:b/>
                <w:sz w:val="20"/>
                <w:szCs w:val="20"/>
              </w:rPr>
              <w:t>3/19</w:t>
            </w:r>
          </w:p>
          <w:p w14:paraId="71BD95B5" w14:textId="77777777" w:rsidR="000678A2" w:rsidRPr="002F1279" w:rsidRDefault="000678A2" w:rsidP="00D65D98">
            <w:pPr>
              <w:rPr>
                <w:color w:val="000000" w:themeColor="text1"/>
                <w:sz w:val="20"/>
                <w:szCs w:val="20"/>
              </w:rPr>
            </w:pPr>
          </w:p>
          <w:p w14:paraId="3ADC5247" w14:textId="0EDA482A" w:rsidR="000678A2" w:rsidRPr="002F1279" w:rsidRDefault="000678A2" w:rsidP="00D65D98">
            <w:pPr>
              <w:rPr>
                <w:color w:val="000000" w:themeColor="text1"/>
                <w:sz w:val="20"/>
                <w:szCs w:val="20"/>
              </w:rPr>
            </w:pPr>
          </w:p>
        </w:tc>
        <w:tc>
          <w:tcPr>
            <w:tcW w:w="810" w:type="pct"/>
          </w:tcPr>
          <w:p w14:paraId="314D39EC" w14:textId="23DEECF2" w:rsidR="004274FC" w:rsidRPr="002F1279" w:rsidRDefault="004274FC" w:rsidP="00322582">
            <w:pPr>
              <w:pStyle w:val="DecimalAligned"/>
              <w:spacing w:line="240" w:lineRule="auto"/>
              <w:rPr>
                <w:color w:val="000000" w:themeColor="text1"/>
                <w:sz w:val="20"/>
                <w:szCs w:val="20"/>
              </w:rPr>
            </w:pPr>
          </w:p>
        </w:tc>
        <w:tc>
          <w:tcPr>
            <w:tcW w:w="1473" w:type="pct"/>
          </w:tcPr>
          <w:p w14:paraId="30113E09" w14:textId="3E3B0530" w:rsidR="002F1279" w:rsidRPr="002F1279" w:rsidRDefault="004274FC" w:rsidP="004274FC">
            <w:pPr>
              <w:pStyle w:val="DecimalAligned"/>
              <w:spacing w:line="240" w:lineRule="auto"/>
              <w:contextualSpacing/>
              <w:rPr>
                <w:color w:val="000000" w:themeColor="text1"/>
                <w:sz w:val="20"/>
                <w:szCs w:val="20"/>
              </w:rPr>
            </w:pPr>
            <w:r>
              <w:rPr>
                <w:color w:val="000000" w:themeColor="text1"/>
                <w:sz w:val="20"/>
                <w:szCs w:val="20"/>
              </w:rPr>
              <w:t xml:space="preserve">Article </w:t>
            </w:r>
            <w:r w:rsidR="00824BA4">
              <w:rPr>
                <w:color w:val="000000" w:themeColor="text1"/>
                <w:sz w:val="20"/>
                <w:szCs w:val="20"/>
              </w:rPr>
              <w:t>13 &amp; 14</w:t>
            </w:r>
          </w:p>
        </w:tc>
        <w:tc>
          <w:tcPr>
            <w:tcW w:w="1229" w:type="pct"/>
          </w:tcPr>
          <w:p w14:paraId="2B7015DB" w14:textId="77777777" w:rsidR="000678A2" w:rsidRDefault="00824BA4" w:rsidP="00322582">
            <w:pPr>
              <w:pStyle w:val="DecimalAligned"/>
              <w:spacing w:after="0" w:line="240" w:lineRule="auto"/>
              <w:rPr>
                <w:sz w:val="20"/>
                <w:szCs w:val="20"/>
              </w:rPr>
            </w:pPr>
            <w:r>
              <w:rPr>
                <w:sz w:val="20"/>
                <w:szCs w:val="20"/>
              </w:rPr>
              <w:t>TBA – please see Canvas for Agenda</w:t>
            </w:r>
          </w:p>
          <w:p w14:paraId="5F473A5E" w14:textId="77777777" w:rsidR="00516B80" w:rsidRDefault="00516B80" w:rsidP="0032258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16</w:t>
            </w:r>
          </w:p>
          <w:p w14:paraId="389086CF" w14:textId="77777777" w:rsidR="00516B80" w:rsidRDefault="00516B80" w:rsidP="0032258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17</w:t>
            </w:r>
          </w:p>
          <w:p w14:paraId="7270879C" w14:textId="293FBAEC" w:rsidR="00516B80" w:rsidRPr="008B1B5B" w:rsidRDefault="00516B80" w:rsidP="0032258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18</w:t>
            </w:r>
          </w:p>
        </w:tc>
        <w:tc>
          <w:tcPr>
            <w:tcW w:w="944" w:type="pct"/>
          </w:tcPr>
          <w:p w14:paraId="2085AAF3" w14:textId="2FC83CEA" w:rsidR="00C527B9" w:rsidRPr="008B1B5B" w:rsidRDefault="00C527B9" w:rsidP="002450BF">
            <w:pPr>
              <w:pStyle w:val="DecimalAligned"/>
              <w:spacing w:after="0" w:line="240" w:lineRule="auto"/>
              <w:rPr>
                <w:color w:val="000000" w:themeColor="text1"/>
                <w:sz w:val="20"/>
                <w:szCs w:val="20"/>
              </w:rPr>
            </w:pPr>
            <w:r>
              <w:rPr>
                <w:color w:val="000000" w:themeColor="text1"/>
                <w:sz w:val="20"/>
                <w:szCs w:val="20"/>
              </w:rPr>
              <w:t xml:space="preserve">Assessment </w:t>
            </w:r>
            <w:r w:rsidR="00163E8B">
              <w:rPr>
                <w:color w:val="000000" w:themeColor="text1"/>
                <w:sz w:val="20"/>
                <w:szCs w:val="20"/>
              </w:rPr>
              <w:t xml:space="preserve">Issue </w:t>
            </w:r>
            <w:r>
              <w:rPr>
                <w:color w:val="000000" w:themeColor="text1"/>
                <w:sz w:val="20"/>
                <w:szCs w:val="20"/>
              </w:rPr>
              <w:t>Online Pres A</w:t>
            </w:r>
          </w:p>
        </w:tc>
      </w:tr>
      <w:tr w:rsidR="00A13050" w:rsidRPr="000860E5" w14:paraId="470E5B8D" w14:textId="77777777" w:rsidTr="00800DE9">
        <w:trPr>
          <w:cantSplit/>
          <w:trHeight w:val="773"/>
        </w:trPr>
        <w:tc>
          <w:tcPr>
            <w:tcW w:w="544" w:type="pct"/>
            <w:noWrap/>
          </w:tcPr>
          <w:p w14:paraId="6E27A154" w14:textId="3DEBC2A9" w:rsidR="000678A2" w:rsidRPr="002F1279" w:rsidRDefault="007E7651" w:rsidP="00007ED8">
            <w:pPr>
              <w:rPr>
                <w:b/>
                <w:sz w:val="20"/>
                <w:szCs w:val="20"/>
              </w:rPr>
            </w:pPr>
            <w:r w:rsidRPr="002F1279">
              <w:rPr>
                <w:b/>
                <w:sz w:val="20"/>
                <w:szCs w:val="20"/>
              </w:rPr>
              <w:t>1</w:t>
            </w:r>
            <w:r w:rsidR="00322F65" w:rsidRPr="002F1279">
              <w:rPr>
                <w:b/>
                <w:sz w:val="20"/>
                <w:szCs w:val="20"/>
              </w:rPr>
              <w:t>1</w:t>
            </w:r>
            <w:r w:rsidR="000678A2" w:rsidRPr="002F1279">
              <w:rPr>
                <w:b/>
                <w:sz w:val="20"/>
                <w:szCs w:val="20"/>
              </w:rPr>
              <w:t xml:space="preserve">: </w:t>
            </w:r>
            <w:r w:rsidR="007D5B7C" w:rsidRPr="002F1279">
              <w:rPr>
                <w:b/>
                <w:sz w:val="20"/>
                <w:szCs w:val="20"/>
              </w:rPr>
              <w:t>3/26</w:t>
            </w:r>
          </w:p>
          <w:p w14:paraId="52A05426" w14:textId="31E30AF2" w:rsidR="000678A2" w:rsidRPr="002F1279" w:rsidRDefault="000678A2" w:rsidP="00D12DB5">
            <w:pPr>
              <w:rPr>
                <w:color w:val="000000" w:themeColor="text1"/>
                <w:sz w:val="20"/>
                <w:szCs w:val="20"/>
              </w:rPr>
            </w:pPr>
          </w:p>
        </w:tc>
        <w:tc>
          <w:tcPr>
            <w:tcW w:w="810" w:type="pct"/>
          </w:tcPr>
          <w:p w14:paraId="41AC5B70" w14:textId="3D0E25A4" w:rsidR="004274FC" w:rsidRDefault="004274FC" w:rsidP="00322582">
            <w:pPr>
              <w:pStyle w:val="DecimalAligned"/>
              <w:spacing w:line="240" w:lineRule="auto"/>
              <w:rPr>
                <w:rFonts w:ascii="Times New Roman" w:hAnsi="Times New Roman"/>
                <w:sz w:val="20"/>
                <w:szCs w:val="20"/>
              </w:rPr>
            </w:pPr>
            <w:r>
              <w:rPr>
                <w:rFonts w:ascii="Times New Roman" w:hAnsi="Times New Roman"/>
                <w:sz w:val="20"/>
                <w:szCs w:val="20"/>
              </w:rPr>
              <w:t>Assessing Writing</w:t>
            </w:r>
          </w:p>
          <w:p w14:paraId="6BC92153" w14:textId="1FE7C991" w:rsidR="000678A2" w:rsidRPr="002F1279" w:rsidRDefault="000678A2" w:rsidP="00322582">
            <w:pPr>
              <w:pStyle w:val="DecimalAligned"/>
              <w:spacing w:line="240" w:lineRule="auto"/>
              <w:rPr>
                <w:rFonts w:ascii="Times New Roman" w:hAnsi="Times New Roman"/>
                <w:sz w:val="20"/>
                <w:szCs w:val="20"/>
              </w:rPr>
            </w:pPr>
          </w:p>
        </w:tc>
        <w:tc>
          <w:tcPr>
            <w:tcW w:w="1473" w:type="pct"/>
          </w:tcPr>
          <w:p w14:paraId="4FC8FF0F" w14:textId="77777777" w:rsidR="004274FC" w:rsidRDefault="004274FC" w:rsidP="004274FC">
            <w:pPr>
              <w:pStyle w:val="DecimalAligned"/>
              <w:spacing w:after="0"/>
              <w:rPr>
                <w:rFonts w:ascii="Times New Roman" w:hAnsi="Times New Roman"/>
                <w:sz w:val="20"/>
                <w:szCs w:val="20"/>
              </w:rPr>
            </w:pPr>
            <w:r w:rsidRPr="002F1279">
              <w:rPr>
                <w:rFonts w:ascii="Times New Roman" w:hAnsi="Times New Roman"/>
                <w:sz w:val="20"/>
                <w:szCs w:val="20"/>
              </w:rPr>
              <w:t xml:space="preserve">Chapter 10, Brown &amp; </w:t>
            </w:r>
            <w:proofErr w:type="spellStart"/>
            <w:r w:rsidRPr="002F1279">
              <w:rPr>
                <w:rFonts w:ascii="Times New Roman" w:hAnsi="Times New Roman"/>
                <w:sz w:val="20"/>
                <w:szCs w:val="20"/>
              </w:rPr>
              <w:t>Abeywickrama</w:t>
            </w:r>
            <w:proofErr w:type="spellEnd"/>
          </w:p>
          <w:p w14:paraId="1E106B8F" w14:textId="6A40EBFC" w:rsidR="002F1279" w:rsidRPr="002F1279" w:rsidRDefault="004274FC" w:rsidP="004274FC">
            <w:pPr>
              <w:pStyle w:val="DecimalAligned"/>
              <w:contextualSpacing/>
              <w:rPr>
                <w:color w:val="000000" w:themeColor="text1"/>
                <w:sz w:val="20"/>
                <w:szCs w:val="20"/>
              </w:rPr>
            </w:pPr>
            <w:r>
              <w:rPr>
                <w:color w:val="000000" w:themeColor="text1"/>
                <w:sz w:val="20"/>
                <w:szCs w:val="20"/>
              </w:rPr>
              <w:t xml:space="preserve">Article </w:t>
            </w:r>
            <w:r w:rsidR="00824BA4">
              <w:rPr>
                <w:color w:val="000000" w:themeColor="text1"/>
                <w:sz w:val="20"/>
                <w:szCs w:val="20"/>
              </w:rPr>
              <w:t>15 &amp; 16</w:t>
            </w:r>
          </w:p>
        </w:tc>
        <w:tc>
          <w:tcPr>
            <w:tcW w:w="1229" w:type="pct"/>
          </w:tcPr>
          <w:p w14:paraId="579F2FEC" w14:textId="77777777" w:rsidR="002450BF" w:rsidRDefault="00824BA4" w:rsidP="00322582">
            <w:pPr>
              <w:pStyle w:val="DecimalAligned"/>
              <w:spacing w:after="0" w:line="240" w:lineRule="auto"/>
              <w:rPr>
                <w:sz w:val="20"/>
                <w:szCs w:val="20"/>
              </w:rPr>
            </w:pPr>
            <w:r>
              <w:rPr>
                <w:sz w:val="20"/>
                <w:szCs w:val="20"/>
              </w:rPr>
              <w:t>TBA – please see Canvas for Agenda</w:t>
            </w:r>
          </w:p>
          <w:p w14:paraId="2BD991A5" w14:textId="77777777" w:rsidR="00516B80" w:rsidRDefault="00516B80" w:rsidP="0032258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19</w:t>
            </w:r>
          </w:p>
          <w:p w14:paraId="0C724D43" w14:textId="77777777" w:rsidR="00516B80" w:rsidRDefault="00516B80" w:rsidP="0032258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20</w:t>
            </w:r>
          </w:p>
          <w:p w14:paraId="01C1DAA0" w14:textId="2BDC07FE" w:rsidR="00516B80" w:rsidRPr="008B1B5B" w:rsidRDefault="00516B80" w:rsidP="00322582">
            <w:pPr>
              <w:pStyle w:val="DecimalAligned"/>
              <w:spacing w:after="0" w:line="240" w:lineRule="auto"/>
              <w:rPr>
                <w:sz w:val="20"/>
                <w:szCs w:val="20"/>
              </w:rPr>
            </w:pPr>
            <w:proofErr w:type="spellStart"/>
            <w:r>
              <w:rPr>
                <w:sz w:val="20"/>
                <w:szCs w:val="20"/>
              </w:rPr>
              <w:t>Auth</w:t>
            </w:r>
            <w:proofErr w:type="spellEnd"/>
            <w:r>
              <w:rPr>
                <w:sz w:val="20"/>
                <w:szCs w:val="20"/>
              </w:rPr>
              <w:t xml:space="preserve"> assessment demo 21</w:t>
            </w:r>
          </w:p>
        </w:tc>
        <w:tc>
          <w:tcPr>
            <w:tcW w:w="944" w:type="pct"/>
          </w:tcPr>
          <w:p w14:paraId="76FB10E8" w14:textId="10897CD2" w:rsidR="000678A2" w:rsidRPr="008B1B5B" w:rsidRDefault="00163E8B" w:rsidP="00EE71A7">
            <w:pPr>
              <w:pStyle w:val="DecimalAligned"/>
              <w:rPr>
                <w:color w:val="000000" w:themeColor="text1"/>
                <w:sz w:val="20"/>
                <w:szCs w:val="20"/>
              </w:rPr>
            </w:pPr>
            <w:r>
              <w:rPr>
                <w:color w:val="000000" w:themeColor="text1"/>
                <w:sz w:val="20"/>
                <w:szCs w:val="20"/>
              </w:rPr>
              <w:t>Assessment Issue Online Pres B</w:t>
            </w:r>
          </w:p>
        </w:tc>
      </w:tr>
      <w:tr w:rsidR="00A13050" w:rsidRPr="000860E5" w14:paraId="51ED10DF" w14:textId="77777777" w:rsidTr="00800DE9">
        <w:trPr>
          <w:cantSplit/>
          <w:trHeight w:val="611"/>
        </w:trPr>
        <w:tc>
          <w:tcPr>
            <w:tcW w:w="544" w:type="pct"/>
            <w:noWrap/>
          </w:tcPr>
          <w:p w14:paraId="70824AF3" w14:textId="0E088E30" w:rsidR="000678A2" w:rsidRPr="002F1279" w:rsidRDefault="007E7651" w:rsidP="00FA6412">
            <w:pPr>
              <w:rPr>
                <w:color w:val="000000" w:themeColor="text1"/>
                <w:sz w:val="20"/>
                <w:szCs w:val="20"/>
              </w:rPr>
            </w:pPr>
            <w:r w:rsidRPr="002F1279">
              <w:rPr>
                <w:b/>
                <w:sz w:val="20"/>
                <w:szCs w:val="20"/>
              </w:rPr>
              <w:t>1</w:t>
            </w:r>
            <w:r w:rsidR="00322F65" w:rsidRPr="002F1279">
              <w:rPr>
                <w:b/>
                <w:sz w:val="20"/>
                <w:szCs w:val="20"/>
              </w:rPr>
              <w:t>2</w:t>
            </w:r>
            <w:r w:rsidR="000678A2" w:rsidRPr="002F1279">
              <w:rPr>
                <w:b/>
                <w:sz w:val="20"/>
                <w:szCs w:val="20"/>
              </w:rPr>
              <w:t xml:space="preserve">: </w:t>
            </w:r>
            <w:r w:rsidR="007D5B7C" w:rsidRPr="002F1279">
              <w:rPr>
                <w:b/>
                <w:sz w:val="20"/>
                <w:szCs w:val="20"/>
              </w:rPr>
              <w:t>4/2</w:t>
            </w:r>
          </w:p>
        </w:tc>
        <w:tc>
          <w:tcPr>
            <w:tcW w:w="810" w:type="pct"/>
          </w:tcPr>
          <w:p w14:paraId="5182436A" w14:textId="6CC4B81C" w:rsidR="0015400F" w:rsidRPr="002F1279" w:rsidRDefault="004274FC" w:rsidP="005A66E5">
            <w:pPr>
              <w:pStyle w:val="DecimalAligned"/>
              <w:spacing w:after="0"/>
              <w:rPr>
                <w:color w:val="000000" w:themeColor="text1"/>
                <w:sz w:val="20"/>
                <w:szCs w:val="20"/>
              </w:rPr>
            </w:pPr>
            <w:r>
              <w:rPr>
                <w:color w:val="000000" w:themeColor="text1"/>
                <w:sz w:val="20"/>
                <w:szCs w:val="20"/>
              </w:rPr>
              <w:t xml:space="preserve">  </w:t>
            </w:r>
          </w:p>
        </w:tc>
        <w:tc>
          <w:tcPr>
            <w:tcW w:w="1473" w:type="pct"/>
          </w:tcPr>
          <w:p w14:paraId="0D610C28" w14:textId="3B745863" w:rsidR="002F1279" w:rsidRPr="002F1279" w:rsidRDefault="004274FC" w:rsidP="004274FC">
            <w:pPr>
              <w:pStyle w:val="DecimalAligned"/>
              <w:spacing w:after="0"/>
              <w:rPr>
                <w:color w:val="000000" w:themeColor="text1"/>
                <w:sz w:val="20"/>
                <w:szCs w:val="20"/>
              </w:rPr>
            </w:pPr>
            <w:r>
              <w:rPr>
                <w:color w:val="000000" w:themeColor="text1"/>
                <w:sz w:val="20"/>
                <w:szCs w:val="20"/>
              </w:rPr>
              <w:t xml:space="preserve">Article </w:t>
            </w:r>
            <w:r w:rsidR="00824BA4">
              <w:rPr>
                <w:color w:val="000000" w:themeColor="text1"/>
                <w:sz w:val="20"/>
                <w:szCs w:val="20"/>
              </w:rPr>
              <w:t>17 &amp; 18</w:t>
            </w:r>
          </w:p>
        </w:tc>
        <w:tc>
          <w:tcPr>
            <w:tcW w:w="1229" w:type="pct"/>
          </w:tcPr>
          <w:p w14:paraId="2189D5A1" w14:textId="77777777" w:rsidR="000678A2" w:rsidRDefault="00824BA4" w:rsidP="000678A2">
            <w:pPr>
              <w:rPr>
                <w:sz w:val="20"/>
                <w:szCs w:val="20"/>
              </w:rPr>
            </w:pPr>
            <w:r>
              <w:rPr>
                <w:sz w:val="20"/>
                <w:szCs w:val="20"/>
              </w:rPr>
              <w:t>TBA – please see Canvas for Agenda</w:t>
            </w:r>
          </w:p>
          <w:p w14:paraId="6C75139F" w14:textId="77777777" w:rsidR="00516B80" w:rsidRDefault="00516B80" w:rsidP="000678A2">
            <w:pPr>
              <w:rPr>
                <w:sz w:val="20"/>
                <w:szCs w:val="20"/>
              </w:rPr>
            </w:pPr>
            <w:proofErr w:type="spellStart"/>
            <w:r>
              <w:rPr>
                <w:sz w:val="20"/>
                <w:szCs w:val="20"/>
              </w:rPr>
              <w:t>Auth</w:t>
            </w:r>
            <w:proofErr w:type="spellEnd"/>
            <w:r>
              <w:rPr>
                <w:sz w:val="20"/>
                <w:szCs w:val="20"/>
              </w:rPr>
              <w:t xml:space="preserve"> assessment demo 22</w:t>
            </w:r>
          </w:p>
          <w:p w14:paraId="75EB956C" w14:textId="77777777" w:rsidR="00516B80" w:rsidRDefault="00516B80" w:rsidP="000678A2">
            <w:pPr>
              <w:rPr>
                <w:sz w:val="20"/>
                <w:szCs w:val="20"/>
              </w:rPr>
            </w:pPr>
            <w:proofErr w:type="spellStart"/>
            <w:r>
              <w:rPr>
                <w:sz w:val="20"/>
                <w:szCs w:val="20"/>
              </w:rPr>
              <w:t>Auth</w:t>
            </w:r>
            <w:proofErr w:type="spellEnd"/>
            <w:r>
              <w:rPr>
                <w:sz w:val="20"/>
                <w:szCs w:val="20"/>
              </w:rPr>
              <w:t xml:space="preserve"> assessment demo 23</w:t>
            </w:r>
          </w:p>
          <w:p w14:paraId="0CE398CA" w14:textId="34F3B325" w:rsidR="00516B80" w:rsidRPr="008B1B5B" w:rsidRDefault="00516B80" w:rsidP="000678A2">
            <w:pPr>
              <w:rPr>
                <w:color w:val="000000" w:themeColor="text1"/>
                <w:sz w:val="20"/>
                <w:szCs w:val="20"/>
              </w:rPr>
            </w:pPr>
            <w:proofErr w:type="spellStart"/>
            <w:r>
              <w:rPr>
                <w:sz w:val="20"/>
                <w:szCs w:val="20"/>
              </w:rPr>
              <w:t>Auth</w:t>
            </w:r>
            <w:proofErr w:type="spellEnd"/>
            <w:r>
              <w:rPr>
                <w:sz w:val="20"/>
                <w:szCs w:val="20"/>
              </w:rPr>
              <w:t xml:space="preserve"> assessment demo 24</w:t>
            </w:r>
          </w:p>
        </w:tc>
        <w:tc>
          <w:tcPr>
            <w:tcW w:w="944" w:type="pct"/>
          </w:tcPr>
          <w:p w14:paraId="5F1C1B6B" w14:textId="6275382E" w:rsidR="000678A2" w:rsidRPr="008B1B5B" w:rsidRDefault="00163E8B" w:rsidP="00EE71A7">
            <w:pPr>
              <w:pStyle w:val="DecimalAligned"/>
              <w:rPr>
                <w:color w:val="000000" w:themeColor="text1"/>
                <w:sz w:val="20"/>
                <w:szCs w:val="20"/>
              </w:rPr>
            </w:pPr>
            <w:r>
              <w:rPr>
                <w:color w:val="000000" w:themeColor="text1"/>
                <w:sz w:val="20"/>
                <w:szCs w:val="20"/>
              </w:rPr>
              <w:t>Assessment Issue Online Pres C</w:t>
            </w:r>
          </w:p>
        </w:tc>
      </w:tr>
      <w:tr w:rsidR="00A13050" w:rsidRPr="000860E5" w14:paraId="7D30BAE5" w14:textId="77777777" w:rsidTr="00800DE9">
        <w:trPr>
          <w:cantSplit/>
          <w:trHeight w:val="557"/>
        </w:trPr>
        <w:tc>
          <w:tcPr>
            <w:tcW w:w="544" w:type="pct"/>
            <w:noWrap/>
          </w:tcPr>
          <w:p w14:paraId="2301444F" w14:textId="2B902309" w:rsidR="000678A2" w:rsidRPr="002F1279" w:rsidRDefault="007E7651" w:rsidP="000678A2">
            <w:pPr>
              <w:rPr>
                <w:color w:val="000000" w:themeColor="text1"/>
                <w:sz w:val="20"/>
                <w:szCs w:val="20"/>
              </w:rPr>
            </w:pPr>
            <w:r w:rsidRPr="002F1279">
              <w:rPr>
                <w:b/>
                <w:sz w:val="20"/>
                <w:szCs w:val="20"/>
              </w:rPr>
              <w:t>1</w:t>
            </w:r>
            <w:r w:rsidR="00322F65" w:rsidRPr="002F1279">
              <w:rPr>
                <w:b/>
                <w:sz w:val="20"/>
                <w:szCs w:val="20"/>
              </w:rPr>
              <w:t>3</w:t>
            </w:r>
            <w:r w:rsidR="000678A2" w:rsidRPr="002F1279">
              <w:rPr>
                <w:b/>
                <w:sz w:val="20"/>
                <w:szCs w:val="20"/>
              </w:rPr>
              <w:t xml:space="preserve">: </w:t>
            </w:r>
            <w:r w:rsidR="007D5B7C" w:rsidRPr="002F1279">
              <w:rPr>
                <w:b/>
                <w:sz w:val="20"/>
                <w:szCs w:val="20"/>
              </w:rPr>
              <w:t>4/9</w:t>
            </w:r>
          </w:p>
        </w:tc>
        <w:tc>
          <w:tcPr>
            <w:tcW w:w="810" w:type="pct"/>
          </w:tcPr>
          <w:p w14:paraId="02A6618C" w14:textId="51D7F35F" w:rsidR="00322582" w:rsidRPr="002F1279" w:rsidRDefault="008B1B5B" w:rsidP="005A66E5">
            <w:pPr>
              <w:pStyle w:val="DecimalAligned"/>
              <w:spacing w:after="0"/>
              <w:rPr>
                <w:color w:val="000000" w:themeColor="text1"/>
                <w:sz w:val="20"/>
                <w:szCs w:val="20"/>
              </w:rPr>
            </w:pPr>
            <w:r w:rsidRPr="002F1279">
              <w:rPr>
                <w:color w:val="000000" w:themeColor="text1"/>
                <w:sz w:val="20"/>
                <w:szCs w:val="20"/>
              </w:rPr>
              <w:t>Assessing Grammar and Vocabulary</w:t>
            </w:r>
          </w:p>
        </w:tc>
        <w:tc>
          <w:tcPr>
            <w:tcW w:w="1473" w:type="pct"/>
          </w:tcPr>
          <w:p w14:paraId="402AF583" w14:textId="53A822F4" w:rsidR="008B1B5B" w:rsidRDefault="008B1B5B" w:rsidP="008B1B5B">
            <w:pPr>
              <w:pStyle w:val="DecimalAligned"/>
              <w:spacing w:after="0"/>
              <w:rPr>
                <w:rFonts w:ascii="Times New Roman" w:hAnsi="Times New Roman"/>
                <w:sz w:val="20"/>
                <w:szCs w:val="20"/>
              </w:rPr>
            </w:pPr>
            <w:r w:rsidRPr="002F1279">
              <w:rPr>
                <w:rFonts w:ascii="Times New Roman" w:hAnsi="Times New Roman"/>
                <w:sz w:val="20"/>
                <w:szCs w:val="20"/>
              </w:rPr>
              <w:t xml:space="preserve">Chapter 11, Brown &amp; </w:t>
            </w:r>
            <w:proofErr w:type="spellStart"/>
            <w:r w:rsidRPr="002F1279">
              <w:rPr>
                <w:rFonts w:ascii="Times New Roman" w:hAnsi="Times New Roman"/>
                <w:sz w:val="20"/>
                <w:szCs w:val="20"/>
              </w:rPr>
              <w:t>Abeywickrama</w:t>
            </w:r>
            <w:proofErr w:type="spellEnd"/>
          </w:p>
          <w:p w14:paraId="7451C500" w14:textId="573FD07E" w:rsidR="008B1B5B" w:rsidRDefault="008B1B5B" w:rsidP="008B1B5B">
            <w:pPr>
              <w:pStyle w:val="DecimalAligned"/>
              <w:spacing w:after="0"/>
              <w:rPr>
                <w:rFonts w:ascii="Times New Roman" w:hAnsi="Times New Roman"/>
                <w:sz w:val="20"/>
                <w:szCs w:val="20"/>
              </w:rPr>
            </w:pPr>
            <w:r>
              <w:rPr>
                <w:rFonts w:ascii="Times New Roman" w:hAnsi="Times New Roman"/>
                <w:sz w:val="20"/>
                <w:szCs w:val="20"/>
              </w:rPr>
              <w:t xml:space="preserve">Article </w:t>
            </w:r>
            <w:r w:rsidR="00824BA4">
              <w:rPr>
                <w:rFonts w:ascii="Times New Roman" w:hAnsi="Times New Roman"/>
                <w:sz w:val="20"/>
                <w:szCs w:val="20"/>
              </w:rPr>
              <w:t>19 &amp; 20</w:t>
            </w:r>
          </w:p>
          <w:p w14:paraId="43F8D8FA" w14:textId="00966F68" w:rsidR="002F1279" w:rsidRPr="002F1279" w:rsidRDefault="002F1279" w:rsidP="00926709">
            <w:pPr>
              <w:pStyle w:val="DecimalAligned"/>
              <w:spacing w:after="0"/>
              <w:rPr>
                <w:color w:val="000000" w:themeColor="text1"/>
                <w:sz w:val="20"/>
                <w:szCs w:val="20"/>
              </w:rPr>
            </w:pPr>
          </w:p>
        </w:tc>
        <w:tc>
          <w:tcPr>
            <w:tcW w:w="1229" w:type="pct"/>
          </w:tcPr>
          <w:p w14:paraId="4D8AC62D" w14:textId="77777777" w:rsidR="000678A2" w:rsidRDefault="00824BA4" w:rsidP="000678A2">
            <w:pPr>
              <w:rPr>
                <w:sz w:val="20"/>
                <w:szCs w:val="20"/>
              </w:rPr>
            </w:pPr>
            <w:r>
              <w:rPr>
                <w:sz w:val="20"/>
                <w:szCs w:val="20"/>
              </w:rPr>
              <w:t>TBA – please see Canvas for Agenda</w:t>
            </w:r>
          </w:p>
          <w:p w14:paraId="689ADC93" w14:textId="6B5596E5" w:rsidR="00516B80" w:rsidRPr="008B1B5B" w:rsidRDefault="00516B80" w:rsidP="000678A2">
            <w:pPr>
              <w:rPr>
                <w:sz w:val="20"/>
                <w:szCs w:val="20"/>
              </w:rPr>
            </w:pPr>
          </w:p>
        </w:tc>
        <w:tc>
          <w:tcPr>
            <w:tcW w:w="944" w:type="pct"/>
          </w:tcPr>
          <w:p w14:paraId="3CA8D39A" w14:textId="5C389A08" w:rsidR="000678A2" w:rsidRPr="008B1B5B" w:rsidRDefault="00163E8B" w:rsidP="000678A2">
            <w:pPr>
              <w:rPr>
                <w:sz w:val="20"/>
                <w:szCs w:val="20"/>
              </w:rPr>
            </w:pPr>
            <w:r>
              <w:rPr>
                <w:color w:val="000000" w:themeColor="text1"/>
                <w:sz w:val="20"/>
                <w:szCs w:val="20"/>
              </w:rPr>
              <w:t>Assessment Issue Online Pres D</w:t>
            </w:r>
          </w:p>
        </w:tc>
      </w:tr>
      <w:tr w:rsidR="00A13050" w:rsidRPr="000860E5" w14:paraId="6B876D63" w14:textId="77777777" w:rsidTr="00800DE9">
        <w:trPr>
          <w:cantSplit/>
          <w:trHeight w:val="449"/>
        </w:trPr>
        <w:tc>
          <w:tcPr>
            <w:tcW w:w="544" w:type="pct"/>
            <w:noWrap/>
          </w:tcPr>
          <w:p w14:paraId="50EC3709" w14:textId="454F8B89" w:rsidR="000678A2" w:rsidRPr="002F1279" w:rsidRDefault="004B2A34" w:rsidP="00FA6412">
            <w:pPr>
              <w:rPr>
                <w:b/>
                <w:sz w:val="20"/>
                <w:szCs w:val="20"/>
              </w:rPr>
            </w:pPr>
            <w:r w:rsidRPr="002F1279">
              <w:rPr>
                <w:b/>
                <w:sz w:val="20"/>
                <w:szCs w:val="20"/>
              </w:rPr>
              <w:t>1</w:t>
            </w:r>
            <w:r w:rsidR="00322F65" w:rsidRPr="002F1279">
              <w:rPr>
                <w:b/>
                <w:sz w:val="20"/>
                <w:szCs w:val="20"/>
              </w:rPr>
              <w:t>4</w:t>
            </w:r>
            <w:r w:rsidR="000678A2" w:rsidRPr="002F1279">
              <w:rPr>
                <w:b/>
                <w:sz w:val="20"/>
                <w:szCs w:val="20"/>
              </w:rPr>
              <w:t xml:space="preserve">: </w:t>
            </w:r>
            <w:r w:rsidR="007D5B7C" w:rsidRPr="002F1279">
              <w:rPr>
                <w:b/>
                <w:sz w:val="20"/>
                <w:szCs w:val="20"/>
              </w:rPr>
              <w:t>4/16</w:t>
            </w:r>
          </w:p>
        </w:tc>
        <w:tc>
          <w:tcPr>
            <w:tcW w:w="810" w:type="pct"/>
          </w:tcPr>
          <w:p w14:paraId="49540658" w14:textId="77777777" w:rsidR="000678A2" w:rsidRDefault="008B1B5B" w:rsidP="005A66E5">
            <w:pPr>
              <w:pStyle w:val="DecimalAligned"/>
              <w:spacing w:after="0"/>
              <w:rPr>
                <w:color w:val="000000" w:themeColor="text1"/>
                <w:sz w:val="20"/>
                <w:szCs w:val="20"/>
              </w:rPr>
            </w:pPr>
            <w:r>
              <w:rPr>
                <w:color w:val="000000" w:themeColor="text1"/>
                <w:sz w:val="20"/>
                <w:szCs w:val="20"/>
              </w:rPr>
              <w:t>Standards-based assessment;</w:t>
            </w:r>
          </w:p>
          <w:p w14:paraId="1108415E" w14:textId="64192BFE" w:rsidR="008B1B5B" w:rsidRPr="002F1279" w:rsidRDefault="008B1B5B" w:rsidP="005A66E5">
            <w:pPr>
              <w:pStyle w:val="DecimalAligned"/>
              <w:spacing w:after="0"/>
              <w:rPr>
                <w:color w:val="000000" w:themeColor="text1"/>
                <w:sz w:val="20"/>
                <w:szCs w:val="20"/>
              </w:rPr>
            </w:pPr>
            <w:r>
              <w:rPr>
                <w:color w:val="000000" w:themeColor="text1"/>
                <w:sz w:val="20"/>
                <w:szCs w:val="20"/>
              </w:rPr>
              <w:t>Standardized Assessment</w:t>
            </w:r>
          </w:p>
        </w:tc>
        <w:tc>
          <w:tcPr>
            <w:tcW w:w="1473" w:type="pct"/>
          </w:tcPr>
          <w:p w14:paraId="2CB80D81" w14:textId="50C1C1AF" w:rsidR="008B1B5B" w:rsidRDefault="008B1B5B" w:rsidP="008B1B5B">
            <w:pPr>
              <w:pStyle w:val="DecimalAligned"/>
              <w:spacing w:after="0"/>
              <w:rPr>
                <w:rFonts w:ascii="Times New Roman" w:hAnsi="Times New Roman"/>
                <w:sz w:val="20"/>
                <w:szCs w:val="20"/>
              </w:rPr>
            </w:pPr>
            <w:r w:rsidRPr="002F1279">
              <w:rPr>
                <w:rFonts w:ascii="Times New Roman" w:hAnsi="Times New Roman"/>
                <w:sz w:val="20"/>
                <w:szCs w:val="20"/>
              </w:rPr>
              <w:t xml:space="preserve">Chapter </w:t>
            </w:r>
            <w:r>
              <w:rPr>
                <w:rFonts w:ascii="Times New Roman" w:hAnsi="Times New Roman"/>
                <w:sz w:val="20"/>
                <w:szCs w:val="20"/>
              </w:rPr>
              <w:t>4</w:t>
            </w:r>
            <w:r w:rsidRPr="002F1279">
              <w:rPr>
                <w:rFonts w:ascii="Times New Roman" w:hAnsi="Times New Roman"/>
                <w:sz w:val="20"/>
                <w:szCs w:val="20"/>
              </w:rPr>
              <w:t xml:space="preserve">, Brown &amp; </w:t>
            </w:r>
            <w:proofErr w:type="spellStart"/>
            <w:r w:rsidRPr="002F1279">
              <w:rPr>
                <w:rFonts w:ascii="Times New Roman" w:hAnsi="Times New Roman"/>
                <w:sz w:val="20"/>
                <w:szCs w:val="20"/>
              </w:rPr>
              <w:t>Abeywickrama</w:t>
            </w:r>
            <w:proofErr w:type="spellEnd"/>
          </w:p>
          <w:p w14:paraId="4ACE3E62" w14:textId="462E6863" w:rsidR="008B1B5B" w:rsidRDefault="008B1B5B" w:rsidP="008B1B5B">
            <w:pPr>
              <w:pStyle w:val="DecimalAligned"/>
              <w:spacing w:after="0"/>
              <w:rPr>
                <w:rFonts w:ascii="Times New Roman" w:hAnsi="Times New Roman"/>
                <w:sz w:val="20"/>
                <w:szCs w:val="20"/>
              </w:rPr>
            </w:pPr>
            <w:r w:rsidRPr="002F1279">
              <w:rPr>
                <w:rFonts w:ascii="Times New Roman" w:hAnsi="Times New Roman"/>
                <w:sz w:val="20"/>
                <w:szCs w:val="20"/>
              </w:rPr>
              <w:t xml:space="preserve">Chapter </w:t>
            </w:r>
            <w:r>
              <w:rPr>
                <w:rFonts w:ascii="Times New Roman" w:hAnsi="Times New Roman"/>
                <w:sz w:val="20"/>
                <w:szCs w:val="20"/>
              </w:rPr>
              <w:t>5</w:t>
            </w:r>
            <w:r w:rsidRPr="002F1279">
              <w:rPr>
                <w:rFonts w:ascii="Times New Roman" w:hAnsi="Times New Roman"/>
                <w:sz w:val="20"/>
                <w:szCs w:val="20"/>
              </w:rPr>
              <w:t xml:space="preserve">, Brown &amp; </w:t>
            </w:r>
            <w:proofErr w:type="spellStart"/>
            <w:r w:rsidRPr="002F1279">
              <w:rPr>
                <w:rFonts w:ascii="Times New Roman" w:hAnsi="Times New Roman"/>
                <w:sz w:val="20"/>
                <w:szCs w:val="20"/>
              </w:rPr>
              <w:t>Abeywickrama</w:t>
            </w:r>
            <w:proofErr w:type="spellEnd"/>
          </w:p>
          <w:p w14:paraId="7D67660B" w14:textId="0DA37732" w:rsidR="00824BA4" w:rsidRDefault="00824BA4" w:rsidP="008B1B5B">
            <w:pPr>
              <w:pStyle w:val="DecimalAligned"/>
              <w:spacing w:after="0"/>
              <w:rPr>
                <w:rFonts w:ascii="Times New Roman" w:hAnsi="Times New Roman"/>
                <w:sz w:val="20"/>
                <w:szCs w:val="20"/>
              </w:rPr>
            </w:pPr>
            <w:r>
              <w:rPr>
                <w:rFonts w:ascii="Times New Roman" w:hAnsi="Times New Roman"/>
                <w:sz w:val="20"/>
                <w:szCs w:val="20"/>
              </w:rPr>
              <w:t>Article 21 &amp; 22</w:t>
            </w:r>
          </w:p>
          <w:p w14:paraId="65DF83C0" w14:textId="77777777" w:rsidR="008B1B5B" w:rsidRDefault="008B1B5B" w:rsidP="008B1B5B">
            <w:pPr>
              <w:pStyle w:val="DecimalAligned"/>
              <w:spacing w:after="0"/>
              <w:rPr>
                <w:rFonts w:ascii="Times New Roman" w:hAnsi="Times New Roman"/>
                <w:sz w:val="20"/>
                <w:szCs w:val="20"/>
              </w:rPr>
            </w:pPr>
          </w:p>
          <w:p w14:paraId="04C0789C" w14:textId="3849E91F" w:rsidR="000678A2" w:rsidRPr="007E7651" w:rsidRDefault="000678A2" w:rsidP="00926709">
            <w:pPr>
              <w:pStyle w:val="DecimalAligned"/>
              <w:spacing w:after="0"/>
              <w:rPr>
                <w:color w:val="000000" w:themeColor="text1"/>
                <w:sz w:val="20"/>
                <w:szCs w:val="20"/>
              </w:rPr>
            </w:pPr>
          </w:p>
        </w:tc>
        <w:tc>
          <w:tcPr>
            <w:tcW w:w="1229" w:type="pct"/>
          </w:tcPr>
          <w:p w14:paraId="7EB6AFF4" w14:textId="02A765A8" w:rsidR="000678A2" w:rsidRPr="008B1B5B" w:rsidRDefault="00824BA4" w:rsidP="007D0045">
            <w:pPr>
              <w:rPr>
                <w:sz w:val="20"/>
                <w:szCs w:val="20"/>
              </w:rPr>
            </w:pPr>
            <w:r>
              <w:rPr>
                <w:sz w:val="20"/>
                <w:szCs w:val="20"/>
              </w:rPr>
              <w:t>TBA – please see Canvas for Agenda</w:t>
            </w:r>
          </w:p>
        </w:tc>
        <w:tc>
          <w:tcPr>
            <w:tcW w:w="944" w:type="pct"/>
          </w:tcPr>
          <w:p w14:paraId="66DFBAC2" w14:textId="024BF47B" w:rsidR="000678A2" w:rsidRPr="008B1B5B" w:rsidRDefault="007A22B1" w:rsidP="004B2A34">
            <w:pPr>
              <w:rPr>
                <w:color w:val="000000" w:themeColor="text1"/>
                <w:sz w:val="20"/>
                <w:szCs w:val="20"/>
              </w:rPr>
            </w:pPr>
            <w:r>
              <w:rPr>
                <w:sz w:val="20"/>
                <w:szCs w:val="20"/>
              </w:rPr>
              <w:t>Article Synthesis 2</w:t>
            </w:r>
          </w:p>
        </w:tc>
      </w:tr>
      <w:tr w:rsidR="004B2A34" w:rsidRPr="000860E5" w14:paraId="4F743F67" w14:textId="77777777" w:rsidTr="00800DE9">
        <w:trPr>
          <w:cantSplit/>
          <w:trHeight w:val="449"/>
        </w:trPr>
        <w:tc>
          <w:tcPr>
            <w:tcW w:w="544" w:type="pct"/>
            <w:noWrap/>
          </w:tcPr>
          <w:p w14:paraId="6BEA8FB4" w14:textId="4319E53A" w:rsidR="004B2A34" w:rsidRPr="002F1279" w:rsidRDefault="004B2A34" w:rsidP="00FA6412">
            <w:pPr>
              <w:rPr>
                <w:b/>
                <w:sz w:val="20"/>
                <w:szCs w:val="20"/>
              </w:rPr>
            </w:pPr>
            <w:r w:rsidRPr="002F1279">
              <w:rPr>
                <w:b/>
                <w:sz w:val="20"/>
                <w:szCs w:val="20"/>
              </w:rPr>
              <w:t>1</w:t>
            </w:r>
            <w:r w:rsidR="00322F65" w:rsidRPr="002F1279">
              <w:rPr>
                <w:b/>
                <w:sz w:val="20"/>
                <w:szCs w:val="20"/>
              </w:rPr>
              <w:t>5</w:t>
            </w:r>
            <w:r w:rsidRPr="002F1279">
              <w:rPr>
                <w:b/>
                <w:sz w:val="20"/>
                <w:szCs w:val="20"/>
              </w:rPr>
              <w:t xml:space="preserve">: </w:t>
            </w:r>
            <w:r w:rsidR="007D5B7C" w:rsidRPr="002F1279">
              <w:rPr>
                <w:b/>
                <w:sz w:val="20"/>
                <w:szCs w:val="20"/>
              </w:rPr>
              <w:t>4/23</w:t>
            </w:r>
          </w:p>
        </w:tc>
        <w:tc>
          <w:tcPr>
            <w:tcW w:w="810" w:type="pct"/>
          </w:tcPr>
          <w:p w14:paraId="2097CC3A" w14:textId="05080F18" w:rsidR="004B2A34" w:rsidRPr="002F1279" w:rsidRDefault="008B1B5B" w:rsidP="005A66E5">
            <w:pPr>
              <w:pStyle w:val="DecimalAligned"/>
              <w:spacing w:after="0"/>
              <w:rPr>
                <w:color w:val="000000" w:themeColor="text1"/>
                <w:sz w:val="20"/>
                <w:szCs w:val="20"/>
              </w:rPr>
            </w:pPr>
            <w:r>
              <w:rPr>
                <w:color w:val="000000" w:themeColor="text1"/>
                <w:sz w:val="20"/>
                <w:szCs w:val="20"/>
              </w:rPr>
              <w:t>Alternatives in Assessment; Grading &amp; Student Evaluation</w:t>
            </w:r>
          </w:p>
        </w:tc>
        <w:tc>
          <w:tcPr>
            <w:tcW w:w="1473" w:type="pct"/>
          </w:tcPr>
          <w:p w14:paraId="0771272B" w14:textId="09232FEC" w:rsidR="008B1B5B" w:rsidRDefault="008B1B5B" w:rsidP="008B1B5B">
            <w:pPr>
              <w:pStyle w:val="DecimalAligned"/>
              <w:spacing w:after="0"/>
              <w:rPr>
                <w:rFonts w:ascii="Times New Roman" w:hAnsi="Times New Roman"/>
                <w:sz w:val="20"/>
                <w:szCs w:val="20"/>
              </w:rPr>
            </w:pPr>
            <w:r w:rsidRPr="002F1279">
              <w:rPr>
                <w:rFonts w:ascii="Times New Roman" w:hAnsi="Times New Roman"/>
                <w:sz w:val="20"/>
                <w:szCs w:val="20"/>
              </w:rPr>
              <w:t xml:space="preserve">Chapter </w:t>
            </w:r>
            <w:r>
              <w:rPr>
                <w:rFonts w:ascii="Times New Roman" w:hAnsi="Times New Roman"/>
                <w:sz w:val="20"/>
                <w:szCs w:val="20"/>
              </w:rPr>
              <w:t>6</w:t>
            </w:r>
            <w:r w:rsidRPr="002F1279">
              <w:rPr>
                <w:rFonts w:ascii="Times New Roman" w:hAnsi="Times New Roman"/>
                <w:sz w:val="20"/>
                <w:szCs w:val="20"/>
              </w:rPr>
              <w:t xml:space="preserve">, Brown &amp; </w:t>
            </w:r>
            <w:proofErr w:type="spellStart"/>
            <w:r w:rsidRPr="002F1279">
              <w:rPr>
                <w:rFonts w:ascii="Times New Roman" w:hAnsi="Times New Roman"/>
                <w:sz w:val="20"/>
                <w:szCs w:val="20"/>
              </w:rPr>
              <w:t>Abeywickrama</w:t>
            </w:r>
            <w:proofErr w:type="spellEnd"/>
          </w:p>
          <w:p w14:paraId="2D0327CE" w14:textId="53206DC3" w:rsidR="008B1B5B" w:rsidRDefault="008B1B5B" w:rsidP="008B1B5B">
            <w:pPr>
              <w:pStyle w:val="DecimalAligned"/>
              <w:spacing w:after="0"/>
              <w:rPr>
                <w:rFonts w:ascii="Times New Roman" w:hAnsi="Times New Roman"/>
                <w:sz w:val="20"/>
                <w:szCs w:val="20"/>
              </w:rPr>
            </w:pPr>
            <w:r w:rsidRPr="002F1279">
              <w:rPr>
                <w:rFonts w:ascii="Times New Roman" w:hAnsi="Times New Roman"/>
                <w:sz w:val="20"/>
                <w:szCs w:val="20"/>
              </w:rPr>
              <w:t xml:space="preserve">Chapter </w:t>
            </w:r>
            <w:r>
              <w:rPr>
                <w:rFonts w:ascii="Times New Roman" w:hAnsi="Times New Roman"/>
                <w:sz w:val="20"/>
                <w:szCs w:val="20"/>
              </w:rPr>
              <w:t>12</w:t>
            </w:r>
            <w:r w:rsidRPr="002F1279">
              <w:rPr>
                <w:rFonts w:ascii="Times New Roman" w:hAnsi="Times New Roman"/>
                <w:sz w:val="20"/>
                <w:szCs w:val="20"/>
              </w:rPr>
              <w:t xml:space="preserve">, Brown &amp; </w:t>
            </w:r>
            <w:proofErr w:type="spellStart"/>
            <w:r w:rsidRPr="002F1279">
              <w:rPr>
                <w:rFonts w:ascii="Times New Roman" w:hAnsi="Times New Roman"/>
                <w:sz w:val="20"/>
                <w:szCs w:val="20"/>
              </w:rPr>
              <w:t>Abeywickrama</w:t>
            </w:r>
            <w:proofErr w:type="spellEnd"/>
          </w:p>
          <w:p w14:paraId="1E1FBF50" w14:textId="52C4AD1A" w:rsidR="00824BA4" w:rsidRDefault="00824BA4" w:rsidP="008B1B5B">
            <w:pPr>
              <w:pStyle w:val="DecimalAligned"/>
              <w:spacing w:after="0"/>
              <w:rPr>
                <w:rFonts w:ascii="Times New Roman" w:hAnsi="Times New Roman"/>
                <w:sz w:val="20"/>
                <w:szCs w:val="20"/>
              </w:rPr>
            </w:pPr>
            <w:r>
              <w:rPr>
                <w:rFonts w:ascii="Times New Roman" w:hAnsi="Times New Roman"/>
                <w:sz w:val="20"/>
                <w:szCs w:val="20"/>
              </w:rPr>
              <w:t>Article 23 &amp; 24</w:t>
            </w:r>
          </w:p>
          <w:p w14:paraId="7A828CD5" w14:textId="1AF8581E" w:rsidR="008B1B5B" w:rsidRPr="007E7651" w:rsidRDefault="008B1B5B" w:rsidP="00926709">
            <w:pPr>
              <w:pStyle w:val="DecimalAligned"/>
              <w:spacing w:after="0"/>
              <w:rPr>
                <w:color w:val="000000" w:themeColor="text1"/>
                <w:sz w:val="20"/>
                <w:szCs w:val="20"/>
              </w:rPr>
            </w:pPr>
          </w:p>
        </w:tc>
        <w:tc>
          <w:tcPr>
            <w:tcW w:w="1229" w:type="pct"/>
          </w:tcPr>
          <w:p w14:paraId="7D61B752" w14:textId="763F2E6F" w:rsidR="004B2A34" w:rsidRPr="008B1B5B" w:rsidRDefault="00824BA4" w:rsidP="007D0045">
            <w:pPr>
              <w:rPr>
                <w:sz w:val="20"/>
                <w:szCs w:val="20"/>
              </w:rPr>
            </w:pPr>
            <w:r>
              <w:rPr>
                <w:sz w:val="20"/>
                <w:szCs w:val="20"/>
              </w:rPr>
              <w:t>TBA – please see Canvas for Agenda</w:t>
            </w:r>
          </w:p>
        </w:tc>
        <w:tc>
          <w:tcPr>
            <w:tcW w:w="944" w:type="pct"/>
          </w:tcPr>
          <w:p w14:paraId="28C2AD04" w14:textId="644640AD" w:rsidR="004B2A34" w:rsidRPr="008B1B5B" w:rsidRDefault="00516B80" w:rsidP="007D0045">
            <w:pPr>
              <w:rPr>
                <w:sz w:val="20"/>
                <w:szCs w:val="20"/>
              </w:rPr>
            </w:pPr>
            <w:r>
              <w:rPr>
                <w:sz w:val="20"/>
                <w:szCs w:val="20"/>
              </w:rPr>
              <w:t>ELP Instrument &amp; Report due</w:t>
            </w:r>
          </w:p>
        </w:tc>
      </w:tr>
      <w:tr w:rsidR="00A13050" w:rsidRPr="000860E5" w14:paraId="2E5298A7" w14:textId="77777777" w:rsidTr="00800DE9">
        <w:trPr>
          <w:cantSplit/>
          <w:trHeight w:val="548"/>
        </w:trPr>
        <w:tc>
          <w:tcPr>
            <w:tcW w:w="544" w:type="pct"/>
            <w:noWrap/>
          </w:tcPr>
          <w:p w14:paraId="798DA246" w14:textId="31B710B7" w:rsidR="000678A2" w:rsidRPr="002F1279" w:rsidRDefault="000678A2" w:rsidP="00D12DB5">
            <w:pPr>
              <w:rPr>
                <w:b/>
                <w:sz w:val="20"/>
                <w:szCs w:val="20"/>
              </w:rPr>
            </w:pPr>
            <w:r w:rsidRPr="002F1279">
              <w:rPr>
                <w:b/>
                <w:sz w:val="20"/>
                <w:szCs w:val="20"/>
              </w:rPr>
              <w:t>FINAL EXAM</w:t>
            </w:r>
          </w:p>
        </w:tc>
        <w:tc>
          <w:tcPr>
            <w:tcW w:w="810" w:type="pct"/>
          </w:tcPr>
          <w:p w14:paraId="36C8A900" w14:textId="67431FA7" w:rsidR="000678A2" w:rsidRPr="002F1279" w:rsidRDefault="008B1B5B" w:rsidP="00205C00">
            <w:pPr>
              <w:rPr>
                <w:color w:val="000000" w:themeColor="text1"/>
                <w:sz w:val="20"/>
                <w:szCs w:val="20"/>
              </w:rPr>
            </w:pPr>
            <w:r>
              <w:rPr>
                <w:sz w:val="20"/>
                <w:szCs w:val="20"/>
              </w:rPr>
              <w:t>Assessment portfolio</w:t>
            </w:r>
            <w:r w:rsidR="000678A2" w:rsidRPr="002F1279">
              <w:rPr>
                <w:sz w:val="20"/>
                <w:szCs w:val="20"/>
              </w:rPr>
              <w:t xml:space="preserve"> </w:t>
            </w:r>
            <w:r w:rsidR="00516B80">
              <w:rPr>
                <w:sz w:val="20"/>
                <w:szCs w:val="20"/>
              </w:rPr>
              <w:t>&amp; reflection</w:t>
            </w:r>
          </w:p>
          <w:p w14:paraId="4997620C" w14:textId="22ABB981" w:rsidR="000678A2" w:rsidRPr="002F1279" w:rsidRDefault="000678A2" w:rsidP="00205C00">
            <w:pPr>
              <w:pStyle w:val="DecimalAligned"/>
              <w:spacing w:after="0"/>
              <w:rPr>
                <w:color w:val="000000" w:themeColor="text1"/>
                <w:sz w:val="20"/>
                <w:szCs w:val="20"/>
              </w:rPr>
            </w:pPr>
          </w:p>
        </w:tc>
        <w:tc>
          <w:tcPr>
            <w:tcW w:w="1473" w:type="pct"/>
          </w:tcPr>
          <w:p w14:paraId="4F9941B2" w14:textId="77777777" w:rsidR="000678A2" w:rsidRPr="007E7651" w:rsidRDefault="000678A2" w:rsidP="00926709">
            <w:pPr>
              <w:pStyle w:val="DecimalAligned"/>
              <w:spacing w:after="0"/>
              <w:rPr>
                <w:color w:val="000000" w:themeColor="text1"/>
                <w:sz w:val="20"/>
                <w:szCs w:val="20"/>
              </w:rPr>
            </w:pPr>
          </w:p>
        </w:tc>
        <w:tc>
          <w:tcPr>
            <w:tcW w:w="1229" w:type="pct"/>
          </w:tcPr>
          <w:p w14:paraId="4505C915" w14:textId="77777777" w:rsidR="000678A2" w:rsidRPr="008B1B5B" w:rsidRDefault="000678A2" w:rsidP="00D65D98">
            <w:pPr>
              <w:pStyle w:val="DecimalAligned"/>
              <w:rPr>
                <w:color w:val="000000" w:themeColor="text1"/>
                <w:sz w:val="20"/>
                <w:szCs w:val="20"/>
              </w:rPr>
            </w:pPr>
          </w:p>
        </w:tc>
        <w:tc>
          <w:tcPr>
            <w:tcW w:w="944" w:type="pct"/>
          </w:tcPr>
          <w:p w14:paraId="457A339D" w14:textId="418922B8" w:rsidR="000678A2" w:rsidRPr="008B1B5B" w:rsidRDefault="000678A2" w:rsidP="00D65D98">
            <w:pPr>
              <w:pStyle w:val="DecimalAligned"/>
              <w:rPr>
                <w:color w:val="000000" w:themeColor="text1"/>
                <w:sz w:val="20"/>
                <w:szCs w:val="20"/>
              </w:rPr>
            </w:pPr>
          </w:p>
        </w:tc>
      </w:tr>
      <w:tr w:rsidR="00A13050" w14:paraId="5063A1D1" w14:textId="77777777" w:rsidTr="00800DE9">
        <w:trPr>
          <w:cnfStyle w:val="010000000000" w:firstRow="0" w:lastRow="1" w:firstColumn="0" w:lastColumn="0" w:oddVBand="0" w:evenVBand="0" w:oddHBand="0" w:evenHBand="0" w:firstRowFirstColumn="0" w:firstRowLastColumn="0" w:lastRowFirstColumn="0" w:lastRowLastColumn="0"/>
          <w:trHeight w:val="505"/>
        </w:trPr>
        <w:tc>
          <w:tcPr>
            <w:tcW w:w="544" w:type="pct"/>
            <w:noWrap/>
          </w:tcPr>
          <w:p w14:paraId="1FE15E8B" w14:textId="77777777" w:rsidR="000678A2" w:rsidRPr="00C85390" w:rsidRDefault="000678A2" w:rsidP="00D65D98">
            <w:pPr>
              <w:rPr>
                <w:color w:val="000000" w:themeColor="text1"/>
              </w:rPr>
            </w:pPr>
          </w:p>
        </w:tc>
        <w:tc>
          <w:tcPr>
            <w:tcW w:w="810" w:type="pct"/>
          </w:tcPr>
          <w:p w14:paraId="23F4C607" w14:textId="77777777" w:rsidR="000678A2" w:rsidRPr="00C85390" w:rsidRDefault="000678A2" w:rsidP="00D65D98">
            <w:pPr>
              <w:pStyle w:val="DecimalAligned"/>
              <w:rPr>
                <w:color w:val="000000" w:themeColor="text1"/>
              </w:rPr>
            </w:pPr>
          </w:p>
        </w:tc>
        <w:tc>
          <w:tcPr>
            <w:tcW w:w="1473" w:type="pct"/>
          </w:tcPr>
          <w:p w14:paraId="005DB19F" w14:textId="77777777" w:rsidR="000678A2" w:rsidRPr="00C85390" w:rsidRDefault="000678A2" w:rsidP="00D65D98">
            <w:pPr>
              <w:pStyle w:val="DecimalAligned"/>
              <w:rPr>
                <w:color w:val="000000" w:themeColor="text1"/>
              </w:rPr>
            </w:pPr>
          </w:p>
        </w:tc>
        <w:tc>
          <w:tcPr>
            <w:tcW w:w="1229" w:type="pct"/>
          </w:tcPr>
          <w:p w14:paraId="3B6AFBC7" w14:textId="77777777" w:rsidR="000678A2" w:rsidRPr="00C85390" w:rsidRDefault="000678A2" w:rsidP="00D65D98">
            <w:pPr>
              <w:pStyle w:val="DecimalAligned"/>
              <w:rPr>
                <w:color w:val="000000" w:themeColor="text1"/>
              </w:rPr>
            </w:pPr>
          </w:p>
        </w:tc>
        <w:tc>
          <w:tcPr>
            <w:tcW w:w="944" w:type="pct"/>
          </w:tcPr>
          <w:p w14:paraId="2573C148" w14:textId="09FFF51C" w:rsidR="000678A2" w:rsidRPr="00C85390" w:rsidRDefault="000678A2" w:rsidP="00D65D98">
            <w:pPr>
              <w:pStyle w:val="DecimalAligned"/>
              <w:rPr>
                <w:color w:val="000000" w:themeColor="text1"/>
              </w:rPr>
            </w:pPr>
          </w:p>
        </w:tc>
      </w:tr>
    </w:tbl>
    <w:p w14:paraId="2A7E002C" w14:textId="77777777" w:rsidR="004274FC" w:rsidRDefault="004274FC" w:rsidP="004274FC">
      <w:pPr>
        <w:widowControl w:val="0"/>
        <w:autoSpaceDE w:val="0"/>
        <w:autoSpaceDN w:val="0"/>
        <w:adjustRightInd w:val="0"/>
        <w:spacing w:after="240"/>
        <w:rPr>
          <w:color w:val="0000FF"/>
          <w:sz w:val="22"/>
          <w:szCs w:val="22"/>
        </w:rPr>
      </w:pPr>
    </w:p>
    <w:p w14:paraId="63BA9F54" w14:textId="06FCC77F" w:rsidR="004274FC" w:rsidRPr="004274FC" w:rsidRDefault="004274FC" w:rsidP="004274FC">
      <w:pPr>
        <w:widowControl w:val="0"/>
        <w:autoSpaceDE w:val="0"/>
        <w:autoSpaceDN w:val="0"/>
        <w:adjustRightInd w:val="0"/>
        <w:spacing w:after="240"/>
        <w:rPr>
          <w:b/>
          <w:bCs/>
          <w:color w:val="000000" w:themeColor="text1"/>
          <w:sz w:val="20"/>
          <w:szCs w:val="20"/>
          <w:u w:val="single"/>
        </w:rPr>
      </w:pPr>
      <w:r w:rsidRPr="004274FC">
        <w:rPr>
          <w:color w:val="000000" w:themeColor="text1"/>
          <w:sz w:val="20"/>
          <w:szCs w:val="20"/>
        </w:rPr>
        <w:t>Alignment of objectives with the Alabama Quality Teaching Standards (AQTS 290-3-3-.45) is noted.</w:t>
      </w:r>
    </w:p>
    <w:p w14:paraId="097F4DE2" w14:textId="77777777" w:rsidR="004274FC" w:rsidRPr="004274FC" w:rsidRDefault="004274FC" w:rsidP="004274F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color w:val="000000" w:themeColor="text1"/>
          <w:sz w:val="20"/>
          <w:szCs w:val="20"/>
        </w:rPr>
      </w:pPr>
      <w:r w:rsidRPr="004274FC">
        <w:rPr>
          <w:rStyle w:val="BodyTextIn"/>
          <w:color w:val="000000" w:themeColor="text1"/>
          <w:sz w:val="20"/>
          <w:szCs w:val="20"/>
        </w:rPr>
        <w:t>Upon completion of this course students will be able to demonstrate knowledge of:</w:t>
      </w:r>
    </w:p>
    <w:p w14:paraId="73DB8DF2"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a variety of standards-based and performance-based classroom assessment tools to inform language and content instruction for the ELL’s language proficiency level. (2)(d)</w:t>
      </w:r>
      <w:proofErr w:type="gramStart"/>
      <w:r w:rsidRPr="004274FC">
        <w:rPr>
          <w:color w:val="000000" w:themeColor="text1"/>
          <w:sz w:val="20"/>
          <w:szCs w:val="20"/>
        </w:rPr>
        <w:t>1.(</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 </w:t>
      </w:r>
    </w:p>
    <w:p w14:paraId="48E17B9E" w14:textId="77777777" w:rsidR="004274FC" w:rsidRPr="004274FC" w:rsidRDefault="004274FC" w:rsidP="004274FC">
      <w:pPr>
        <w:numPr>
          <w:ilvl w:val="0"/>
          <w:numId w:val="46"/>
        </w:numPr>
        <w:tabs>
          <w:tab w:val="left" w:pos="1080"/>
        </w:tabs>
        <w:rPr>
          <w:color w:val="000000" w:themeColor="text1"/>
          <w:sz w:val="20"/>
          <w:szCs w:val="20"/>
        </w:rPr>
      </w:pPr>
      <w:r w:rsidRPr="004274FC">
        <w:rPr>
          <w:color w:val="000000" w:themeColor="text1"/>
          <w:sz w:val="20"/>
          <w:szCs w:val="20"/>
        </w:rPr>
        <w:t>a variety of standards-based language proficiency instruments &amp; their uses for identification, placement, and demonstration of language growth of ELLs. (2)(d)</w:t>
      </w:r>
      <w:proofErr w:type="gramStart"/>
      <w:r w:rsidRPr="004274FC">
        <w:rPr>
          <w:color w:val="000000" w:themeColor="text1"/>
          <w:sz w:val="20"/>
          <w:szCs w:val="20"/>
        </w:rPr>
        <w:t>2.(</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)(I) </w:t>
      </w:r>
    </w:p>
    <w:p w14:paraId="0D503C3C"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issues of assessment. (2)(d)</w:t>
      </w:r>
      <w:proofErr w:type="gramStart"/>
      <w:r w:rsidRPr="004274FC">
        <w:rPr>
          <w:color w:val="000000" w:themeColor="text1"/>
          <w:sz w:val="20"/>
          <w:szCs w:val="20"/>
        </w:rPr>
        <w:t>2.(</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)(II) </w:t>
      </w:r>
    </w:p>
    <w:p w14:paraId="5A23897C"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the purposes of assessment as they are related to ESOL learners and how to use results appropriately.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)(I) </w:t>
      </w:r>
    </w:p>
    <w:p w14:paraId="205E4306"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the key indicators of good assessment instruments.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)(II) </w:t>
      </w:r>
    </w:p>
    <w:p w14:paraId="5B3E0303"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a variety of assessment procedures for ESOL students.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)(III) </w:t>
      </w:r>
    </w:p>
    <w:p w14:paraId="75066F04"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lastRenderedPageBreak/>
        <w:t>the advantages and limitations of assessment, including accommodations for ELLs.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)(IV) </w:t>
      </w:r>
    </w:p>
    <w:p w14:paraId="12DDDFFF"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the impact of English language proficiency on the consideration for referral for special education services, including gifted programming.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)(V)</w:t>
      </w:r>
    </w:p>
    <w:p w14:paraId="64E6F0B5"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state requirements for identification, reclassification, and exit of ELLs from language support programs.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)(VI) </w:t>
      </w:r>
    </w:p>
    <w:p w14:paraId="0AAD3D01"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 xml:space="preserve">norm-referenced and criterion-referenced assessments </w:t>
      </w:r>
      <w:r w:rsidRPr="004274FC">
        <w:rPr>
          <w:b/>
          <w:color w:val="000000" w:themeColor="text1"/>
          <w:sz w:val="20"/>
          <w:szCs w:val="20"/>
        </w:rPr>
        <w:t>that are appropriate for ELLs.</w:t>
      </w:r>
      <w:r w:rsidRPr="004274FC">
        <w:rPr>
          <w:color w:val="000000" w:themeColor="text1"/>
          <w:sz w:val="20"/>
          <w:szCs w:val="20"/>
        </w:rPr>
        <w:t xml:space="preserve">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)(VII) </w:t>
      </w:r>
    </w:p>
    <w:p w14:paraId="3309FC65"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assessment measures used for a variety of purposes in serving ELLs.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)(VIII) </w:t>
      </w:r>
    </w:p>
    <w:p w14:paraId="21248EE7"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 xml:space="preserve">How to determine </w:t>
      </w:r>
      <w:proofErr w:type="spellStart"/>
      <w:r w:rsidRPr="004274FC">
        <w:rPr>
          <w:color w:val="000000" w:themeColor="text1"/>
          <w:sz w:val="20"/>
          <w:szCs w:val="20"/>
        </w:rPr>
        <w:t>ELLs’</w:t>
      </w:r>
      <w:proofErr w:type="spellEnd"/>
      <w:r w:rsidRPr="004274FC">
        <w:rPr>
          <w:color w:val="000000" w:themeColor="text1"/>
          <w:sz w:val="20"/>
          <w:szCs w:val="20"/>
        </w:rPr>
        <w:t xml:space="preserve"> language skills and communicative competence using multiple sources of information.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)(IX) </w:t>
      </w:r>
    </w:p>
    <w:p w14:paraId="128AF017"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 xml:space="preserve">performance-based assessment tools and tasks that measure </w:t>
      </w:r>
      <w:proofErr w:type="spellStart"/>
      <w:r w:rsidRPr="004274FC">
        <w:rPr>
          <w:color w:val="000000" w:themeColor="text1"/>
          <w:sz w:val="20"/>
          <w:szCs w:val="20"/>
        </w:rPr>
        <w:t>ELLs’</w:t>
      </w:r>
      <w:proofErr w:type="spellEnd"/>
      <w:r w:rsidRPr="004274FC">
        <w:rPr>
          <w:color w:val="000000" w:themeColor="text1"/>
          <w:sz w:val="20"/>
          <w:szCs w:val="20"/>
        </w:rPr>
        <w:t xml:space="preserve"> progress toward state standards.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)(X) </w:t>
      </w:r>
    </w:p>
    <w:p w14:paraId="7729505C" w14:textId="77777777" w:rsidR="004274FC" w:rsidRPr="004274FC" w:rsidRDefault="004274FC" w:rsidP="004274FC">
      <w:pPr>
        <w:pStyle w:val="ListParagraph"/>
        <w:widowControl w:val="0"/>
        <w:numPr>
          <w:ilvl w:val="0"/>
          <w:numId w:val="46"/>
        </w:numPr>
        <w:autoSpaceDE w:val="0"/>
        <w:autoSpaceDN w:val="0"/>
        <w:adjustRightInd w:val="0"/>
        <w:rPr>
          <w:color w:val="000000" w:themeColor="text1"/>
          <w:sz w:val="20"/>
          <w:szCs w:val="20"/>
        </w:rPr>
      </w:pPr>
      <w:r w:rsidRPr="004274FC">
        <w:rPr>
          <w:color w:val="000000" w:themeColor="text1"/>
          <w:sz w:val="20"/>
          <w:szCs w:val="20"/>
        </w:rPr>
        <w:t>a variety of instruments and techniques to assess content-area learning (e.g., math, science, social studies) for ELLs at varying levels of language and literacy development. (2)(d)</w:t>
      </w:r>
      <w:proofErr w:type="gramStart"/>
      <w:r w:rsidRPr="004274FC">
        <w:rPr>
          <w:color w:val="000000" w:themeColor="text1"/>
          <w:sz w:val="20"/>
          <w:szCs w:val="20"/>
        </w:rPr>
        <w:t>3.(</w:t>
      </w:r>
      <w:proofErr w:type="spellStart"/>
      <w:proofErr w:type="gramEnd"/>
      <w:r w:rsidRPr="004274FC">
        <w:rPr>
          <w:color w:val="000000" w:themeColor="text1"/>
          <w:sz w:val="20"/>
          <w:szCs w:val="20"/>
        </w:rPr>
        <w:t>i</w:t>
      </w:r>
      <w:proofErr w:type="spellEnd"/>
      <w:r w:rsidRPr="004274FC">
        <w:rPr>
          <w:color w:val="000000" w:themeColor="text1"/>
          <w:sz w:val="20"/>
          <w:szCs w:val="20"/>
        </w:rPr>
        <w:t xml:space="preserve">)(XI) </w:t>
      </w:r>
    </w:p>
    <w:p w14:paraId="4482A9D8" w14:textId="77777777" w:rsidR="004274FC" w:rsidRDefault="004274FC" w:rsidP="00D06A60">
      <w:pPr>
        <w:widowControl w:val="0"/>
        <w:autoSpaceDE w:val="0"/>
        <w:autoSpaceDN w:val="0"/>
        <w:adjustRightInd w:val="0"/>
      </w:pPr>
    </w:p>
    <w:sectPr w:rsidR="004274FC" w:rsidSect="00102B32">
      <w:footerReference w:type="default" r:id="rId19"/>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13EC6" w14:textId="77777777" w:rsidR="00511AF2" w:rsidRDefault="00511AF2" w:rsidP="0032232D">
      <w:r>
        <w:separator/>
      </w:r>
    </w:p>
  </w:endnote>
  <w:endnote w:type="continuationSeparator" w:id="0">
    <w:p w14:paraId="12548C19" w14:textId="77777777" w:rsidR="00511AF2" w:rsidRDefault="00511AF2"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1112C" w14:textId="77777777" w:rsidR="00511AF2" w:rsidRDefault="00511AF2" w:rsidP="0032232D">
      <w:r>
        <w:separator/>
      </w:r>
    </w:p>
  </w:footnote>
  <w:footnote w:type="continuationSeparator" w:id="0">
    <w:p w14:paraId="5C2A613E" w14:textId="77777777" w:rsidR="00511AF2" w:rsidRDefault="00511AF2"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270C4"/>
    <w:multiLevelType w:val="hybridMultilevel"/>
    <w:tmpl w:val="9BB2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5794F"/>
    <w:multiLevelType w:val="hybridMultilevel"/>
    <w:tmpl w:val="C77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42D8"/>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3"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7"/>
  </w:num>
  <w:num w:numId="4">
    <w:abstractNumId w:val="26"/>
  </w:num>
  <w:num w:numId="5">
    <w:abstractNumId w:val="21"/>
  </w:num>
  <w:num w:numId="6">
    <w:abstractNumId w:val="24"/>
  </w:num>
  <w:num w:numId="7">
    <w:abstractNumId w:val="34"/>
  </w:num>
  <w:num w:numId="8">
    <w:abstractNumId w:val="43"/>
  </w:num>
  <w:num w:numId="9">
    <w:abstractNumId w:val="11"/>
  </w:num>
  <w:num w:numId="10">
    <w:abstractNumId w:val="15"/>
  </w:num>
  <w:num w:numId="11">
    <w:abstractNumId w:val="47"/>
  </w:num>
  <w:num w:numId="12">
    <w:abstractNumId w:val="42"/>
  </w:num>
  <w:num w:numId="13">
    <w:abstractNumId w:val="28"/>
  </w:num>
  <w:num w:numId="14">
    <w:abstractNumId w:val="41"/>
  </w:num>
  <w:num w:numId="15">
    <w:abstractNumId w:val="9"/>
  </w:num>
  <w:num w:numId="16">
    <w:abstractNumId w:val="31"/>
  </w:num>
  <w:num w:numId="17">
    <w:abstractNumId w:val="17"/>
  </w:num>
  <w:num w:numId="18">
    <w:abstractNumId w:val="13"/>
  </w:num>
  <w:num w:numId="19">
    <w:abstractNumId w:val="36"/>
  </w:num>
  <w:num w:numId="20">
    <w:abstractNumId w:val="45"/>
  </w:num>
  <w:num w:numId="21">
    <w:abstractNumId w:val="25"/>
  </w:num>
  <w:num w:numId="22">
    <w:abstractNumId w:val="39"/>
  </w:num>
  <w:num w:numId="23">
    <w:abstractNumId w:val="44"/>
  </w:num>
  <w:num w:numId="24">
    <w:abstractNumId w:val="49"/>
  </w:num>
  <w:num w:numId="25">
    <w:abstractNumId w:val="48"/>
  </w:num>
  <w:num w:numId="26">
    <w:abstractNumId w:val="37"/>
  </w:num>
  <w:num w:numId="27">
    <w:abstractNumId w:val="22"/>
  </w:num>
  <w:num w:numId="28">
    <w:abstractNumId w:val="6"/>
  </w:num>
  <w:num w:numId="29">
    <w:abstractNumId w:val="30"/>
  </w:num>
  <w:num w:numId="30">
    <w:abstractNumId w:val="32"/>
  </w:num>
  <w:num w:numId="31">
    <w:abstractNumId w:val="4"/>
  </w:num>
  <w:num w:numId="32">
    <w:abstractNumId w:val="23"/>
  </w:num>
  <w:num w:numId="33">
    <w:abstractNumId w:val="16"/>
  </w:num>
  <w:num w:numId="34">
    <w:abstractNumId w:val="10"/>
  </w:num>
  <w:num w:numId="35">
    <w:abstractNumId w:val="0"/>
  </w:num>
  <w:num w:numId="36">
    <w:abstractNumId w:val="1"/>
  </w:num>
  <w:num w:numId="37">
    <w:abstractNumId w:val="29"/>
  </w:num>
  <w:num w:numId="38">
    <w:abstractNumId w:val="19"/>
  </w:num>
  <w:num w:numId="39">
    <w:abstractNumId w:val="38"/>
  </w:num>
  <w:num w:numId="40">
    <w:abstractNumId w:val="3"/>
  </w:num>
  <w:num w:numId="41">
    <w:abstractNumId w:val="46"/>
  </w:num>
  <w:num w:numId="42">
    <w:abstractNumId w:val="2"/>
  </w:num>
  <w:num w:numId="43">
    <w:abstractNumId w:val="20"/>
  </w:num>
  <w:num w:numId="44">
    <w:abstractNumId w:val="40"/>
  </w:num>
  <w:num w:numId="45">
    <w:abstractNumId w:val="27"/>
  </w:num>
  <w:num w:numId="46">
    <w:abstractNumId w:val="12"/>
  </w:num>
  <w:num w:numId="47">
    <w:abstractNumId w:val="14"/>
  </w:num>
  <w:num w:numId="48">
    <w:abstractNumId w:val="35"/>
  </w:num>
  <w:num w:numId="49">
    <w:abstractNumId w:val="3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7ED8"/>
    <w:rsid w:val="0002042B"/>
    <w:rsid w:val="0002205B"/>
    <w:rsid w:val="000249EB"/>
    <w:rsid w:val="00026B40"/>
    <w:rsid w:val="000336F1"/>
    <w:rsid w:val="000378A6"/>
    <w:rsid w:val="0004721D"/>
    <w:rsid w:val="0006053D"/>
    <w:rsid w:val="00063F17"/>
    <w:rsid w:val="000678A2"/>
    <w:rsid w:val="00073137"/>
    <w:rsid w:val="00073BDF"/>
    <w:rsid w:val="00077547"/>
    <w:rsid w:val="00082C39"/>
    <w:rsid w:val="000942A5"/>
    <w:rsid w:val="000943B4"/>
    <w:rsid w:val="000945BD"/>
    <w:rsid w:val="000970EB"/>
    <w:rsid w:val="000A6DA5"/>
    <w:rsid w:val="000B1F6F"/>
    <w:rsid w:val="000B31CD"/>
    <w:rsid w:val="000C1A61"/>
    <w:rsid w:val="000C423A"/>
    <w:rsid w:val="000D1F10"/>
    <w:rsid w:val="000E64F5"/>
    <w:rsid w:val="000F29F6"/>
    <w:rsid w:val="00102505"/>
    <w:rsid w:val="00102B32"/>
    <w:rsid w:val="00104010"/>
    <w:rsid w:val="0011404C"/>
    <w:rsid w:val="00115FC4"/>
    <w:rsid w:val="00124172"/>
    <w:rsid w:val="00136B26"/>
    <w:rsid w:val="00147DB2"/>
    <w:rsid w:val="00150334"/>
    <w:rsid w:val="0015400F"/>
    <w:rsid w:val="00154041"/>
    <w:rsid w:val="001555CE"/>
    <w:rsid w:val="00157E0A"/>
    <w:rsid w:val="00163E8B"/>
    <w:rsid w:val="001678DE"/>
    <w:rsid w:val="001718CF"/>
    <w:rsid w:val="001745B9"/>
    <w:rsid w:val="0017518D"/>
    <w:rsid w:val="001838DA"/>
    <w:rsid w:val="0019073F"/>
    <w:rsid w:val="0019415C"/>
    <w:rsid w:val="001A2CA1"/>
    <w:rsid w:val="001A4123"/>
    <w:rsid w:val="001B33CC"/>
    <w:rsid w:val="001B616E"/>
    <w:rsid w:val="001C21EC"/>
    <w:rsid w:val="001C2C76"/>
    <w:rsid w:val="001C438C"/>
    <w:rsid w:val="001D3446"/>
    <w:rsid w:val="001E5B29"/>
    <w:rsid w:val="00205C00"/>
    <w:rsid w:val="00215962"/>
    <w:rsid w:val="00220169"/>
    <w:rsid w:val="00222BE8"/>
    <w:rsid w:val="00223B25"/>
    <w:rsid w:val="00224A9A"/>
    <w:rsid w:val="00230F73"/>
    <w:rsid w:val="002332E1"/>
    <w:rsid w:val="00244067"/>
    <w:rsid w:val="00244102"/>
    <w:rsid w:val="002445CD"/>
    <w:rsid w:val="002450BF"/>
    <w:rsid w:val="002676E6"/>
    <w:rsid w:val="002750E1"/>
    <w:rsid w:val="002A357E"/>
    <w:rsid w:val="002C0927"/>
    <w:rsid w:val="002D3F2D"/>
    <w:rsid w:val="002E3011"/>
    <w:rsid w:val="002E3580"/>
    <w:rsid w:val="002E359E"/>
    <w:rsid w:val="002E7C10"/>
    <w:rsid w:val="002F1279"/>
    <w:rsid w:val="002F2011"/>
    <w:rsid w:val="002F330A"/>
    <w:rsid w:val="002F5589"/>
    <w:rsid w:val="00307D00"/>
    <w:rsid w:val="003131BC"/>
    <w:rsid w:val="0032232D"/>
    <w:rsid w:val="00322582"/>
    <w:rsid w:val="00322F65"/>
    <w:rsid w:val="003246FA"/>
    <w:rsid w:val="0032667C"/>
    <w:rsid w:val="00332BB4"/>
    <w:rsid w:val="00344B27"/>
    <w:rsid w:val="0035229B"/>
    <w:rsid w:val="00353CA1"/>
    <w:rsid w:val="00363349"/>
    <w:rsid w:val="00367279"/>
    <w:rsid w:val="003810CD"/>
    <w:rsid w:val="00382E63"/>
    <w:rsid w:val="0039058D"/>
    <w:rsid w:val="00390FC7"/>
    <w:rsid w:val="00392750"/>
    <w:rsid w:val="00394CAB"/>
    <w:rsid w:val="00395AF8"/>
    <w:rsid w:val="003A098D"/>
    <w:rsid w:val="003A5AF9"/>
    <w:rsid w:val="003B1E8B"/>
    <w:rsid w:val="003C3A0E"/>
    <w:rsid w:val="003D0921"/>
    <w:rsid w:val="003D3349"/>
    <w:rsid w:val="003E30E3"/>
    <w:rsid w:val="00400B4B"/>
    <w:rsid w:val="00420844"/>
    <w:rsid w:val="004274FC"/>
    <w:rsid w:val="0043474D"/>
    <w:rsid w:val="004470E7"/>
    <w:rsid w:val="0046276F"/>
    <w:rsid w:val="00465FE9"/>
    <w:rsid w:val="00470CC2"/>
    <w:rsid w:val="004721C7"/>
    <w:rsid w:val="00493B13"/>
    <w:rsid w:val="004A089C"/>
    <w:rsid w:val="004A1E63"/>
    <w:rsid w:val="004B2A34"/>
    <w:rsid w:val="004C274A"/>
    <w:rsid w:val="004D231A"/>
    <w:rsid w:val="004D3368"/>
    <w:rsid w:val="004D3A72"/>
    <w:rsid w:val="004E5C25"/>
    <w:rsid w:val="004F1ED2"/>
    <w:rsid w:val="004F2D10"/>
    <w:rsid w:val="004F3724"/>
    <w:rsid w:val="004F5963"/>
    <w:rsid w:val="0051036F"/>
    <w:rsid w:val="00511AF2"/>
    <w:rsid w:val="00512043"/>
    <w:rsid w:val="00513890"/>
    <w:rsid w:val="00516B80"/>
    <w:rsid w:val="0052209F"/>
    <w:rsid w:val="00532458"/>
    <w:rsid w:val="00544D13"/>
    <w:rsid w:val="00545DB4"/>
    <w:rsid w:val="00551DA2"/>
    <w:rsid w:val="00565B70"/>
    <w:rsid w:val="00566713"/>
    <w:rsid w:val="00573961"/>
    <w:rsid w:val="00574F8A"/>
    <w:rsid w:val="005766AE"/>
    <w:rsid w:val="005932A7"/>
    <w:rsid w:val="005A66E5"/>
    <w:rsid w:val="005A7233"/>
    <w:rsid w:val="005B12EB"/>
    <w:rsid w:val="005B59AF"/>
    <w:rsid w:val="005D49F2"/>
    <w:rsid w:val="005E0F16"/>
    <w:rsid w:val="005E377C"/>
    <w:rsid w:val="005E5CBA"/>
    <w:rsid w:val="005E6523"/>
    <w:rsid w:val="005F286C"/>
    <w:rsid w:val="005F3B8D"/>
    <w:rsid w:val="00617961"/>
    <w:rsid w:val="00632A70"/>
    <w:rsid w:val="006376E9"/>
    <w:rsid w:val="0064030F"/>
    <w:rsid w:val="00640E4F"/>
    <w:rsid w:val="00644D69"/>
    <w:rsid w:val="0064596C"/>
    <w:rsid w:val="00646775"/>
    <w:rsid w:val="00656A55"/>
    <w:rsid w:val="00665582"/>
    <w:rsid w:val="00665594"/>
    <w:rsid w:val="006719E0"/>
    <w:rsid w:val="00680B4C"/>
    <w:rsid w:val="00680D46"/>
    <w:rsid w:val="00686F69"/>
    <w:rsid w:val="00690682"/>
    <w:rsid w:val="006968DF"/>
    <w:rsid w:val="006A0151"/>
    <w:rsid w:val="006A0E0B"/>
    <w:rsid w:val="006C2C5F"/>
    <w:rsid w:val="006C33F0"/>
    <w:rsid w:val="006D0225"/>
    <w:rsid w:val="006D7484"/>
    <w:rsid w:val="006F285E"/>
    <w:rsid w:val="006F40F5"/>
    <w:rsid w:val="006F4A17"/>
    <w:rsid w:val="00702DB8"/>
    <w:rsid w:val="007076A2"/>
    <w:rsid w:val="0072055E"/>
    <w:rsid w:val="007412BB"/>
    <w:rsid w:val="00743982"/>
    <w:rsid w:val="007478BC"/>
    <w:rsid w:val="00757294"/>
    <w:rsid w:val="00770E8F"/>
    <w:rsid w:val="007713FC"/>
    <w:rsid w:val="00780619"/>
    <w:rsid w:val="00782F2A"/>
    <w:rsid w:val="00787FAD"/>
    <w:rsid w:val="00791BE7"/>
    <w:rsid w:val="00795B90"/>
    <w:rsid w:val="007A20F5"/>
    <w:rsid w:val="007A22B1"/>
    <w:rsid w:val="007B23C4"/>
    <w:rsid w:val="007B3C2C"/>
    <w:rsid w:val="007B6D9F"/>
    <w:rsid w:val="007C2AF6"/>
    <w:rsid w:val="007C2DA2"/>
    <w:rsid w:val="007C442D"/>
    <w:rsid w:val="007D0045"/>
    <w:rsid w:val="007D271D"/>
    <w:rsid w:val="007D5B7C"/>
    <w:rsid w:val="007D65A8"/>
    <w:rsid w:val="007E07B1"/>
    <w:rsid w:val="007E7651"/>
    <w:rsid w:val="007F3E7B"/>
    <w:rsid w:val="007F71D9"/>
    <w:rsid w:val="00800DE9"/>
    <w:rsid w:val="00802BC1"/>
    <w:rsid w:val="00803AAA"/>
    <w:rsid w:val="0080736B"/>
    <w:rsid w:val="00813F7C"/>
    <w:rsid w:val="00816B46"/>
    <w:rsid w:val="00824BA4"/>
    <w:rsid w:val="00830667"/>
    <w:rsid w:val="00836762"/>
    <w:rsid w:val="008379B8"/>
    <w:rsid w:val="00862CE6"/>
    <w:rsid w:val="0087174F"/>
    <w:rsid w:val="00893BB4"/>
    <w:rsid w:val="008A0C85"/>
    <w:rsid w:val="008A3EA3"/>
    <w:rsid w:val="008A74E0"/>
    <w:rsid w:val="008B1B5B"/>
    <w:rsid w:val="008B1D06"/>
    <w:rsid w:val="008B6830"/>
    <w:rsid w:val="008D7447"/>
    <w:rsid w:val="008E7C95"/>
    <w:rsid w:val="008F77F2"/>
    <w:rsid w:val="00915739"/>
    <w:rsid w:val="0091795E"/>
    <w:rsid w:val="00921320"/>
    <w:rsid w:val="00925CCE"/>
    <w:rsid w:val="00926709"/>
    <w:rsid w:val="00941E7B"/>
    <w:rsid w:val="00943CA4"/>
    <w:rsid w:val="00944DB0"/>
    <w:rsid w:val="00951CD9"/>
    <w:rsid w:val="0096408D"/>
    <w:rsid w:val="00974D31"/>
    <w:rsid w:val="00976663"/>
    <w:rsid w:val="00986325"/>
    <w:rsid w:val="00990101"/>
    <w:rsid w:val="00993225"/>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44706"/>
    <w:rsid w:val="00A6311A"/>
    <w:rsid w:val="00A70AF3"/>
    <w:rsid w:val="00A75403"/>
    <w:rsid w:val="00A86BD4"/>
    <w:rsid w:val="00A91046"/>
    <w:rsid w:val="00A97281"/>
    <w:rsid w:val="00AB3559"/>
    <w:rsid w:val="00AB63A1"/>
    <w:rsid w:val="00AC1A0B"/>
    <w:rsid w:val="00AC773B"/>
    <w:rsid w:val="00AD3D7B"/>
    <w:rsid w:val="00AE14BA"/>
    <w:rsid w:val="00AE4232"/>
    <w:rsid w:val="00AF0EAC"/>
    <w:rsid w:val="00AF1F8A"/>
    <w:rsid w:val="00AF259B"/>
    <w:rsid w:val="00AF599C"/>
    <w:rsid w:val="00B03629"/>
    <w:rsid w:val="00B2480B"/>
    <w:rsid w:val="00B51D01"/>
    <w:rsid w:val="00B52556"/>
    <w:rsid w:val="00B52636"/>
    <w:rsid w:val="00B63CAB"/>
    <w:rsid w:val="00B6767A"/>
    <w:rsid w:val="00B705D4"/>
    <w:rsid w:val="00B90A19"/>
    <w:rsid w:val="00B93E8D"/>
    <w:rsid w:val="00BB3863"/>
    <w:rsid w:val="00BC2E78"/>
    <w:rsid w:val="00BC32AF"/>
    <w:rsid w:val="00BD14C6"/>
    <w:rsid w:val="00BE0202"/>
    <w:rsid w:val="00BE2FD0"/>
    <w:rsid w:val="00C05E38"/>
    <w:rsid w:val="00C12F41"/>
    <w:rsid w:val="00C21F8F"/>
    <w:rsid w:val="00C3300C"/>
    <w:rsid w:val="00C43D24"/>
    <w:rsid w:val="00C4445F"/>
    <w:rsid w:val="00C527B9"/>
    <w:rsid w:val="00C62A26"/>
    <w:rsid w:val="00C63B79"/>
    <w:rsid w:val="00C75886"/>
    <w:rsid w:val="00C77A4F"/>
    <w:rsid w:val="00C81C92"/>
    <w:rsid w:val="00C85390"/>
    <w:rsid w:val="00C96132"/>
    <w:rsid w:val="00C96CE8"/>
    <w:rsid w:val="00CA5304"/>
    <w:rsid w:val="00CB33BC"/>
    <w:rsid w:val="00CC1FF5"/>
    <w:rsid w:val="00CC315D"/>
    <w:rsid w:val="00CC43CF"/>
    <w:rsid w:val="00CE29E7"/>
    <w:rsid w:val="00CE346D"/>
    <w:rsid w:val="00CE39BB"/>
    <w:rsid w:val="00CE772B"/>
    <w:rsid w:val="00CF1D5B"/>
    <w:rsid w:val="00CF579B"/>
    <w:rsid w:val="00CF57B6"/>
    <w:rsid w:val="00CF6D10"/>
    <w:rsid w:val="00CF7AD9"/>
    <w:rsid w:val="00D009EF"/>
    <w:rsid w:val="00D06A60"/>
    <w:rsid w:val="00D11F82"/>
    <w:rsid w:val="00D12DB5"/>
    <w:rsid w:val="00D275EB"/>
    <w:rsid w:val="00D42C3E"/>
    <w:rsid w:val="00D56F1D"/>
    <w:rsid w:val="00D613DA"/>
    <w:rsid w:val="00D65CCE"/>
    <w:rsid w:val="00D65D98"/>
    <w:rsid w:val="00D6777A"/>
    <w:rsid w:val="00D72575"/>
    <w:rsid w:val="00D922F4"/>
    <w:rsid w:val="00D942D9"/>
    <w:rsid w:val="00D94360"/>
    <w:rsid w:val="00DA0246"/>
    <w:rsid w:val="00DB61E1"/>
    <w:rsid w:val="00DC57C9"/>
    <w:rsid w:val="00DC7CDD"/>
    <w:rsid w:val="00DD00D1"/>
    <w:rsid w:val="00DE0FB5"/>
    <w:rsid w:val="00DE3525"/>
    <w:rsid w:val="00DE73C0"/>
    <w:rsid w:val="00DF253D"/>
    <w:rsid w:val="00DF68DD"/>
    <w:rsid w:val="00E018EC"/>
    <w:rsid w:val="00E26F92"/>
    <w:rsid w:val="00E32033"/>
    <w:rsid w:val="00E372BA"/>
    <w:rsid w:val="00E4083A"/>
    <w:rsid w:val="00E40AF3"/>
    <w:rsid w:val="00E55632"/>
    <w:rsid w:val="00E57BCE"/>
    <w:rsid w:val="00E67F3D"/>
    <w:rsid w:val="00E73D0F"/>
    <w:rsid w:val="00E81F12"/>
    <w:rsid w:val="00E83059"/>
    <w:rsid w:val="00E93297"/>
    <w:rsid w:val="00EA09FD"/>
    <w:rsid w:val="00EA2E2C"/>
    <w:rsid w:val="00EA36BB"/>
    <w:rsid w:val="00EA48F6"/>
    <w:rsid w:val="00EC1C88"/>
    <w:rsid w:val="00EC5FBA"/>
    <w:rsid w:val="00ED463E"/>
    <w:rsid w:val="00ED5742"/>
    <w:rsid w:val="00EE6308"/>
    <w:rsid w:val="00EE71A7"/>
    <w:rsid w:val="00EF2FB8"/>
    <w:rsid w:val="00EF5AA6"/>
    <w:rsid w:val="00F03A98"/>
    <w:rsid w:val="00F10437"/>
    <w:rsid w:val="00F10A7C"/>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57F6"/>
    <w:rsid w:val="00FA6412"/>
    <w:rsid w:val="00FC00F5"/>
    <w:rsid w:val="00FC22B3"/>
    <w:rsid w:val="00FC7B80"/>
    <w:rsid w:val="00FD40E4"/>
    <w:rsid w:val="00FD4210"/>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BodyTextIn">
    <w:name w:val="Body Text In"/>
    <w:rsid w:val="007D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academic/provost/undergrad_studies/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cws.auburn.edu/studentAffairs/healthAndWellnes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6F02-3215-6647-8183-31209259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3</cp:revision>
  <cp:lastPrinted>2019-01-11T19:42:00Z</cp:lastPrinted>
  <dcterms:created xsi:type="dcterms:W3CDTF">2019-01-11T19:42:00Z</dcterms:created>
  <dcterms:modified xsi:type="dcterms:W3CDTF">2019-01-11T19:42:00Z</dcterms:modified>
</cp:coreProperties>
</file>