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63DEDA28"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96EFA">
        <w:rPr>
          <w:color w:val="000000" w:themeColor="text1"/>
        </w:rPr>
        <w:t>3</w:t>
      </w:r>
      <w:r w:rsidR="00EB3523">
        <w:rPr>
          <w:color w:val="000000" w:themeColor="text1"/>
        </w:rPr>
        <w:t xml:space="preserve">-001 </w:t>
      </w:r>
      <w:r w:rsidR="005036FB" w:rsidRPr="00A62238">
        <w:rPr>
          <w:color w:val="000000" w:themeColor="text1"/>
        </w:rPr>
        <w:t>(</w:t>
      </w:r>
      <w:r w:rsidR="00EB3523">
        <w:rPr>
          <w:color w:val="000000" w:themeColor="text1"/>
        </w:rPr>
        <w:t>Spring 2021</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779073D4" w:rsidR="00A62238" w:rsidRDefault="00A62238" w:rsidP="00A62238">
      <w:pPr>
        <w:spacing w:line="240" w:lineRule="auto"/>
        <w:contextualSpacing/>
      </w:pPr>
      <w:r w:rsidRPr="006F3769">
        <w:rPr>
          <w:rStyle w:val="Heading4Char"/>
        </w:rPr>
        <w:t>Course Number:</w:t>
      </w:r>
      <w:r w:rsidR="004011C6">
        <w:t xml:space="preserve">  </w:t>
      </w:r>
      <w:r w:rsidR="00840B83">
        <w:t>KINE 36</w:t>
      </w:r>
      <w:r w:rsidR="00EB3523">
        <w:t>23</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119BDB8C" w:rsidR="002040C4" w:rsidRPr="00A62238" w:rsidRDefault="002040C4" w:rsidP="00C475B8">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C475B8" w:rsidRPr="00A62238">
        <w:rPr>
          <w:rFonts w:cs="Arial"/>
          <w:bCs/>
          <w:color w:val="000000" w:themeColor="text1"/>
        </w:rPr>
        <w:t>M</w:t>
      </w:r>
      <w:r w:rsidR="003307B2">
        <w:rPr>
          <w:rFonts w:cs="Arial"/>
          <w:bCs/>
          <w:color w:val="000000" w:themeColor="text1"/>
        </w:rPr>
        <w:t>: 10-11; TR: 2-3</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679B83A3"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Teaching Assistant</w:t>
      </w:r>
      <w:r w:rsidRPr="00173AD3">
        <w:rPr>
          <w:rFonts w:cs="Arial"/>
          <w:bCs/>
          <w:color w:val="000000" w:themeColor="text1"/>
        </w:rPr>
        <w:t xml:space="preserve">: Ms. Imani Hill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Office Hours: schedule by appointment</w:t>
      </w:r>
    </w:p>
    <w:p w14:paraId="6CB1245D" w14:textId="1AB1A8D1" w:rsidR="00173AD3" w:rsidRDefault="00173AD3" w:rsidP="00173AD3">
      <w:pPr>
        <w:autoSpaceDE w:val="0"/>
        <w:autoSpaceDN w:val="0"/>
        <w:adjustRightInd w:val="0"/>
        <w:spacing w:after="0" w:line="240" w:lineRule="auto"/>
        <w:rPr>
          <w:rFonts w:cs="Arial"/>
          <w:bCs/>
          <w:color w:val="000000" w:themeColor="text1"/>
        </w:rPr>
      </w:pPr>
      <w:r w:rsidRPr="00173AD3">
        <w:rPr>
          <w:rFonts w:cs="Arial"/>
          <w:bCs/>
          <w:color w:val="000000" w:themeColor="text1"/>
        </w:rPr>
        <w:t>Email: inh0005@auburn.edu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04F349C9" w:rsidR="002040C4" w:rsidRPr="004011C6" w:rsidRDefault="003307B2" w:rsidP="002040C4">
      <w:pPr>
        <w:autoSpaceDE w:val="0"/>
        <w:autoSpaceDN w:val="0"/>
        <w:adjustRightInd w:val="0"/>
        <w:spacing w:after="0" w:line="240" w:lineRule="auto"/>
        <w:rPr>
          <w:rFonts w:cs="Arial"/>
          <w:bCs/>
        </w:rPr>
      </w:pPr>
      <w:r>
        <w:rPr>
          <w:rFonts w:cs="Arial"/>
          <w:bCs/>
        </w:rPr>
        <w:t xml:space="preserve">Tuesdays &amp; Thursdays: </w:t>
      </w:r>
      <w:r w:rsidR="004B5592">
        <w:rPr>
          <w:rFonts w:cs="Arial"/>
          <w:bCs/>
        </w:rPr>
        <w:t>8:00 AM – 9:15</w:t>
      </w:r>
      <w:r w:rsidR="00EB3523">
        <w:rPr>
          <w:rFonts w:cs="Arial"/>
          <w:bCs/>
        </w:rPr>
        <w:t xml:space="preserve"> AM</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75195A17" w14:textId="5D195AF9" w:rsidR="00EB3523" w:rsidRDefault="00EB3523" w:rsidP="00173AD3">
      <w:pPr>
        <w:autoSpaceDE w:val="0"/>
        <w:autoSpaceDN w:val="0"/>
        <w:adjustRightInd w:val="0"/>
        <w:spacing w:after="0" w:line="240" w:lineRule="auto"/>
      </w:pPr>
      <w:r>
        <w:t xml:space="preserve">This course will be broken down into 7 Parts: </w:t>
      </w:r>
      <w:r>
        <w:br/>
      </w:r>
      <w:r>
        <w:br/>
      </w:r>
      <w:r>
        <w:tab/>
        <w:t xml:space="preserve">1: Anatomical Fundamental (Definitions and Terminology) </w:t>
      </w:r>
      <w:r>
        <w:br/>
      </w:r>
      <w:r>
        <w:tab/>
        <w:t xml:space="preserve">2: Mechanical Fundamental (Definitions and Terminology) </w:t>
      </w:r>
      <w:r>
        <w:br/>
      </w:r>
      <w:r>
        <w:tab/>
        <w:t xml:space="preserve">3: Kinematics (Linear &amp; Angular) </w:t>
      </w:r>
      <w:r>
        <w:br/>
      </w:r>
      <w:r>
        <w:tab/>
        <w:t xml:space="preserve">4: Kinetics (Linear &amp; Angular) </w:t>
      </w:r>
      <w:r>
        <w:br/>
      </w:r>
      <w:r>
        <w:tab/>
        <w:t xml:space="preserve">5: Anatomical Foundational Concepts (Skeletal Framework &amp; Muscles) </w:t>
      </w:r>
      <w:r>
        <w:br/>
      </w:r>
      <w:r>
        <w:tab/>
        <w:t xml:space="preserve">6: Lower Extremity Functional Anatomy (Foot-Ankle Complex, Knee Region, Hip Region) </w:t>
      </w:r>
      <w:r>
        <w:br/>
      </w:r>
      <w:r>
        <w:tab/>
        <w:t>7: Upper Extremity Functional Anatomy (Wrist-Hand Complex, Elbow Region, Shoulder Region)</w:t>
      </w:r>
      <w:r>
        <w:br/>
      </w:r>
    </w:p>
    <w:p w14:paraId="4A7DB38C" w14:textId="1CBFFD33" w:rsidR="00173AD3" w:rsidRDefault="00173AD3" w:rsidP="00173AD3">
      <w:pPr>
        <w:autoSpaceDE w:val="0"/>
        <w:autoSpaceDN w:val="0"/>
        <w:adjustRightInd w:val="0"/>
        <w:spacing w:after="0" w:line="240" w:lineRule="auto"/>
      </w:pPr>
      <w:r>
        <w:t xml:space="preserve">Week 1.  Introduction to Biomechanics and </w:t>
      </w:r>
      <w:r w:rsidR="00EB3523">
        <w:t>Anatomical Fundamentals</w:t>
      </w:r>
    </w:p>
    <w:p w14:paraId="535DEA89" w14:textId="15F00EFD" w:rsidR="00173AD3" w:rsidRDefault="00173AD3" w:rsidP="00173AD3">
      <w:pPr>
        <w:autoSpaceDE w:val="0"/>
        <w:autoSpaceDN w:val="0"/>
        <w:adjustRightInd w:val="0"/>
        <w:spacing w:after="0" w:line="240" w:lineRule="auto"/>
      </w:pPr>
      <w:r>
        <w:t xml:space="preserve">Week 2.  </w:t>
      </w:r>
      <w:r w:rsidR="00EB3523">
        <w:t xml:space="preserve">Anatomical &amp; Mechanical Fundamentals </w:t>
      </w:r>
    </w:p>
    <w:p w14:paraId="54FB5A17" w14:textId="2D3C33C3" w:rsidR="00173AD3" w:rsidRDefault="00173AD3" w:rsidP="00173AD3">
      <w:pPr>
        <w:autoSpaceDE w:val="0"/>
        <w:autoSpaceDN w:val="0"/>
        <w:adjustRightInd w:val="0"/>
        <w:spacing w:after="0" w:line="240" w:lineRule="auto"/>
      </w:pPr>
      <w:r>
        <w:t xml:space="preserve">Week 3   </w:t>
      </w:r>
      <w:r w:rsidR="00EB3523">
        <w:t>Mechanical Fundamentals &amp; Kinematics</w:t>
      </w:r>
    </w:p>
    <w:p w14:paraId="49BC19C5" w14:textId="08396CF8" w:rsidR="00173AD3" w:rsidRDefault="00173AD3" w:rsidP="00173AD3">
      <w:pPr>
        <w:autoSpaceDE w:val="0"/>
        <w:autoSpaceDN w:val="0"/>
        <w:adjustRightInd w:val="0"/>
        <w:spacing w:after="0" w:line="240" w:lineRule="auto"/>
      </w:pPr>
      <w:r>
        <w:t xml:space="preserve">Week 4.  </w:t>
      </w:r>
      <w:r w:rsidR="00EB3523">
        <w:t xml:space="preserve">Kinematics </w:t>
      </w:r>
      <w:r>
        <w:t xml:space="preserve"> </w:t>
      </w:r>
    </w:p>
    <w:p w14:paraId="5035663E" w14:textId="5BEE9245" w:rsidR="00173AD3" w:rsidRDefault="00173AD3" w:rsidP="00173AD3">
      <w:pPr>
        <w:autoSpaceDE w:val="0"/>
        <w:autoSpaceDN w:val="0"/>
        <w:adjustRightInd w:val="0"/>
        <w:spacing w:after="0" w:line="240" w:lineRule="auto"/>
      </w:pPr>
      <w:r>
        <w:t xml:space="preserve">Week 5.  </w:t>
      </w:r>
      <w:r w:rsidR="00EB3523">
        <w:t>Kinematics &amp; Kinetics</w:t>
      </w:r>
    </w:p>
    <w:p w14:paraId="2BA043E6" w14:textId="06419FA2" w:rsidR="00173AD3" w:rsidRDefault="00173AD3" w:rsidP="00173AD3">
      <w:pPr>
        <w:autoSpaceDE w:val="0"/>
        <w:autoSpaceDN w:val="0"/>
        <w:adjustRightInd w:val="0"/>
        <w:spacing w:after="0" w:line="240" w:lineRule="auto"/>
      </w:pPr>
      <w:r>
        <w:t xml:space="preserve">Week 6. </w:t>
      </w:r>
      <w:r w:rsidR="00EB3523">
        <w:t>Kinetics</w:t>
      </w:r>
      <w:r>
        <w:t xml:space="preserve"> &amp; </w:t>
      </w:r>
      <w:r w:rsidR="00EB3523">
        <w:t>Anatomical Foundational Concepts</w:t>
      </w:r>
    </w:p>
    <w:p w14:paraId="0C8A8B50" w14:textId="262633E4" w:rsidR="00173AD3" w:rsidRDefault="00173AD3" w:rsidP="00173AD3">
      <w:pPr>
        <w:autoSpaceDE w:val="0"/>
        <w:autoSpaceDN w:val="0"/>
        <w:adjustRightInd w:val="0"/>
        <w:spacing w:after="0" w:line="240" w:lineRule="auto"/>
      </w:pPr>
      <w:r>
        <w:t xml:space="preserve">Week 7. </w:t>
      </w:r>
      <w:r w:rsidR="00EB3523">
        <w:t xml:space="preserve">Anatomical Foundational Concepts </w:t>
      </w:r>
      <w:r w:rsidR="00EB3523">
        <w:br/>
      </w:r>
      <w:r>
        <w:t xml:space="preserve">Week 8. </w:t>
      </w:r>
      <w:r w:rsidR="00EB3523">
        <w:t>Anatomical Foundational Concepts</w:t>
      </w:r>
    </w:p>
    <w:p w14:paraId="3A0F2EDD" w14:textId="59231E1F" w:rsidR="00173AD3" w:rsidRDefault="00173AD3" w:rsidP="00173AD3">
      <w:pPr>
        <w:autoSpaceDE w:val="0"/>
        <w:autoSpaceDN w:val="0"/>
        <w:adjustRightInd w:val="0"/>
        <w:spacing w:after="0" w:line="240" w:lineRule="auto"/>
      </w:pPr>
      <w:r>
        <w:t xml:space="preserve">Week 9. </w:t>
      </w:r>
      <w:r w:rsidR="00EB3523">
        <w:t xml:space="preserve">Anatomical Foundational Concepts &amp; </w:t>
      </w:r>
      <w:r>
        <w:t xml:space="preserve">Functional Anatomy (The Foot-Ankle Complex) </w:t>
      </w:r>
    </w:p>
    <w:p w14:paraId="7385B3F7" w14:textId="77777777" w:rsidR="00173AD3" w:rsidRDefault="00173AD3" w:rsidP="00173AD3">
      <w:pPr>
        <w:autoSpaceDE w:val="0"/>
        <w:autoSpaceDN w:val="0"/>
        <w:adjustRightInd w:val="0"/>
        <w:spacing w:after="0" w:line="240" w:lineRule="auto"/>
      </w:pPr>
      <w:r>
        <w:t>Week 10. Functional Anatomy (The Knee &amp; Hip Region)</w:t>
      </w:r>
    </w:p>
    <w:p w14:paraId="6B560935" w14:textId="77777777" w:rsidR="00173AD3" w:rsidRDefault="00173AD3" w:rsidP="00173AD3">
      <w:pPr>
        <w:autoSpaceDE w:val="0"/>
        <w:autoSpaceDN w:val="0"/>
        <w:adjustRightInd w:val="0"/>
        <w:spacing w:after="0" w:line="240" w:lineRule="auto"/>
      </w:pPr>
      <w:r>
        <w:t>Week 11.  Functional Anatomy (The Hip &amp; Shoulder Region)</w:t>
      </w:r>
    </w:p>
    <w:p w14:paraId="5EAC2778" w14:textId="77777777" w:rsidR="00173AD3" w:rsidRDefault="00173AD3" w:rsidP="00173AD3">
      <w:pPr>
        <w:autoSpaceDE w:val="0"/>
        <w:autoSpaceDN w:val="0"/>
        <w:adjustRightInd w:val="0"/>
        <w:spacing w:after="0" w:line="240" w:lineRule="auto"/>
      </w:pPr>
      <w:r>
        <w:t>Week 12. Functional Anatomy (The Shoulder Region)</w:t>
      </w:r>
    </w:p>
    <w:p w14:paraId="0D73121F" w14:textId="77777777" w:rsidR="00173AD3" w:rsidRDefault="00173AD3" w:rsidP="00173AD3">
      <w:pPr>
        <w:autoSpaceDE w:val="0"/>
        <w:autoSpaceDN w:val="0"/>
        <w:adjustRightInd w:val="0"/>
        <w:spacing w:after="0" w:line="240" w:lineRule="auto"/>
      </w:pPr>
      <w:r>
        <w:t>Week 13. Functional Anatomy (The Elbow Region &amp; Wrist-Hand Complex)</w:t>
      </w:r>
    </w:p>
    <w:p w14:paraId="128AD57A" w14:textId="77777777" w:rsidR="00173AD3" w:rsidRDefault="00173AD3" w:rsidP="00173AD3">
      <w:pPr>
        <w:autoSpaceDE w:val="0"/>
        <w:autoSpaceDN w:val="0"/>
        <w:adjustRightInd w:val="0"/>
        <w:spacing w:after="0" w:line="240" w:lineRule="auto"/>
      </w:pPr>
      <w:r>
        <w:t xml:space="preserve">Week 14. Functional Anatomy (Wrist-Hand Complex) </w:t>
      </w:r>
    </w:p>
    <w:p w14:paraId="40298AC7" w14:textId="598D739C" w:rsidR="00BB1705" w:rsidRDefault="00173AD3" w:rsidP="00173AD3">
      <w:pPr>
        <w:autoSpaceDE w:val="0"/>
        <w:autoSpaceDN w:val="0"/>
        <w:adjustRightInd w:val="0"/>
        <w:spacing w:after="0" w:line="240" w:lineRule="auto"/>
        <w:rPr>
          <w:rFonts w:cs="Arial"/>
          <w:b/>
          <w:bCs/>
          <w:color w:val="000000"/>
        </w:rPr>
      </w:pPr>
      <w:r>
        <w:t xml:space="preserve">Week 15. Functional Anatomy (Wrist-Hand Complex) </w:t>
      </w:r>
      <w:r w:rsidR="00EB3523">
        <w:br/>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4079AE0C"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Exams......40</w:t>
      </w:r>
      <w:r w:rsidR="00B855D4">
        <w:t>%</w:t>
      </w:r>
    </w:p>
    <w:p w14:paraId="2FB97BC9" w14:textId="637047BB"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t>25</w:t>
      </w:r>
      <w:bookmarkStart w:id="0" w:name="_GoBack"/>
      <w:bookmarkEnd w:id="0"/>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lastRenderedPageBreak/>
        <w:t>Class Policy Statements:</w:t>
      </w:r>
    </w:p>
    <w:p w14:paraId="48F98232" w14:textId="7CAE4781" w:rsidR="00173AD3" w:rsidRDefault="00096BBC" w:rsidP="00173AD3">
      <w:pPr>
        <w:ind w:left="680" w:hanging="320"/>
      </w:pPr>
      <w:r w:rsidRPr="00096BBC">
        <w:rPr>
          <w:rStyle w:val="Heading4Char"/>
        </w:rPr>
        <w:t>Participation:</w:t>
      </w:r>
      <w:r>
        <w:t xml:space="preserve">  Students are expected to participate in all class discussions and participate in all h</w:t>
      </w:r>
      <w:r w:rsidR="00173AD3">
        <w:t>omework</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 xml:space="preserve">Students who miss the normal exams will need to contact the instructor and turn in the valid excuse within 48 hours from the time that the exams were given. The makeup exam schedule is </w:t>
      </w:r>
      <w:r w:rsidRPr="003A214C">
        <w:rPr>
          <w:spacing w:val="-5"/>
        </w:rPr>
        <w:lastRenderedPageBreak/>
        <w:t>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lastRenderedPageBreak/>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DC0D" w14:textId="77777777" w:rsidR="00D111F7" w:rsidRDefault="00D111F7">
      <w:pPr>
        <w:spacing w:after="0" w:line="240" w:lineRule="auto"/>
      </w:pPr>
      <w:r>
        <w:separator/>
      </w:r>
    </w:p>
  </w:endnote>
  <w:endnote w:type="continuationSeparator" w:id="0">
    <w:p w14:paraId="2BF16A6B" w14:textId="77777777" w:rsidR="00D111F7" w:rsidRDefault="00D1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E6D7" w14:textId="77777777" w:rsidR="00D111F7" w:rsidRDefault="00D111F7">
      <w:pPr>
        <w:spacing w:after="0" w:line="240" w:lineRule="auto"/>
      </w:pPr>
      <w:r>
        <w:separator/>
      </w:r>
    </w:p>
  </w:footnote>
  <w:footnote w:type="continuationSeparator" w:id="0">
    <w:p w14:paraId="5FD4FAE5" w14:textId="77777777" w:rsidR="00D111F7" w:rsidRDefault="00D1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E2692"/>
    <w:rsid w:val="00102737"/>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D692D"/>
    <w:rsid w:val="004011C6"/>
    <w:rsid w:val="00416A6B"/>
    <w:rsid w:val="004B5592"/>
    <w:rsid w:val="004C7089"/>
    <w:rsid w:val="004E05C0"/>
    <w:rsid w:val="004F3D3A"/>
    <w:rsid w:val="005036FB"/>
    <w:rsid w:val="00565DBF"/>
    <w:rsid w:val="0059327A"/>
    <w:rsid w:val="006722F5"/>
    <w:rsid w:val="006F3769"/>
    <w:rsid w:val="006F4CDD"/>
    <w:rsid w:val="00817541"/>
    <w:rsid w:val="00840B83"/>
    <w:rsid w:val="008542C2"/>
    <w:rsid w:val="0091076B"/>
    <w:rsid w:val="00955D14"/>
    <w:rsid w:val="0099455C"/>
    <w:rsid w:val="009C3C2C"/>
    <w:rsid w:val="009F7ABE"/>
    <w:rsid w:val="00A53706"/>
    <w:rsid w:val="00A62238"/>
    <w:rsid w:val="00A63956"/>
    <w:rsid w:val="00B1432E"/>
    <w:rsid w:val="00B53412"/>
    <w:rsid w:val="00B7516C"/>
    <w:rsid w:val="00B81AC6"/>
    <w:rsid w:val="00B855D4"/>
    <w:rsid w:val="00BB1705"/>
    <w:rsid w:val="00C42E4D"/>
    <w:rsid w:val="00C43CB2"/>
    <w:rsid w:val="00C475B8"/>
    <w:rsid w:val="00C52705"/>
    <w:rsid w:val="00C6562D"/>
    <w:rsid w:val="00C807C4"/>
    <w:rsid w:val="00D111F7"/>
    <w:rsid w:val="00D23B5F"/>
    <w:rsid w:val="00D60CEF"/>
    <w:rsid w:val="00D734E6"/>
    <w:rsid w:val="00DD6142"/>
    <w:rsid w:val="00E067B6"/>
    <w:rsid w:val="00E17B77"/>
    <w:rsid w:val="00E85C4E"/>
    <w:rsid w:val="00EB1784"/>
    <w:rsid w:val="00EB3523"/>
    <w:rsid w:val="00EE1C8B"/>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2016-04-13T20:25:00Z</cp:lastPrinted>
  <dcterms:created xsi:type="dcterms:W3CDTF">2021-01-06T20:23:00Z</dcterms:created>
  <dcterms:modified xsi:type="dcterms:W3CDTF">2021-01-06T20:27:00Z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