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6D34FECA" w:rsidR="00063F17" w:rsidRDefault="00063F17" w:rsidP="00F16C63">
      <w:pPr>
        <w:jc w:val="center"/>
        <w:rPr>
          <w:color w:val="E36C0A" w:themeColor="accent6" w:themeShade="BF"/>
          <w:sz w:val="32"/>
        </w:rPr>
      </w:pPr>
    </w:p>
    <w:p w14:paraId="5F5D4868" w14:textId="18A7E30D" w:rsidR="00F03A98" w:rsidRPr="004470E7" w:rsidRDefault="00CF1D5B" w:rsidP="00094C6D">
      <w:pPr>
        <w:rPr>
          <w:b/>
          <w:color w:val="E36C0A" w:themeColor="accent6" w:themeShade="BF"/>
          <w:sz w:val="32"/>
        </w:rPr>
      </w:pPr>
      <w:r w:rsidRPr="00E32193">
        <w:rPr>
          <w:noProof/>
          <w:color w:val="E36C0A" w:themeColor="accent6" w:themeShade="BF"/>
          <w:sz w:val="32"/>
        </w:rPr>
        <w:drawing>
          <wp:anchor distT="0" distB="0" distL="114300" distR="114300" simplePos="0" relativeHeight="251658240"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0729E7">
        <w:rPr>
          <w:b/>
          <w:color w:val="E36C0A" w:themeColor="accent6" w:themeShade="BF"/>
          <w:sz w:val="32"/>
        </w:rPr>
        <w:t>78</w:t>
      </w:r>
      <w:r w:rsidR="00E32193">
        <w:rPr>
          <w:b/>
          <w:color w:val="E36C0A" w:themeColor="accent6" w:themeShade="BF"/>
          <w:sz w:val="32"/>
        </w:rPr>
        <w:t>00</w:t>
      </w:r>
      <w:r w:rsidR="00053C1D">
        <w:rPr>
          <w:b/>
          <w:color w:val="E36C0A" w:themeColor="accent6" w:themeShade="BF"/>
          <w:sz w:val="32"/>
        </w:rPr>
        <w:t xml:space="preserve"> and 7800D</w:t>
      </w:r>
      <w:r w:rsidR="00BF5477">
        <w:rPr>
          <w:b/>
          <w:color w:val="E36C0A" w:themeColor="accent6" w:themeShade="BF"/>
          <w:sz w:val="32"/>
        </w:rPr>
        <w:t xml:space="preserve"> </w:t>
      </w:r>
      <w:r w:rsidR="00D7283C">
        <w:rPr>
          <w:b/>
          <w:color w:val="E36C0A" w:themeColor="accent6" w:themeShade="BF"/>
          <w:sz w:val="32"/>
        </w:rPr>
        <w:t>Spring 202</w:t>
      </w:r>
      <w:r w:rsidR="00FE20B5">
        <w:rPr>
          <w:b/>
          <w:color w:val="E36C0A" w:themeColor="accent6" w:themeShade="BF"/>
          <w:sz w:val="32"/>
        </w:rPr>
        <w:t>3</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0A138C66" w:rsidR="00C62A26" w:rsidRDefault="00F16C63" w:rsidP="00CB4ADC">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CB4ADC">
        <w:rPr>
          <w:color w:val="1F497D" w:themeColor="text2"/>
        </w:rPr>
        <w:t xml:space="preserve">Capstone in </w:t>
      </w:r>
      <w:r w:rsidR="00D32B9C">
        <w:rPr>
          <w:color w:val="1F497D" w:themeColor="text2"/>
        </w:rPr>
        <w:t>Teaching &amp; Learning</w:t>
      </w:r>
    </w:p>
    <w:p w14:paraId="0300A51C" w14:textId="497B0356" w:rsidR="00F03A98" w:rsidRDefault="00993305" w:rsidP="00734199">
      <w:pPr>
        <w:ind w:left="2880" w:hanging="2880"/>
        <w:rPr>
          <w:color w:val="1F497D" w:themeColor="text2"/>
        </w:rPr>
      </w:pPr>
      <w:r>
        <w:rPr>
          <w:color w:val="1F497D" w:themeColor="text2"/>
        </w:rPr>
        <w:t xml:space="preserve">Room and Schedule: </w:t>
      </w:r>
      <w:r w:rsidR="007212C6">
        <w:rPr>
          <w:color w:val="1F497D" w:themeColor="text2"/>
        </w:rPr>
        <w:t xml:space="preserve">Haley Center </w:t>
      </w:r>
      <w:r w:rsidR="00A56B8B">
        <w:rPr>
          <w:color w:val="1F497D" w:themeColor="text2"/>
        </w:rPr>
        <w:t>5080</w:t>
      </w:r>
      <w:r w:rsidR="007212C6">
        <w:rPr>
          <w:color w:val="1F497D" w:themeColor="text2"/>
        </w:rPr>
        <w:t xml:space="preserve"> </w:t>
      </w:r>
      <w:r w:rsidR="00A56B8B">
        <w:rPr>
          <w:color w:val="1F497D" w:themeColor="text2"/>
        </w:rPr>
        <w:t>Time/Day TBA</w:t>
      </w:r>
    </w:p>
    <w:p w14:paraId="0A68EB89" w14:textId="65FD5B06" w:rsidR="00D06A60" w:rsidRDefault="00D06A60" w:rsidP="00AD5211">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r w:rsidR="00FE3392">
        <w:rPr>
          <w:color w:val="1F497D" w:themeColor="text2"/>
        </w:rPr>
        <w:t xml:space="preserve"> </w:t>
      </w:r>
    </w:p>
    <w:p w14:paraId="5C63C520" w14:textId="6C5D82B1"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3DCBCE94" w:rsidR="00F03A98" w:rsidRDefault="003062E4" w:rsidP="00385F7B">
      <w:pPr>
        <w:adjustRightInd w:val="0"/>
        <w:contextualSpacing/>
        <w:rPr>
          <w:color w:val="000000"/>
          <w:sz w:val="22"/>
          <w:szCs w:val="22"/>
        </w:rPr>
      </w:pPr>
      <w:r>
        <w:rPr>
          <w:color w:val="000000"/>
          <w:sz w:val="22"/>
          <w:szCs w:val="22"/>
        </w:rPr>
        <w:t xml:space="preserve">This course will serve as a capstone for the graduate teaching and learning degree program.  Students will compile </w:t>
      </w:r>
      <w:r w:rsidR="00DD2FF3">
        <w:rPr>
          <w:color w:val="000000"/>
          <w:sz w:val="22"/>
          <w:szCs w:val="22"/>
        </w:rPr>
        <w:t xml:space="preserve">artifacts for presentation and discussion that will demonstrate their learning throughout the degree program.  Students will develop a unique portfolio based on professional interest and demonstrate the ability to foster student achievement through the design, implementation, and assessment of learning activities.  </w:t>
      </w:r>
    </w:p>
    <w:p w14:paraId="7929F5D3" w14:textId="77777777" w:rsidR="00385F7B" w:rsidRPr="00385F7B" w:rsidRDefault="00385F7B" w:rsidP="00385F7B">
      <w:pPr>
        <w:adjustRightInd w:val="0"/>
        <w:contextualSpacing/>
        <w:rPr>
          <w:color w:val="000000"/>
          <w:sz w:val="22"/>
          <w:szCs w:val="22"/>
        </w:rPr>
      </w:pPr>
    </w:p>
    <w:p w14:paraId="73D1C5AC" w14:textId="77777777" w:rsidR="00AD5211" w:rsidRDefault="005E0F16" w:rsidP="00AD5211">
      <w:pPr>
        <w:widowControl w:val="0"/>
        <w:autoSpaceDE w:val="0"/>
        <w:autoSpaceDN w:val="0"/>
        <w:adjustRightInd w:val="0"/>
        <w:spacing w:before="120"/>
        <w:rPr>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011C5FD4" w14:textId="701375BF" w:rsidR="00AD5211" w:rsidRDefault="0001170B" w:rsidP="00AD5211">
      <w:pPr>
        <w:widowControl w:val="0"/>
        <w:autoSpaceDE w:val="0"/>
        <w:autoSpaceDN w:val="0"/>
        <w:adjustRightInd w:val="0"/>
        <w:spacing w:before="120"/>
        <w:rPr>
          <w:bCs/>
          <w:sz w:val="22"/>
          <w:szCs w:val="22"/>
        </w:rPr>
      </w:pPr>
      <w:r>
        <w:rPr>
          <w:bCs/>
          <w:sz w:val="22"/>
          <w:szCs w:val="22"/>
        </w:rPr>
        <w:t>All assigned readings will be provided in Canvas for Spring 2022</w:t>
      </w:r>
    </w:p>
    <w:p w14:paraId="2AFC81F6" w14:textId="41BFBD66" w:rsidR="000D1F10" w:rsidRDefault="000D1F10" w:rsidP="00AD5211">
      <w:pPr>
        <w:widowControl w:val="0"/>
        <w:autoSpaceDE w:val="0"/>
        <w:autoSpaceDN w:val="0"/>
        <w:adjustRightInd w:val="0"/>
        <w:spacing w:before="120"/>
        <w:rPr>
          <w:b/>
          <w:bCs/>
          <w:sz w:val="22"/>
          <w:szCs w:val="22"/>
          <w:u w:val="single"/>
        </w:rPr>
      </w:pPr>
      <w:r w:rsidRPr="00D27DD6">
        <w:rPr>
          <w:b/>
          <w:bCs/>
          <w:sz w:val="22"/>
          <w:szCs w:val="22"/>
          <w:u w:val="single"/>
        </w:rPr>
        <w:t>Course Objectives:</w:t>
      </w:r>
    </w:p>
    <w:p w14:paraId="082BABF7" w14:textId="730574F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00DD2FF3">
        <w:rPr>
          <w:rFonts w:ascii="Times" w:hAnsi="Times"/>
          <w:color w:val="1F497D" w:themeColor="text2"/>
          <w:sz w:val="22"/>
          <w:szCs w:val="22"/>
        </w:rPr>
        <w:t xml:space="preserve">Design and implement appropriate educational instruction </w:t>
      </w:r>
    </w:p>
    <w:p w14:paraId="0E70CF51" w14:textId="1A258513"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00DD2FF3">
        <w:rPr>
          <w:rFonts w:ascii="Times" w:hAnsi="Times"/>
          <w:color w:val="1F497D" w:themeColor="text2"/>
          <w:sz w:val="22"/>
          <w:szCs w:val="22"/>
        </w:rPr>
        <w:t>Implement instructional design based on research</w:t>
      </w:r>
    </w:p>
    <w:p w14:paraId="18CE0CD4" w14:textId="3599D39E"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3.  </w:t>
      </w:r>
      <w:r w:rsidR="00DD2FF3">
        <w:rPr>
          <w:rFonts w:ascii="Times" w:hAnsi="Times"/>
          <w:color w:val="1F497D" w:themeColor="text2"/>
          <w:sz w:val="22"/>
          <w:szCs w:val="22"/>
        </w:rPr>
        <w:t xml:space="preserve">Develop appropriate curriculum materials </w:t>
      </w:r>
    </w:p>
    <w:p w14:paraId="33CECF8C" w14:textId="39B31262"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4.  </w:t>
      </w:r>
      <w:r w:rsidR="00DD2FF3">
        <w:rPr>
          <w:rFonts w:ascii="Times" w:hAnsi="Times"/>
          <w:color w:val="1F497D" w:themeColor="text2"/>
          <w:sz w:val="22"/>
          <w:szCs w:val="22"/>
        </w:rPr>
        <w:t xml:space="preserve">Develop appropriate assessment instruments </w:t>
      </w:r>
    </w:p>
    <w:p w14:paraId="1FFCFFFC" w14:textId="214C413C"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5.  </w:t>
      </w:r>
      <w:r w:rsidR="00DD2FF3">
        <w:rPr>
          <w:rFonts w:ascii="Times" w:hAnsi="Times"/>
          <w:color w:val="1F497D" w:themeColor="text2"/>
          <w:sz w:val="22"/>
          <w:szCs w:val="22"/>
        </w:rPr>
        <w:t>Design appropriate learning experiences for diverse populations</w:t>
      </w:r>
    </w:p>
    <w:p w14:paraId="4856985F" w14:textId="71640BD7"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 xml:space="preserve">6.  </w:t>
      </w:r>
      <w:r w:rsidR="00DD2FF3">
        <w:rPr>
          <w:rFonts w:ascii="Times" w:hAnsi="Times"/>
          <w:color w:val="1F497D" w:themeColor="text2"/>
          <w:sz w:val="22"/>
          <w:szCs w:val="22"/>
        </w:rPr>
        <w:t>Exhibit advanced professional d</w:t>
      </w:r>
      <w:r w:rsidR="006F6FA4">
        <w:rPr>
          <w:rFonts w:ascii="Times" w:hAnsi="Times"/>
          <w:color w:val="1F497D" w:themeColor="text2"/>
          <w:sz w:val="22"/>
          <w:szCs w:val="22"/>
        </w:rPr>
        <w:t>i</w:t>
      </w:r>
      <w:r w:rsidR="00DD2FF3">
        <w:rPr>
          <w:rFonts w:ascii="Times" w:hAnsi="Times"/>
          <w:color w:val="1F497D" w:themeColor="text2"/>
          <w:sz w:val="22"/>
          <w:szCs w:val="22"/>
        </w:rPr>
        <w:t>spositions within a community of scholars</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C6123F" w:rsidRPr="00C341A3" w14:paraId="3AC6B8E0" w14:textId="77777777" w:rsidTr="00C6123F">
        <w:tc>
          <w:tcPr>
            <w:tcW w:w="2718" w:type="dxa"/>
            <w:shd w:val="clear" w:color="auto" w:fill="D9D9D9" w:themeFill="background1" w:themeFillShade="D9"/>
          </w:tcPr>
          <w:p w14:paraId="79F64963" w14:textId="77777777" w:rsidR="00C6123F" w:rsidRPr="00D27DD6" w:rsidRDefault="00C6123F" w:rsidP="0008755B">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23CAEBD9" w14:textId="77777777" w:rsidR="00C6123F" w:rsidRPr="00D27DD6" w:rsidRDefault="00C6123F" w:rsidP="0008755B">
            <w:pPr>
              <w:adjustRightInd w:val="0"/>
              <w:contextualSpacing/>
              <w:jc w:val="center"/>
              <w:rPr>
                <w:bCs/>
                <w:sz w:val="22"/>
              </w:rPr>
            </w:pPr>
            <w:r w:rsidRPr="00D27DD6">
              <w:rPr>
                <w:bCs/>
                <w:sz w:val="22"/>
              </w:rPr>
              <w:t>Percentage</w:t>
            </w:r>
          </w:p>
        </w:tc>
      </w:tr>
      <w:tr w:rsidR="00BB20C2" w:rsidRPr="00F60659" w14:paraId="7CD77711" w14:textId="77777777" w:rsidTr="00C6123F">
        <w:tc>
          <w:tcPr>
            <w:tcW w:w="2718" w:type="dxa"/>
            <w:vAlign w:val="center"/>
          </w:tcPr>
          <w:p w14:paraId="654CC3AF" w14:textId="70FFB6BE" w:rsidR="00BB20C2" w:rsidRDefault="00BB20C2" w:rsidP="0008755B">
            <w:pPr>
              <w:adjustRightInd w:val="0"/>
              <w:contextualSpacing/>
              <w:rPr>
                <w:bCs/>
                <w:sz w:val="22"/>
              </w:rPr>
            </w:pPr>
            <w:r>
              <w:rPr>
                <w:bCs/>
                <w:sz w:val="22"/>
              </w:rPr>
              <w:t>Attendance &amp; Participation</w:t>
            </w:r>
          </w:p>
        </w:tc>
        <w:tc>
          <w:tcPr>
            <w:tcW w:w="2160" w:type="dxa"/>
          </w:tcPr>
          <w:p w14:paraId="4CFC0EFA" w14:textId="1D1282B3" w:rsidR="00BB20C2" w:rsidRPr="00D27DD6" w:rsidRDefault="00BB20C2" w:rsidP="0008755B">
            <w:pPr>
              <w:adjustRightInd w:val="0"/>
              <w:contextualSpacing/>
              <w:jc w:val="center"/>
              <w:rPr>
                <w:bCs/>
                <w:sz w:val="22"/>
              </w:rPr>
            </w:pPr>
            <w:r>
              <w:rPr>
                <w:bCs/>
                <w:sz w:val="22"/>
              </w:rPr>
              <w:t>10%</w:t>
            </w:r>
          </w:p>
        </w:tc>
      </w:tr>
      <w:tr w:rsidR="00293D51" w:rsidRPr="00F60659" w14:paraId="282EA4DF" w14:textId="77777777" w:rsidTr="00C6123F">
        <w:tc>
          <w:tcPr>
            <w:tcW w:w="2718" w:type="dxa"/>
            <w:vAlign w:val="center"/>
          </w:tcPr>
          <w:p w14:paraId="39FEB89A" w14:textId="13A90CDE" w:rsidR="00293D51" w:rsidRDefault="0001170B" w:rsidP="0008755B">
            <w:pPr>
              <w:adjustRightInd w:val="0"/>
              <w:contextualSpacing/>
              <w:rPr>
                <w:bCs/>
                <w:sz w:val="22"/>
              </w:rPr>
            </w:pPr>
            <w:r>
              <w:rPr>
                <w:bCs/>
                <w:sz w:val="22"/>
              </w:rPr>
              <w:t xml:space="preserve">Independent Reading &amp; </w:t>
            </w:r>
            <w:r w:rsidR="00293D51">
              <w:rPr>
                <w:bCs/>
                <w:sz w:val="22"/>
              </w:rPr>
              <w:t>Discussion Lead Assignment</w:t>
            </w:r>
          </w:p>
        </w:tc>
        <w:tc>
          <w:tcPr>
            <w:tcW w:w="2160" w:type="dxa"/>
          </w:tcPr>
          <w:p w14:paraId="7BFCB167" w14:textId="67B5228E" w:rsidR="00293D51" w:rsidRDefault="00DF6AA1" w:rsidP="0008755B">
            <w:pPr>
              <w:adjustRightInd w:val="0"/>
              <w:contextualSpacing/>
              <w:jc w:val="center"/>
              <w:rPr>
                <w:bCs/>
                <w:sz w:val="22"/>
              </w:rPr>
            </w:pPr>
            <w:r>
              <w:rPr>
                <w:bCs/>
                <w:sz w:val="22"/>
              </w:rPr>
              <w:t>10%</w:t>
            </w:r>
          </w:p>
        </w:tc>
      </w:tr>
      <w:tr w:rsidR="00C6123F" w:rsidRPr="00F60659" w14:paraId="26418D1F" w14:textId="77777777" w:rsidTr="00C6123F">
        <w:tc>
          <w:tcPr>
            <w:tcW w:w="2718" w:type="dxa"/>
            <w:vAlign w:val="center"/>
          </w:tcPr>
          <w:p w14:paraId="74AF496E" w14:textId="1558BA21" w:rsidR="00C6123F" w:rsidRPr="00D27DD6" w:rsidRDefault="00DF6AA1" w:rsidP="0008755B">
            <w:pPr>
              <w:adjustRightInd w:val="0"/>
              <w:contextualSpacing/>
              <w:rPr>
                <w:bCs/>
                <w:sz w:val="22"/>
              </w:rPr>
            </w:pPr>
            <w:r>
              <w:rPr>
                <w:bCs/>
                <w:sz w:val="22"/>
              </w:rPr>
              <w:t xml:space="preserve">Significant </w:t>
            </w:r>
            <w:r w:rsidR="00DD2FF3">
              <w:rPr>
                <w:bCs/>
                <w:sz w:val="22"/>
              </w:rPr>
              <w:t>Learning Assignments</w:t>
            </w:r>
            <w:r w:rsidR="00BB20C2">
              <w:rPr>
                <w:bCs/>
                <w:sz w:val="22"/>
              </w:rPr>
              <w:t xml:space="preserve"> </w:t>
            </w:r>
          </w:p>
        </w:tc>
        <w:tc>
          <w:tcPr>
            <w:tcW w:w="2160" w:type="dxa"/>
          </w:tcPr>
          <w:p w14:paraId="51ED430E" w14:textId="77777777" w:rsidR="00C6123F" w:rsidRPr="00D27DD6" w:rsidRDefault="00C6123F" w:rsidP="0008755B">
            <w:pPr>
              <w:adjustRightInd w:val="0"/>
              <w:contextualSpacing/>
              <w:jc w:val="center"/>
              <w:rPr>
                <w:bCs/>
                <w:sz w:val="22"/>
              </w:rPr>
            </w:pPr>
          </w:p>
          <w:p w14:paraId="16326461" w14:textId="33F22A52" w:rsidR="00C6123F" w:rsidRPr="00D27DD6" w:rsidRDefault="00DD2FF3" w:rsidP="0008755B">
            <w:pPr>
              <w:adjustRightInd w:val="0"/>
              <w:contextualSpacing/>
              <w:jc w:val="center"/>
              <w:rPr>
                <w:bCs/>
                <w:sz w:val="22"/>
              </w:rPr>
            </w:pPr>
            <w:r>
              <w:rPr>
                <w:bCs/>
                <w:sz w:val="22"/>
              </w:rPr>
              <w:t>2</w:t>
            </w:r>
            <w:r w:rsidR="00C6688F">
              <w:rPr>
                <w:bCs/>
                <w:sz w:val="22"/>
              </w:rPr>
              <w:t>0%</w:t>
            </w:r>
          </w:p>
        </w:tc>
      </w:tr>
      <w:tr w:rsidR="00293D51" w:rsidRPr="00F60659" w14:paraId="51899EE1" w14:textId="77777777" w:rsidTr="00C6123F">
        <w:tc>
          <w:tcPr>
            <w:tcW w:w="2718" w:type="dxa"/>
            <w:vAlign w:val="center"/>
          </w:tcPr>
          <w:p w14:paraId="657FEFB2" w14:textId="68B438A9" w:rsidR="00293D51" w:rsidRDefault="00DF6AA1" w:rsidP="0008755B">
            <w:pPr>
              <w:adjustRightInd w:val="0"/>
              <w:contextualSpacing/>
              <w:rPr>
                <w:bCs/>
                <w:sz w:val="22"/>
              </w:rPr>
            </w:pPr>
            <w:r>
              <w:rPr>
                <w:bCs/>
                <w:sz w:val="22"/>
              </w:rPr>
              <w:t xml:space="preserve">Active Learning </w:t>
            </w:r>
            <w:r w:rsidR="00293D51">
              <w:rPr>
                <w:bCs/>
                <w:sz w:val="22"/>
              </w:rPr>
              <w:t>Microteaching</w:t>
            </w:r>
          </w:p>
        </w:tc>
        <w:tc>
          <w:tcPr>
            <w:tcW w:w="2160" w:type="dxa"/>
          </w:tcPr>
          <w:p w14:paraId="781B7CA4" w14:textId="13A9AD46" w:rsidR="00293D51" w:rsidRPr="00D27DD6" w:rsidRDefault="00DF6AA1" w:rsidP="0008755B">
            <w:pPr>
              <w:adjustRightInd w:val="0"/>
              <w:contextualSpacing/>
              <w:jc w:val="center"/>
              <w:rPr>
                <w:bCs/>
                <w:sz w:val="22"/>
              </w:rPr>
            </w:pPr>
            <w:r>
              <w:rPr>
                <w:bCs/>
                <w:sz w:val="22"/>
              </w:rPr>
              <w:t>20%</w:t>
            </w:r>
          </w:p>
        </w:tc>
      </w:tr>
      <w:tr w:rsidR="00C6123F" w:rsidRPr="00F60659" w14:paraId="36951938" w14:textId="77777777" w:rsidTr="00C6123F">
        <w:tc>
          <w:tcPr>
            <w:tcW w:w="2718" w:type="dxa"/>
            <w:shd w:val="clear" w:color="auto" w:fill="F2F2F2" w:themeFill="background1" w:themeFillShade="F2"/>
            <w:vAlign w:val="center"/>
          </w:tcPr>
          <w:p w14:paraId="2E8AC6EA" w14:textId="31BD0928" w:rsidR="00C6123F" w:rsidRPr="00D27DD6" w:rsidRDefault="007212C6" w:rsidP="0008755B">
            <w:pPr>
              <w:adjustRightInd w:val="0"/>
              <w:contextualSpacing/>
              <w:rPr>
                <w:bCs/>
                <w:sz w:val="22"/>
              </w:rPr>
            </w:pPr>
            <w:r>
              <w:rPr>
                <w:bCs/>
                <w:sz w:val="22"/>
              </w:rPr>
              <w:t xml:space="preserve">Professional </w:t>
            </w:r>
            <w:proofErr w:type="spellStart"/>
            <w:r w:rsidR="00A3198C">
              <w:rPr>
                <w:bCs/>
                <w:sz w:val="22"/>
              </w:rPr>
              <w:t>e</w:t>
            </w:r>
            <w:r>
              <w:rPr>
                <w:bCs/>
                <w:sz w:val="22"/>
              </w:rPr>
              <w:t>Portfolio</w:t>
            </w:r>
            <w:proofErr w:type="spellEnd"/>
          </w:p>
        </w:tc>
        <w:tc>
          <w:tcPr>
            <w:tcW w:w="2160" w:type="dxa"/>
            <w:shd w:val="clear" w:color="auto" w:fill="F2F2F2" w:themeFill="background1" w:themeFillShade="F2"/>
          </w:tcPr>
          <w:p w14:paraId="5089191C" w14:textId="2B4C1F5A" w:rsidR="00C6123F" w:rsidRPr="00D27DD6" w:rsidRDefault="00DF6AA1" w:rsidP="0008755B">
            <w:pPr>
              <w:adjustRightInd w:val="0"/>
              <w:contextualSpacing/>
              <w:jc w:val="center"/>
              <w:rPr>
                <w:bCs/>
                <w:sz w:val="22"/>
              </w:rPr>
            </w:pPr>
            <w:r>
              <w:rPr>
                <w:bCs/>
                <w:sz w:val="22"/>
              </w:rPr>
              <w:t>3</w:t>
            </w:r>
            <w:r w:rsidR="00DD2FF3">
              <w:rPr>
                <w:bCs/>
                <w:sz w:val="22"/>
              </w:rPr>
              <w:t>0</w:t>
            </w:r>
            <w:r w:rsidR="00C6123F" w:rsidRPr="00D27DD6">
              <w:rPr>
                <w:bCs/>
                <w:sz w:val="22"/>
              </w:rPr>
              <w:t>%</w:t>
            </w:r>
          </w:p>
        </w:tc>
      </w:tr>
      <w:tr w:rsidR="00C6123F" w:rsidRPr="00F60659" w14:paraId="74C7FD40" w14:textId="77777777" w:rsidTr="00C6123F">
        <w:tc>
          <w:tcPr>
            <w:tcW w:w="2718" w:type="dxa"/>
            <w:shd w:val="clear" w:color="auto" w:fill="D9D9D9" w:themeFill="background1" w:themeFillShade="D9"/>
          </w:tcPr>
          <w:p w14:paraId="2E400112" w14:textId="77777777" w:rsidR="00C6123F" w:rsidRPr="00D27DD6" w:rsidRDefault="00C6123F" w:rsidP="0008755B">
            <w:pPr>
              <w:adjustRightInd w:val="0"/>
              <w:contextualSpacing/>
              <w:rPr>
                <w:b/>
                <w:bCs/>
                <w:sz w:val="22"/>
              </w:rPr>
            </w:pPr>
            <w:r w:rsidRPr="00D27DD6">
              <w:rPr>
                <w:b/>
                <w:bCs/>
                <w:sz w:val="22"/>
              </w:rPr>
              <w:t>Total</w:t>
            </w:r>
          </w:p>
        </w:tc>
        <w:tc>
          <w:tcPr>
            <w:tcW w:w="2160" w:type="dxa"/>
            <w:shd w:val="clear" w:color="auto" w:fill="D9D9D9" w:themeFill="background1" w:themeFillShade="D9"/>
          </w:tcPr>
          <w:p w14:paraId="099358F2" w14:textId="77777777" w:rsidR="00C6123F" w:rsidRPr="00D27DD6" w:rsidRDefault="00C6123F" w:rsidP="0008755B">
            <w:pPr>
              <w:adjustRightInd w:val="0"/>
              <w:contextualSpacing/>
              <w:jc w:val="center"/>
              <w:rPr>
                <w:b/>
                <w:bCs/>
                <w:sz w:val="22"/>
              </w:rPr>
            </w:pPr>
            <w:r w:rsidRPr="00D27DD6">
              <w:rPr>
                <w:b/>
                <w:bCs/>
                <w:sz w:val="22"/>
              </w:rPr>
              <w:t>100%</w:t>
            </w:r>
          </w:p>
        </w:tc>
      </w:tr>
    </w:tbl>
    <w:p w14:paraId="5B66AAFE" w14:textId="77777777" w:rsidR="002E7C10" w:rsidRDefault="002E7C10" w:rsidP="00F03A98">
      <w:pPr>
        <w:rPr>
          <w:b/>
        </w:rPr>
      </w:pPr>
    </w:p>
    <w:p w14:paraId="528A7005" w14:textId="1E2778F0" w:rsidR="00FF6432" w:rsidRPr="00D90FCD" w:rsidRDefault="005C79B1">
      <w:pPr>
        <w:spacing w:after="200"/>
        <w:rPr>
          <w:sz w:val="22"/>
          <w:szCs w:val="22"/>
        </w:rPr>
      </w:pPr>
      <w:r>
        <w:rPr>
          <w:sz w:val="22"/>
          <w:szCs w:val="22"/>
          <w:u w:val="single"/>
        </w:rPr>
        <w:t xml:space="preserve">INDEPENDENT READING &amp; </w:t>
      </w:r>
      <w:r w:rsidR="00FF6432">
        <w:rPr>
          <w:sz w:val="22"/>
          <w:szCs w:val="22"/>
          <w:u w:val="single"/>
        </w:rPr>
        <w:t>DISCUSSION LEAD ASSIGNMENT:</w:t>
      </w:r>
      <w:r w:rsidR="00D90FCD">
        <w:rPr>
          <w:sz w:val="22"/>
          <w:szCs w:val="22"/>
        </w:rPr>
        <w:t xml:space="preserve"> Students will design a 5-article reading agenda based on their content area and interests in teaching and learning.  </w:t>
      </w:r>
      <w:r w:rsidR="000A5432">
        <w:rPr>
          <w:sz w:val="22"/>
          <w:szCs w:val="22"/>
        </w:rPr>
        <w:t xml:space="preserve">Students will submit a reading plan by Week 5.  </w:t>
      </w:r>
      <w:r w:rsidR="000A5432">
        <w:rPr>
          <w:sz w:val="22"/>
          <w:szCs w:val="22"/>
        </w:rPr>
        <w:lastRenderedPageBreak/>
        <w:t>Students will prepare a presentation for classmates about the topic of interest</w:t>
      </w:r>
      <w:r w:rsidR="005D6385">
        <w:rPr>
          <w:sz w:val="22"/>
          <w:szCs w:val="22"/>
        </w:rPr>
        <w:t xml:space="preserve"> and share current research understandings in their field of study. </w:t>
      </w:r>
    </w:p>
    <w:p w14:paraId="3D89FED3" w14:textId="4A49B188" w:rsidR="003C1E33" w:rsidRDefault="00FF6432">
      <w:pPr>
        <w:spacing w:after="200"/>
        <w:rPr>
          <w:sz w:val="22"/>
          <w:szCs w:val="22"/>
        </w:rPr>
      </w:pPr>
      <w:r>
        <w:rPr>
          <w:sz w:val="22"/>
          <w:szCs w:val="22"/>
          <w:u w:val="single"/>
        </w:rPr>
        <w:t xml:space="preserve">SIGNIFICANT </w:t>
      </w:r>
      <w:r w:rsidR="003C1E33" w:rsidRPr="003C1E33">
        <w:rPr>
          <w:sz w:val="22"/>
          <w:szCs w:val="22"/>
          <w:u w:val="single"/>
        </w:rPr>
        <w:t>LEARNING MODULE</w:t>
      </w:r>
      <w:r>
        <w:rPr>
          <w:sz w:val="22"/>
          <w:szCs w:val="22"/>
          <w:u w:val="single"/>
        </w:rPr>
        <w:t xml:space="preserve"> ASSIGNMENTS</w:t>
      </w:r>
      <w:r w:rsidR="00B049A3">
        <w:rPr>
          <w:sz w:val="22"/>
          <w:szCs w:val="22"/>
          <w:u w:val="single"/>
        </w:rPr>
        <w:t xml:space="preserve"> (Discussion Posts)</w:t>
      </w:r>
      <w:r w:rsidR="003C1E33">
        <w:rPr>
          <w:sz w:val="22"/>
          <w:szCs w:val="22"/>
        </w:rPr>
        <w:t xml:space="preserve">:  Students will complete all learning modules as provided in Canvas.  Students will be expected to participate in both online and face-to-face discussions as provided and offered. </w:t>
      </w:r>
    </w:p>
    <w:p w14:paraId="6DCD8193" w14:textId="528AB54B" w:rsidR="00FF6432" w:rsidRPr="005D6385" w:rsidRDefault="00FF6432">
      <w:pPr>
        <w:spacing w:after="200"/>
        <w:rPr>
          <w:sz w:val="22"/>
          <w:szCs w:val="22"/>
        </w:rPr>
      </w:pPr>
      <w:r>
        <w:rPr>
          <w:sz w:val="22"/>
          <w:szCs w:val="22"/>
          <w:u w:val="single"/>
        </w:rPr>
        <w:t>ACTIVE LEARNING MICRO-TEACHING:</w:t>
      </w:r>
      <w:r w:rsidR="005D6385">
        <w:rPr>
          <w:sz w:val="22"/>
          <w:szCs w:val="22"/>
        </w:rPr>
        <w:t xml:space="preserve"> Students will teach </w:t>
      </w:r>
      <w:r w:rsidR="00C17E35">
        <w:rPr>
          <w:sz w:val="22"/>
          <w:szCs w:val="22"/>
        </w:rPr>
        <w:t xml:space="preserve">lesson that utilizes </w:t>
      </w:r>
      <w:r w:rsidR="005D6385">
        <w:rPr>
          <w:sz w:val="22"/>
          <w:szCs w:val="22"/>
        </w:rPr>
        <w:t>active learning</w:t>
      </w:r>
      <w:r w:rsidR="00C17E35">
        <w:rPr>
          <w:sz w:val="22"/>
          <w:szCs w:val="22"/>
        </w:rPr>
        <w:t xml:space="preserve"> that showcases their field of teaching. Students will reflect on their teaching experience. </w:t>
      </w:r>
    </w:p>
    <w:p w14:paraId="776EDB3E" w14:textId="08F29293" w:rsidR="00EF767B" w:rsidRPr="003C1E33" w:rsidRDefault="00EF767B">
      <w:pPr>
        <w:spacing w:after="200"/>
        <w:rPr>
          <w:sz w:val="22"/>
          <w:szCs w:val="22"/>
        </w:rPr>
      </w:pPr>
      <w:r w:rsidRPr="00EF767B">
        <w:rPr>
          <w:sz w:val="22"/>
          <w:szCs w:val="22"/>
          <w:u w:val="single"/>
        </w:rPr>
        <w:t xml:space="preserve">PROFESSIONAL </w:t>
      </w:r>
      <w:r w:rsidR="005D46B6">
        <w:rPr>
          <w:sz w:val="22"/>
          <w:szCs w:val="22"/>
          <w:u w:val="single"/>
        </w:rPr>
        <w:t>E-</w:t>
      </w:r>
      <w:r w:rsidRPr="00EF767B">
        <w:rPr>
          <w:sz w:val="22"/>
          <w:szCs w:val="22"/>
          <w:u w:val="single"/>
        </w:rPr>
        <w:t>PORTFOLIO</w:t>
      </w:r>
      <w:r>
        <w:rPr>
          <w:sz w:val="22"/>
          <w:szCs w:val="22"/>
        </w:rPr>
        <w:t xml:space="preserve">:  Students will prepare a professional portfolio for submission </w:t>
      </w:r>
      <w:r w:rsidR="007212C6">
        <w:rPr>
          <w:sz w:val="22"/>
          <w:szCs w:val="22"/>
        </w:rPr>
        <w:t xml:space="preserve">that will include </w:t>
      </w:r>
      <w:r w:rsidR="00651997">
        <w:rPr>
          <w:sz w:val="22"/>
          <w:szCs w:val="22"/>
        </w:rPr>
        <w:t xml:space="preserve">elements from </w:t>
      </w:r>
      <w:proofErr w:type="spellStart"/>
      <w:r w:rsidR="00651997">
        <w:rPr>
          <w:sz w:val="22"/>
          <w:szCs w:val="22"/>
        </w:rPr>
        <w:t>ePortfolio</w:t>
      </w:r>
      <w:proofErr w:type="spellEnd"/>
      <w:r w:rsidR="00651997">
        <w:rPr>
          <w:sz w:val="22"/>
          <w:szCs w:val="22"/>
        </w:rPr>
        <w:t xml:space="preserve"> design and </w:t>
      </w:r>
      <w:r w:rsidR="007212C6">
        <w:rPr>
          <w:sz w:val="22"/>
          <w:szCs w:val="22"/>
        </w:rPr>
        <w:t>a course syllabus for a “dream course”, lesson plan, and sample assessment</w:t>
      </w:r>
      <w:r>
        <w:rPr>
          <w:sz w:val="22"/>
          <w:szCs w:val="22"/>
        </w:rPr>
        <w:t xml:space="preserve">.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w:t>
      </w:r>
      <w:proofErr w:type="gramStart"/>
      <w:r w:rsidRPr="00D27DD6">
        <w:rPr>
          <w:b/>
          <w:sz w:val="22"/>
          <w:szCs w:val="22"/>
        </w:rPr>
        <w:t>average</w:t>
      </w:r>
      <w:proofErr w:type="gramEnd"/>
      <w:r w:rsidRPr="00D27DD6">
        <w:rPr>
          <w:b/>
          <w:sz w:val="22"/>
          <w:szCs w:val="22"/>
        </w:rPr>
        <w:t xml:space="preserve">               </w:t>
      </w:r>
    </w:p>
    <w:p w14:paraId="72C5B60C" w14:textId="1648183B" w:rsidR="007D0045" w:rsidRPr="00D27DD6" w:rsidRDefault="007D0045" w:rsidP="00862CE6">
      <w:pPr>
        <w:rPr>
          <w:b/>
          <w:sz w:val="22"/>
          <w:szCs w:val="22"/>
        </w:rPr>
      </w:pPr>
      <w:r w:rsidRPr="00D27DD6">
        <w:rPr>
          <w:b/>
          <w:sz w:val="22"/>
          <w:szCs w:val="22"/>
        </w:rPr>
        <w:t xml:space="preserve">B   = 89 – 80 </w:t>
      </w:r>
      <w:proofErr w:type="gramStart"/>
      <w:r w:rsidRPr="00D27DD6">
        <w:rPr>
          <w:b/>
          <w:sz w:val="22"/>
          <w:szCs w:val="22"/>
        </w:rPr>
        <w:t>average</w:t>
      </w:r>
      <w:proofErr w:type="gramEnd"/>
      <w:r w:rsidRPr="00D27DD6">
        <w:rPr>
          <w:b/>
          <w:sz w:val="22"/>
          <w:szCs w:val="22"/>
        </w:rPr>
        <w:t xml:space="preserve">         </w:t>
      </w:r>
    </w:p>
    <w:p w14:paraId="25E5F248" w14:textId="66D656EA" w:rsidR="007D0045" w:rsidRPr="00D27DD6" w:rsidRDefault="007D0045" w:rsidP="00862CE6">
      <w:pPr>
        <w:rPr>
          <w:b/>
          <w:sz w:val="22"/>
          <w:szCs w:val="22"/>
        </w:rPr>
      </w:pPr>
      <w:r w:rsidRPr="00D27DD6">
        <w:rPr>
          <w:b/>
          <w:sz w:val="22"/>
          <w:szCs w:val="22"/>
        </w:rPr>
        <w:t xml:space="preserve">C   = 79 – 70 </w:t>
      </w:r>
      <w:proofErr w:type="gramStart"/>
      <w:r w:rsidRPr="00D27DD6">
        <w:rPr>
          <w:b/>
          <w:sz w:val="22"/>
          <w:szCs w:val="22"/>
        </w:rPr>
        <w:t>average</w:t>
      </w:r>
      <w:proofErr w:type="gramEnd"/>
      <w:r w:rsidRPr="00D27DD6">
        <w:rPr>
          <w:b/>
          <w:sz w:val="22"/>
          <w:szCs w:val="22"/>
        </w:rPr>
        <w:t xml:space="preserve">              </w:t>
      </w:r>
    </w:p>
    <w:p w14:paraId="018C7AD1" w14:textId="47D133C9" w:rsidR="007D0045" w:rsidRPr="00D27DD6" w:rsidRDefault="007D0045" w:rsidP="00862CE6">
      <w:pPr>
        <w:rPr>
          <w:b/>
          <w:sz w:val="22"/>
          <w:szCs w:val="22"/>
        </w:rPr>
      </w:pPr>
      <w:r w:rsidRPr="00D27DD6">
        <w:rPr>
          <w:b/>
          <w:sz w:val="22"/>
          <w:szCs w:val="22"/>
        </w:rPr>
        <w:t xml:space="preserve">D   = 69 – 60 </w:t>
      </w:r>
      <w:proofErr w:type="gramStart"/>
      <w:r w:rsidRPr="00D27DD6">
        <w:rPr>
          <w:b/>
          <w:sz w:val="22"/>
          <w:szCs w:val="22"/>
        </w:rPr>
        <w:t>average</w:t>
      </w:r>
      <w:proofErr w:type="gramEnd"/>
      <w:r w:rsidRPr="00D27DD6">
        <w:rPr>
          <w:b/>
          <w:sz w:val="22"/>
          <w:szCs w:val="22"/>
        </w:rPr>
        <w:t xml:space="preserv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790ED42F"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w:t>
      </w:r>
      <w:r w:rsidR="00EF767B">
        <w:rPr>
          <w:sz w:val="22"/>
          <w:szCs w:val="22"/>
        </w:rPr>
        <w:t>two</w:t>
      </w:r>
      <w:r w:rsidR="00C6688F">
        <w:rPr>
          <w:sz w:val="22"/>
          <w:szCs w:val="22"/>
        </w:rPr>
        <w:t>-hour cour</w:t>
      </w:r>
      <w:r w:rsidR="00EF767B">
        <w:rPr>
          <w:sz w:val="22"/>
          <w:szCs w:val="22"/>
        </w:rPr>
        <w:t>se.  We will meet weekly for two</w:t>
      </w:r>
      <w:r w:rsidR="00C6688F">
        <w:rPr>
          <w:sz w:val="22"/>
          <w:szCs w:val="22"/>
        </w:rPr>
        <w:t xml:space="preserve"> hour</w:t>
      </w:r>
      <w:r w:rsidR="00EF767B">
        <w:rPr>
          <w:sz w:val="22"/>
          <w:szCs w:val="22"/>
        </w:rPr>
        <w:t>s</w:t>
      </w:r>
      <w:r w:rsidR="00C6688F">
        <w:rPr>
          <w:sz w:val="22"/>
          <w:szCs w:val="22"/>
        </w:rPr>
        <w:t xml:space="preserve">, but you should plan to spend up to </w:t>
      </w:r>
      <w:r w:rsidR="00EF767B">
        <w:rPr>
          <w:sz w:val="22"/>
          <w:szCs w:val="22"/>
        </w:rPr>
        <w:t>six</w:t>
      </w:r>
      <w:r w:rsidR="00C6688F">
        <w:rPr>
          <w:sz w:val="22"/>
          <w:szCs w:val="22"/>
        </w:rPr>
        <w:t xml:space="preserv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361C5F4"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sidR="00542702">
        <w:rPr>
          <w:sz w:val="22"/>
          <w:szCs w:val="22"/>
        </w:rPr>
        <w:t xml:space="preserve">Late assignments will not be accepted after 2 weeks from due date.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lastRenderedPageBreak/>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D92DAB">
        <w:rPr>
          <w:sz w:val="22"/>
          <w:szCs w:val="22"/>
        </w:rPr>
        <w:t>University</w:t>
      </w:r>
      <w:proofErr w:type="gramEnd"/>
      <w:r w:rsidRPr="00D92DAB">
        <w:rPr>
          <w:sz w:val="22"/>
          <w:szCs w:val="22"/>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w:t>
      </w:r>
      <w:proofErr w:type="gramStart"/>
      <w:r w:rsidRPr="00D92DAB">
        <w:rPr>
          <w:bCs/>
          <w:sz w:val="22"/>
          <w:szCs w:val="22"/>
        </w:rPr>
        <w:t>e.g.</w:t>
      </w:r>
      <w:proofErr w:type="gramEnd"/>
      <w:r w:rsidRPr="00D92DAB">
        <w:rPr>
          <w:bCs/>
          <w:sz w:val="22"/>
          <w:szCs w:val="22"/>
        </w:rPr>
        <w:t xml:space="preserve"> hour exams, mid-term exams) due to properly authorized excused absences. Except in unusual circumstances, such as continued absence of the student or the advent of </w:t>
      </w:r>
      <w:proofErr w:type="gramStart"/>
      <w:r w:rsidRPr="00D92DAB">
        <w:rPr>
          <w:bCs/>
          <w:sz w:val="22"/>
          <w:szCs w:val="22"/>
        </w:rPr>
        <w:t>University</w:t>
      </w:r>
      <w:proofErr w:type="gramEnd"/>
      <w:r w:rsidRPr="00D92DAB">
        <w:rPr>
          <w:bCs/>
          <w:sz w:val="22"/>
          <w:szCs w:val="22"/>
        </w:rPr>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0"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2"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3"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lastRenderedPageBreak/>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4"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5"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6"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770857D8" w14:textId="71275AE6" w:rsidR="00884D1B" w:rsidRDefault="004906A9" w:rsidP="00F55B13">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0F141347" w14:textId="07D55508" w:rsidR="00884D1B" w:rsidRPr="004470E7" w:rsidRDefault="00884D1B" w:rsidP="00884D1B">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4. TENTATIVE SCHEDULE</w:t>
      </w:r>
    </w:p>
    <w:p w14:paraId="2396BC9B" w14:textId="21005B32" w:rsidR="001A1DCC" w:rsidRPr="00FA6412" w:rsidRDefault="003C3A0E" w:rsidP="000942A5">
      <w:pPr>
        <w:rPr>
          <w:sz w:val="22"/>
          <w:szCs w:val="22"/>
        </w:rPr>
      </w:pPr>
      <w:r w:rsidRPr="00F55B13">
        <w:rPr>
          <w:sz w:val="22"/>
          <w:szCs w:val="22"/>
          <w:highlight w:val="cyan"/>
        </w:rPr>
        <w:t xml:space="preserve">*Please note that this is a tentative summary of the schedule and </w:t>
      </w:r>
      <w:r w:rsidR="00893BB4" w:rsidRPr="00F55B13">
        <w:rPr>
          <w:sz w:val="22"/>
          <w:szCs w:val="22"/>
          <w:highlight w:val="cyan"/>
        </w:rPr>
        <w:t xml:space="preserve">activities/due dates </w:t>
      </w:r>
      <w:r w:rsidRPr="00F55B13">
        <w:rPr>
          <w:sz w:val="22"/>
          <w:szCs w:val="22"/>
          <w:highlight w:val="cyan"/>
        </w:rPr>
        <w:t>may change during the semester.</w:t>
      </w:r>
      <w:r w:rsidRPr="00FA6412">
        <w:rPr>
          <w:sz w:val="22"/>
          <w:szCs w:val="22"/>
        </w:rPr>
        <w:t xml:space="preserve"> Follow the assignments </w:t>
      </w:r>
      <w:r w:rsidR="00893BB4">
        <w:rPr>
          <w:sz w:val="22"/>
          <w:szCs w:val="22"/>
        </w:rPr>
        <w:t xml:space="preserve">as posted </w:t>
      </w:r>
      <w:r w:rsidRPr="00FA6412">
        <w:rPr>
          <w:sz w:val="22"/>
          <w:szCs w:val="22"/>
        </w:rPr>
        <w:t>on the weekly modules in Canvas.</w:t>
      </w:r>
      <w:r w:rsidR="004E744A">
        <w:rPr>
          <w:sz w:val="22"/>
          <w:szCs w:val="22"/>
        </w:rPr>
        <w:t xml:space="preserve"> Link to university academic calendar: </w:t>
      </w:r>
      <w:hyperlink r:id="rId17" w:history="1">
        <w:r w:rsidR="004E744A" w:rsidRPr="00CB7329">
          <w:rPr>
            <w:rStyle w:val="Hyperlink"/>
            <w:sz w:val="22"/>
            <w:szCs w:val="22"/>
          </w:rPr>
          <w:t>http://www.auburn.edu/main/auweb_calendar.php</w:t>
        </w:r>
      </w:hyperlink>
      <w:r w:rsidR="004E744A">
        <w:rPr>
          <w:sz w:val="22"/>
          <w:szCs w:val="22"/>
        </w:rPr>
        <w:t xml:space="preserve"> </w:t>
      </w:r>
    </w:p>
    <w:p w14:paraId="06975925" w14:textId="77777777" w:rsidR="003C3A0E" w:rsidRDefault="003C3A0E" w:rsidP="000942A5"/>
    <w:tbl>
      <w:tblPr>
        <w:tblStyle w:val="LightShading-Accent1"/>
        <w:tblW w:w="496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685"/>
        <w:gridCol w:w="2068"/>
        <w:gridCol w:w="4141"/>
        <w:gridCol w:w="2520"/>
      </w:tblGrid>
      <w:tr w:rsidR="002C3B63" w14:paraId="166D4AFA" w14:textId="77777777" w:rsidTr="002C3B63">
        <w:trPr>
          <w:cnfStyle w:val="100000000000" w:firstRow="1" w:lastRow="0" w:firstColumn="0" w:lastColumn="0" w:oddVBand="0" w:evenVBand="0" w:oddHBand="0" w:evenHBand="0" w:firstRowFirstColumn="0" w:firstRowLastColumn="0" w:lastRowFirstColumn="0" w:lastRowLastColumn="0"/>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2C3B63" w:rsidRPr="00C85390" w:rsidRDefault="002C3B63" w:rsidP="00D65D98">
            <w:pPr>
              <w:rPr>
                <w:color w:val="000000" w:themeColor="text1"/>
              </w:rPr>
            </w:pPr>
            <w:r w:rsidRPr="00C85390">
              <w:rPr>
                <w:color w:val="000000" w:themeColor="text1"/>
              </w:rPr>
              <w:t xml:space="preserve">Week </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4F79EFC9" w:rsidR="002C3B63" w:rsidRPr="00C85390" w:rsidRDefault="002C3B63" w:rsidP="00D65D98">
            <w:pPr>
              <w:rPr>
                <w:color w:val="000000" w:themeColor="text1"/>
              </w:rPr>
            </w:pPr>
            <w:r>
              <w:rPr>
                <w:color w:val="000000" w:themeColor="text1"/>
              </w:rPr>
              <w:t>Module Topics</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0B9915C" w14:textId="4CAC35DA" w:rsidR="002C3B63" w:rsidRDefault="002C3B63" w:rsidP="004B2A34">
            <w:pPr>
              <w:rPr>
                <w:color w:val="000000" w:themeColor="text1"/>
              </w:rPr>
            </w:pPr>
            <w:r>
              <w:rPr>
                <w:color w:val="000000" w:themeColor="text1"/>
              </w:rPr>
              <w:t>Outside of Class Module Activities</w:t>
            </w: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EC37F5B" w:rsidR="002C3B63" w:rsidRPr="00C85390" w:rsidRDefault="002C3B63" w:rsidP="004B2A34">
            <w:pPr>
              <w:rPr>
                <w:color w:val="000000" w:themeColor="text1"/>
              </w:rPr>
            </w:pPr>
            <w:r>
              <w:rPr>
                <w:color w:val="000000" w:themeColor="text1"/>
              </w:rPr>
              <w:t xml:space="preserve">Assignments </w:t>
            </w:r>
          </w:p>
        </w:tc>
      </w:tr>
      <w:tr w:rsidR="002C3B63" w14:paraId="44428206"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459D50" w14:textId="3C52E8EC" w:rsidR="002C3B63" w:rsidRPr="00AD5211" w:rsidRDefault="002C3B63" w:rsidP="00AD5211">
            <w:pPr>
              <w:rPr>
                <w:color w:val="000000" w:themeColor="text1"/>
              </w:rPr>
            </w:pPr>
            <w:r w:rsidRPr="0039234C">
              <w:rPr>
                <w:color w:val="000000" w:themeColor="text1"/>
              </w:rPr>
              <w:t>1</w:t>
            </w:r>
            <w:r w:rsidR="00DD136B">
              <w:rPr>
                <w:color w:val="000000" w:themeColor="text1"/>
              </w:rPr>
              <w:t xml:space="preserve"> 1/13</w:t>
            </w:r>
            <w:r w:rsidRPr="0039234C">
              <w:rPr>
                <w:color w:val="000000" w:themeColor="text1"/>
              </w:rPr>
              <w:t xml:space="preserve">: </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B0C7DA" w14:textId="30E4B33D" w:rsidR="002C3B63" w:rsidRPr="00AD5211" w:rsidRDefault="002C3B63" w:rsidP="00AD5211">
            <w:pPr>
              <w:rPr>
                <w:color w:val="000000" w:themeColor="text1"/>
              </w:rPr>
            </w:pPr>
            <w:r>
              <w:rPr>
                <w:color w:val="000000" w:themeColor="text1"/>
              </w:rPr>
              <w:t>Orientation</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326A074" w14:textId="77777777" w:rsidR="002C3B63" w:rsidRDefault="002C3B63" w:rsidP="003150F3">
            <w:pPr>
              <w:rPr>
                <w:color w:val="000000" w:themeColor="text1"/>
              </w:rPr>
            </w:pPr>
            <w:r>
              <w:rPr>
                <w:color w:val="000000" w:themeColor="text1"/>
              </w:rPr>
              <w:t>Review syllabus</w:t>
            </w:r>
          </w:p>
          <w:p w14:paraId="5429C063" w14:textId="7BA9A984" w:rsidR="002C3B63" w:rsidRDefault="002C3B63" w:rsidP="003150F3">
            <w:pPr>
              <w:rPr>
                <w:color w:val="000000" w:themeColor="text1"/>
              </w:rPr>
            </w:pP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B101D57" w14:textId="5A9B5340" w:rsidR="002C3B63" w:rsidRPr="008A561C" w:rsidRDefault="002C3B63" w:rsidP="00AD5211">
            <w:pPr>
              <w:rPr>
                <w:b/>
                <w:bCs/>
                <w:color w:val="000000" w:themeColor="text1"/>
              </w:rPr>
            </w:pPr>
            <w:r w:rsidRPr="008A561C">
              <w:rPr>
                <w:b/>
                <w:bCs/>
                <w:color w:val="000000" w:themeColor="text1"/>
              </w:rPr>
              <w:t>Introduction post</w:t>
            </w:r>
          </w:p>
        </w:tc>
      </w:tr>
      <w:tr w:rsidR="002C3B63" w14:paraId="6C95A171"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A093855" w14:textId="5813B6E1" w:rsidR="002C3B63" w:rsidRDefault="00A56B8B" w:rsidP="00AD5211">
            <w:pPr>
              <w:rPr>
                <w:color w:val="000000" w:themeColor="text1"/>
              </w:rPr>
            </w:pPr>
            <w:r>
              <w:rPr>
                <w:color w:val="000000" w:themeColor="text1"/>
              </w:rPr>
              <w:t>2</w:t>
            </w:r>
            <w:r w:rsidR="00DD136B">
              <w:rPr>
                <w:color w:val="000000" w:themeColor="text1"/>
              </w:rPr>
              <w:t xml:space="preserve"> 1/18</w:t>
            </w:r>
            <w:r w:rsidR="002C3B63">
              <w:rPr>
                <w:color w:val="000000" w:themeColor="text1"/>
              </w:rPr>
              <w:t>:</w:t>
            </w:r>
          </w:p>
          <w:p w14:paraId="5E582460" w14:textId="4ED5BDDE" w:rsidR="002C3B63" w:rsidRPr="006E36B5" w:rsidRDefault="002C3B63" w:rsidP="00AD5211">
            <w:pPr>
              <w:rPr>
                <w:color w:val="000000" w:themeColor="text1"/>
              </w:rPr>
            </w:pP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76786278" w14:textId="02C42D5F" w:rsidR="002C3B63" w:rsidRDefault="002C3B63" w:rsidP="00AD5211">
            <w:pPr>
              <w:rPr>
                <w:color w:val="000000" w:themeColor="text1"/>
              </w:rPr>
            </w:pPr>
            <w:r>
              <w:rPr>
                <w:color w:val="000000" w:themeColor="text1"/>
              </w:rPr>
              <w:t>Module 1: Growth Mindset</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6FA4C4BA" w14:textId="77777777" w:rsidR="002C3B63" w:rsidRPr="007F7D10" w:rsidRDefault="002C3B63" w:rsidP="00571E72">
            <w:pPr>
              <w:rPr>
                <w:b/>
                <w:bCs/>
                <w:color w:val="000000" w:themeColor="text1"/>
              </w:rPr>
            </w:pPr>
            <w:r w:rsidRPr="007F7D10">
              <w:rPr>
                <w:b/>
                <w:bCs/>
                <w:color w:val="000000" w:themeColor="text1"/>
              </w:rPr>
              <w:t xml:space="preserve">Read: Mindset: The New Psychology of Success, Dweck, C. </w:t>
            </w:r>
            <w:proofErr w:type="spellStart"/>
            <w:r w:rsidRPr="007F7D10">
              <w:rPr>
                <w:b/>
                <w:bCs/>
                <w:color w:val="000000" w:themeColor="text1"/>
              </w:rPr>
              <w:t>ch</w:t>
            </w:r>
            <w:proofErr w:type="spellEnd"/>
            <w:r w:rsidRPr="007F7D10">
              <w:rPr>
                <w:b/>
                <w:bCs/>
                <w:color w:val="000000" w:themeColor="text1"/>
              </w:rPr>
              <w:t xml:space="preserve"> 1 – 3</w:t>
            </w:r>
          </w:p>
          <w:p w14:paraId="1F1C1726" w14:textId="77777777" w:rsidR="002C3B63" w:rsidRPr="007F7D10" w:rsidRDefault="00000000" w:rsidP="00571E72">
            <w:pPr>
              <w:rPr>
                <w:b/>
                <w:bCs/>
                <w:i/>
                <w:iCs/>
                <w:color w:val="000000" w:themeColor="text1"/>
              </w:rPr>
            </w:pPr>
            <w:hyperlink r:id="rId18" w:history="1">
              <w:r w:rsidR="002C3B63" w:rsidRPr="007F7D10">
                <w:rPr>
                  <w:rStyle w:val="Hyperlink"/>
                  <w:b/>
                  <w:bCs/>
                  <w:i/>
                  <w:iCs/>
                </w:rPr>
                <w:t>https://dci.stanford.edu/wp-content/uploads/2018/03/mindset-chap-1-3.pdf</w:t>
              </w:r>
            </w:hyperlink>
          </w:p>
          <w:p w14:paraId="1473392C" w14:textId="77777777" w:rsidR="002C3B63" w:rsidRPr="007F7D10" w:rsidRDefault="002C3B63" w:rsidP="003150F3">
            <w:pPr>
              <w:rPr>
                <w:b/>
                <w:bCs/>
                <w:color w:val="000000" w:themeColor="text1"/>
              </w:rPr>
            </w:pPr>
          </w:p>
          <w:p w14:paraId="03668F82" w14:textId="36BB4B13" w:rsidR="002C3B63" w:rsidRPr="00571E72" w:rsidRDefault="002C3B63" w:rsidP="00237C3E">
            <w:pPr>
              <w:rPr>
                <w:color w:val="0000FF"/>
                <w:u w:val="single"/>
              </w:rPr>
            </w:pPr>
            <w:r w:rsidRPr="007F7D10">
              <w:rPr>
                <w:b/>
                <w:bCs/>
                <w:color w:val="000000" w:themeColor="text1"/>
              </w:rPr>
              <w:t xml:space="preserve">View: The Power of Believing that you can improve </w:t>
            </w:r>
            <w:hyperlink r:id="rId19" w:history="1">
              <w:r w:rsidRPr="007F7D10">
                <w:rPr>
                  <w:rStyle w:val="Hyperlink"/>
                  <w:b/>
                  <w:bCs/>
                </w:rPr>
                <w:t>https://www.ted.com/talks/carol_dweck_the_power_of_believing_that_you_can_improve</w:t>
              </w:r>
            </w:hyperlink>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07E1F5BB" w14:textId="5A84EBD3" w:rsidR="002C3B63" w:rsidRDefault="002C3B63" w:rsidP="003150F3">
            <w:pPr>
              <w:rPr>
                <w:color w:val="000000" w:themeColor="text1"/>
              </w:rPr>
            </w:pPr>
            <w:r>
              <w:rPr>
                <w:color w:val="000000" w:themeColor="text1"/>
              </w:rPr>
              <w:t>Module 1 Discussion Post</w:t>
            </w:r>
          </w:p>
          <w:p w14:paraId="3857DA57" w14:textId="6A5FD1DA" w:rsidR="002C3B63" w:rsidRDefault="002C3B63" w:rsidP="003150F3">
            <w:pPr>
              <w:rPr>
                <w:color w:val="000000" w:themeColor="text1"/>
              </w:rPr>
            </w:pPr>
          </w:p>
          <w:p w14:paraId="459DB7E7" w14:textId="77777777" w:rsidR="002C3B63" w:rsidRDefault="002C3B63" w:rsidP="003150F3">
            <w:pPr>
              <w:rPr>
                <w:color w:val="000000" w:themeColor="text1"/>
              </w:rPr>
            </w:pPr>
          </w:p>
          <w:p w14:paraId="4E13E71A" w14:textId="2CB18656" w:rsidR="002C3B63" w:rsidRDefault="002C3B63" w:rsidP="003150F3">
            <w:pPr>
              <w:rPr>
                <w:color w:val="000000" w:themeColor="text1"/>
              </w:rPr>
            </w:pPr>
          </w:p>
        </w:tc>
      </w:tr>
      <w:tr w:rsidR="002C3B63" w14:paraId="30D6403A"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1055799" w14:textId="4AF9D58B" w:rsidR="002C3B63" w:rsidRPr="006E36B5" w:rsidRDefault="00A56B8B" w:rsidP="00AD5211">
            <w:pPr>
              <w:rPr>
                <w:color w:val="000000" w:themeColor="text1"/>
              </w:rPr>
            </w:pPr>
            <w:r>
              <w:rPr>
                <w:color w:val="000000" w:themeColor="text1"/>
              </w:rPr>
              <w:t>3</w:t>
            </w:r>
            <w:r w:rsidR="00DD136B">
              <w:rPr>
                <w:color w:val="000000" w:themeColor="text1"/>
              </w:rPr>
              <w:t xml:space="preserve"> 1/24</w:t>
            </w:r>
            <w:r w:rsidR="002C3B63">
              <w:rPr>
                <w:color w:val="000000" w:themeColor="text1"/>
              </w:rPr>
              <w:t xml:space="preserve">: </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58E0375E" w14:textId="756EFCA2" w:rsidR="002C3B63" w:rsidRDefault="002C3B63" w:rsidP="00AD5211">
            <w:pPr>
              <w:rPr>
                <w:color w:val="000000" w:themeColor="text1"/>
              </w:rPr>
            </w:pPr>
            <w:r>
              <w:rPr>
                <w:color w:val="000000" w:themeColor="text1"/>
              </w:rPr>
              <w:t xml:space="preserve">Module 2: Introduction to active learning </w:t>
            </w:r>
          </w:p>
          <w:p w14:paraId="4E636ED7" w14:textId="77777777" w:rsidR="002C3B63" w:rsidRDefault="002C3B63" w:rsidP="00AD5211">
            <w:pPr>
              <w:rPr>
                <w:color w:val="000000" w:themeColor="text1"/>
              </w:rPr>
            </w:pPr>
          </w:p>
          <w:p w14:paraId="74FE79B2" w14:textId="42EF5A7D" w:rsidR="002C3B63" w:rsidRPr="00AD5211" w:rsidRDefault="002C3B63" w:rsidP="00AD5211">
            <w:pPr>
              <w:rPr>
                <w:b/>
                <w:bCs/>
                <w:color w:val="000000" w:themeColor="text1"/>
              </w:rPr>
            </w:pP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39669CFF" w14:textId="0A5DF65C" w:rsidR="002C3B63" w:rsidRDefault="002C3B63" w:rsidP="00AD5211">
            <w:pPr>
              <w:rPr>
                <w:color w:val="000000" w:themeColor="text1"/>
              </w:rPr>
            </w:pPr>
            <w:r>
              <w:rPr>
                <w:color w:val="000000" w:themeColor="text1"/>
              </w:rPr>
              <w:t xml:space="preserve">Review: </w:t>
            </w:r>
            <w:proofErr w:type="spellStart"/>
            <w:r>
              <w:rPr>
                <w:color w:val="000000" w:themeColor="text1"/>
              </w:rPr>
              <w:t>Biggio</w:t>
            </w:r>
            <w:proofErr w:type="spellEnd"/>
            <w:r>
              <w:rPr>
                <w:color w:val="000000" w:themeColor="text1"/>
              </w:rPr>
              <w:t xml:space="preserve"> Center information about active learning </w:t>
            </w:r>
            <w:hyperlink r:id="rId20" w:history="1">
              <w:r w:rsidRPr="00CB7329">
                <w:rPr>
                  <w:rStyle w:val="Hyperlink"/>
                </w:rPr>
                <w:t>http://wp.auburn.edu/biggio/active-learning-guide/</w:t>
              </w:r>
            </w:hyperlink>
          </w:p>
          <w:p w14:paraId="038EE4A3" w14:textId="77777777" w:rsidR="002C3B63" w:rsidRDefault="002C3B63" w:rsidP="00AD5211">
            <w:pPr>
              <w:rPr>
                <w:color w:val="000000" w:themeColor="text1"/>
              </w:rPr>
            </w:pPr>
          </w:p>
          <w:p w14:paraId="3A9342CA" w14:textId="48601B9C" w:rsidR="002C3B63" w:rsidRPr="00237C3E" w:rsidRDefault="002C3B63" w:rsidP="00AD5211">
            <w:pPr>
              <w:rPr>
                <w:color w:val="000000" w:themeColor="text1"/>
              </w:rPr>
            </w:pPr>
            <w:r>
              <w:rPr>
                <w:color w:val="000000" w:themeColor="text1"/>
              </w:rPr>
              <w:t>Read active learning article (pdf)</w:t>
            </w: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6038F0B2" w14:textId="743110AC" w:rsidR="002C3B63" w:rsidRDefault="002C3B63" w:rsidP="007212C6">
            <w:pPr>
              <w:rPr>
                <w:color w:val="000000" w:themeColor="text1"/>
              </w:rPr>
            </w:pPr>
            <w:r>
              <w:rPr>
                <w:color w:val="000000" w:themeColor="text1"/>
              </w:rPr>
              <w:t>Module 2 Discussion</w:t>
            </w:r>
          </w:p>
          <w:p w14:paraId="1A06B115" w14:textId="77777777" w:rsidR="002C3B63" w:rsidRDefault="002C3B63" w:rsidP="007212C6">
            <w:pPr>
              <w:rPr>
                <w:color w:val="000000" w:themeColor="text1"/>
              </w:rPr>
            </w:pPr>
          </w:p>
          <w:p w14:paraId="5B283716" w14:textId="0306704A" w:rsidR="002C3B63" w:rsidRPr="00651997" w:rsidRDefault="002C3B63" w:rsidP="007212C6">
            <w:pPr>
              <w:rPr>
                <w:color w:val="000000" w:themeColor="text1"/>
              </w:rPr>
            </w:pPr>
            <w:r>
              <w:rPr>
                <w:color w:val="000000" w:themeColor="text1"/>
              </w:rPr>
              <w:t>Active Learning Microteaching (sign up)</w:t>
            </w:r>
          </w:p>
        </w:tc>
      </w:tr>
      <w:tr w:rsidR="002C3B63" w14:paraId="390EC61F"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61351B58" w14:textId="6984CBD5" w:rsidR="002C3B63" w:rsidRDefault="00A56B8B" w:rsidP="00AD5211">
            <w:pPr>
              <w:rPr>
                <w:color w:val="000000" w:themeColor="text1"/>
              </w:rPr>
            </w:pPr>
            <w:r>
              <w:rPr>
                <w:color w:val="000000" w:themeColor="text1"/>
              </w:rPr>
              <w:t>4</w:t>
            </w:r>
            <w:r w:rsidR="00DD136B">
              <w:rPr>
                <w:color w:val="000000" w:themeColor="text1"/>
              </w:rPr>
              <w:t xml:space="preserve"> 1/31</w:t>
            </w:r>
            <w:r w:rsidR="002C3B63">
              <w:rPr>
                <w:color w:val="000000" w:themeColor="text1"/>
              </w:rPr>
              <w:t xml:space="preserve">:  </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2D55DE0D" w14:textId="77777777" w:rsidR="002C3B63" w:rsidRDefault="002C3B63" w:rsidP="00AD5211">
            <w:pPr>
              <w:rPr>
                <w:color w:val="000000" w:themeColor="text1"/>
              </w:rPr>
            </w:pPr>
            <w:proofErr w:type="spellStart"/>
            <w:r>
              <w:rPr>
                <w:color w:val="000000" w:themeColor="text1"/>
              </w:rPr>
              <w:t>Eportfolio</w:t>
            </w:r>
            <w:proofErr w:type="spellEnd"/>
            <w:r>
              <w:rPr>
                <w:color w:val="000000" w:themeColor="text1"/>
              </w:rPr>
              <w:t xml:space="preserve"> work session</w:t>
            </w:r>
          </w:p>
          <w:p w14:paraId="4D66F32F" w14:textId="6FBFF2D0" w:rsidR="002C3B63" w:rsidRDefault="002C3B63" w:rsidP="00AD5211">
            <w:pPr>
              <w:rPr>
                <w:color w:val="000000" w:themeColor="text1"/>
              </w:rPr>
            </w:pPr>
            <w:r>
              <w:rPr>
                <w:color w:val="000000" w:themeColor="text1"/>
              </w:rPr>
              <w:t>Dream course syllabus introduction</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75D72A76" w14:textId="77777777" w:rsidR="002C3B63" w:rsidRDefault="002C3B63" w:rsidP="003927F9">
            <w:pPr>
              <w:rPr>
                <w:color w:val="000000" w:themeColor="text1"/>
              </w:rPr>
            </w:pPr>
            <w:r>
              <w:rPr>
                <w:color w:val="000000" w:themeColor="text1"/>
              </w:rPr>
              <w:t xml:space="preserve">Review </w:t>
            </w:r>
            <w:proofErr w:type="spellStart"/>
            <w:r>
              <w:rPr>
                <w:color w:val="000000" w:themeColor="text1"/>
              </w:rPr>
              <w:t>ePortfolio</w:t>
            </w:r>
            <w:proofErr w:type="spellEnd"/>
            <w:r>
              <w:rPr>
                <w:color w:val="000000" w:themeColor="text1"/>
              </w:rPr>
              <w:t xml:space="preserve"> requirements </w:t>
            </w:r>
          </w:p>
          <w:p w14:paraId="6437A98E" w14:textId="233CFD89" w:rsidR="002C3B63" w:rsidRDefault="002C3B63" w:rsidP="003927F9">
            <w:pPr>
              <w:rPr>
                <w:color w:val="000000" w:themeColor="text1"/>
              </w:rPr>
            </w:pPr>
            <w:r>
              <w:rPr>
                <w:color w:val="000000" w:themeColor="text1"/>
              </w:rPr>
              <w:t>View:</w:t>
            </w:r>
          </w:p>
          <w:p w14:paraId="018C215A" w14:textId="6B6AF582" w:rsidR="002C3B63" w:rsidRDefault="00000000" w:rsidP="003927F9">
            <w:pPr>
              <w:rPr>
                <w:color w:val="000000" w:themeColor="text1"/>
              </w:rPr>
            </w:pPr>
            <w:hyperlink r:id="rId21" w:history="1">
              <w:r w:rsidR="002C3B63" w:rsidRPr="00F67D2E">
                <w:rPr>
                  <w:rStyle w:val="Hyperlink"/>
                </w:rPr>
                <w:t>https://www.youtube.com/watch?v=w6vVXmwYvgs&amp;feature=youtu.be</w:t>
              </w:r>
            </w:hyperlink>
            <w:r w:rsidR="002C3B63">
              <w:rPr>
                <w:rStyle w:val="Hyperlink"/>
              </w:rPr>
              <w:t xml:space="preserve"> </w:t>
            </w: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3991F554" w14:textId="00FE0D3C" w:rsidR="002C3B63" w:rsidRDefault="002C3B63" w:rsidP="00561DC0">
            <w:pPr>
              <w:rPr>
                <w:color w:val="000000" w:themeColor="text1"/>
              </w:rPr>
            </w:pPr>
            <w:r>
              <w:rPr>
                <w:color w:val="000000" w:themeColor="text1"/>
              </w:rPr>
              <w:t>Dream Course Syllabus (</w:t>
            </w:r>
            <w:proofErr w:type="spellStart"/>
            <w:r>
              <w:rPr>
                <w:color w:val="000000" w:themeColor="text1"/>
              </w:rPr>
              <w:t>rought</w:t>
            </w:r>
            <w:proofErr w:type="spellEnd"/>
            <w:r>
              <w:rPr>
                <w:color w:val="000000" w:themeColor="text1"/>
              </w:rPr>
              <w:t xml:space="preserve"> draft) submission: Due Sunday</w:t>
            </w:r>
          </w:p>
          <w:p w14:paraId="2D4E79B6" w14:textId="369FF676" w:rsidR="002C3B63" w:rsidRDefault="002C3B63" w:rsidP="00561DC0">
            <w:pPr>
              <w:rPr>
                <w:color w:val="000000" w:themeColor="text1"/>
              </w:rPr>
            </w:pPr>
            <w:r>
              <w:rPr>
                <w:b/>
                <w:bCs/>
                <w:i/>
                <w:iCs/>
                <w:color w:val="000000" w:themeColor="text1"/>
              </w:rPr>
              <w:t xml:space="preserve">Reading: </w:t>
            </w:r>
            <w:r>
              <w:rPr>
                <w:i/>
                <w:iCs/>
                <w:color w:val="000000" w:themeColor="text1"/>
              </w:rPr>
              <w:t>Individual academic reading plans DUE</w:t>
            </w:r>
          </w:p>
          <w:p w14:paraId="221C7705" w14:textId="70B5DCD7" w:rsidR="002C3B63" w:rsidRDefault="002C3B63" w:rsidP="007212C6">
            <w:pPr>
              <w:rPr>
                <w:color w:val="000000" w:themeColor="text1"/>
              </w:rPr>
            </w:pPr>
          </w:p>
        </w:tc>
      </w:tr>
      <w:tr w:rsidR="002C3B63" w14:paraId="5A64059E"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7B4EB10B" w14:textId="35C3ADB2" w:rsidR="002C3B63" w:rsidRDefault="00A56B8B" w:rsidP="001E2069">
            <w:pPr>
              <w:rPr>
                <w:color w:val="000000" w:themeColor="text1"/>
              </w:rPr>
            </w:pPr>
            <w:r>
              <w:rPr>
                <w:color w:val="000000" w:themeColor="text1"/>
              </w:rPr>
              <w:t>5</w:t>
            </w:r>
            <w:r w:rsidR="00867EC9">
              <w:rPr>
                <w:color w:val="000000" w:themeColor="text1"/>
              </w:rPr>
              <w:t xml:space="preserve"> 2/8</w:t>
            </w:r>
            <w:r w:rsidR="002C3B63">
              <w:rPr>
                <w:color w:val="000000" w:themeColor="text1"/>
              </w:rPr>
              <w:t>:</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40A3E28" w14:textId="5BD62214" w:rsidR="002C3B63" w:rsidRDefault="002C3B63" w:rsidP="001E2069">
            <w:pPr>
              <w:rPr>
                <w:color w:val="000000" w:themeColor="text1"/>
              </w:rPr>
            </w:pPr>
            <w:r>
              <w:rPr>
                <w:color w:val="000000" w:themeColor="text1"/>
              </w:rPr>
              <w:t xml:space="preserve">Module 3: Integrated course design – Overview </w:t>
            </w:r>
          </w:p>
          <w:p w14:paraId="67FA1508" w14:textId="77777777" w:rsidR="002C3B63" w:rsidRDefault="002C3B63" w:rsidP="001E2069">
            <w:pPr>
              <w:rPr>
                <w:color w:val="000000" w:themeColor="text1"/>
              </w:rPr>
            </w:pPr>
          </w:p>
          <w:p w14:paraId="14EAECE8" w14:textId="783A2927" w:rsidR="002C3B63" w:rsidRDefault="002C3B63" w:rsidP="001E2069">
            <w:pPr>
              <w:rPr>
                <w:color w:val="000000" w:themeColor="text1"/>
              </w:rPr>
            </w:pP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F2464C6" w14:textId="77777777" w:rsidR="002C3B63" w:rsidRDefault="002C3B63" w:rsidP="001E2069">
            <w:pPr>
              <w:rPr>
                <w:color w:val="000000" w:themeColor="text1"/>
              </w:rPr>
            </w:pPr>
            <w:r>
              <w:rPr>
                <w:color w:val="000000" w:themeColor="text1"/>
              </w:rPr>
              <w:t>Read: Fink (2003) pages 4 – 21</w:t>
            </w:r>
          </w:p>
          <w:p w14:paraId="138F4824" w14:textId="123AF977" w:rsidR="002C3B63" w:rsidRDefault="002C3B63" w:rsidP="001E2069">
            <w:pPr>
              <w:rPr>
                <w:color w:val="000000" w:themeColor="text1"/>
              </w:rPr>
            </w:pPr>
            <w:r>
              <w:rPr>
                <w:color w:val="000000" w:themeColor="text1"/>
              </w:rPr>
              <w:t>Read:  Context Based Learning (pdf)</w:t>
            </w: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D08EC73" w14:textId="31A48889" w:rsidR="002C3B63" w:rsidRDefault="002C3B63" w:rsidP="001E2069">
            <w:pPr>
              <w:rPr>
                <w:color w:val="000000" w:themeColor="text1"/>
              </w:rPr>
            </w:pPr>
            <w:r>
              <w:rPr>
                <w:color w:val="000000" w:themeColor="text1"/>
              </w:rPr>
              <w:t>Module 3 Discussion</w:t>
            </w:r>
          </w:p>
        </w:tc>
      </w:tr>
      <w:tr w:rsidR="002C3B63" w14:paraId="1826BCDA"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560C2220" w14:textId="128B79C7" w:rsidR="002C3B63" w:rsidRDefault="00A56B8B" w:rsidP="001E2069">
            <w:pPr>
              <w:rPr>
                <w:color w:val="000000" w:themeColor="text1"/>
              </w:rPr>
            </w:pPr>
            <w:r>
              <w:rPr>
                <w:color w:val="000000" w:themeColor="text1"/>
              </w:rPr>
              <w:t>6</w:t>
            </w:r>
            <w:r w:rsidR="00867EC9">
              <w:rPr>
                <w:color w:val="000000" w:themeColor="text1"/>
              </w:rPr>
              <w:t xml:space="preserve"> 2/15</w:t>
            </w:r>
            <w:r w:rsidR="002C3B63">
              <w:rPr>
                <w:color w:val="000000" w:themeColor="text1"/>
              </w:rPr>
              <w:t xml:space="preserve">: </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49A577" w14:textId="5F22EC5A" w:rsidR="002C3B63" w:rsidRDefault="002C3B63" w:rsidP="00167128">
            <w:pPr>
              <w:rPr>
                <w:color w:val="000000" w:themeColor="text1"/>
              </w:rPr>
            </w:pPr>
            <w:r>
              <w:rPr>
                <w:color w:val="000000" w:themeColor="text1"/>
              </w:rPr>
              <w:t>Module 4: Integrated course design – Step 1 Situational Factors</w:t>
            </w:r>
          </w:p>
          <w:p w14:paraId="12ACC3A0" w14:textId="77777777" w:rsidR="002C3B63" w:rsidRDefault="002C3B63" w:rsidP="00167128">
            <w:pPr>
              <w:rPr>
                <w:color w:val="000000" w:themeColor="text1"/>
              </w:rPr>
            </w:pPr>
            <w:r>
              <w:rPr>
                <w:color w:val="000000" w:themeColor="text1"/>
              </w:rPr>
              <w:t xml:space="preserve">The importance of context in teaching and learning </w:t>
            </w:r>
          </w:p>
          <w:p w14:paraId="1CAC8F04" w14:textId="77777777" w:rsidR="002C3B63" w:rsidRDefault="002C3B63" w:rsidP="00167128">
            <w:pPr>
              <w:rPr>
                <w:color w:val="000000" w:themeColor="text1"/>
              </w:rPr>
            </w:pPr>
          </w:p>
          <w:p w14:paraId="2A8613C5" w14:textId="35B8F7BC" w:rsidR="002C3B63" w:rsidRDefault="002C3B63" w:rsidP="001252B5">
            <w:pPr>
              <w:rPr>
                <w:color w:val="000000" w:themeColor="text1"/>
              </w:rPr>
            </w:pP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D74F6C" w14:textId="77777777" w:rsidR="002C3B63" w:rsidRDefault="002C3B63" w:rsidP="001252B5">
            <w:pPr>
              <w:rPr>
                <w:color w:val="000000" w:themeColor="text1"/>
              </w:rPr>
            </w:pPr>
            <w:r>
              <w:rPr>
                <w:color w:val="000000" w:themeColor="text1"/>
              </w:rPr>
              <w:t>Read: Fink (2003) pages 4 – 21</w:t>
            </w:r>
          </w:p>
          <w:p w14:paraId="74B146DA" w14:textId="77777777" w:rsidR="002C3B63" w:rsidRDefault="002C3B63" w:rsidP="0055643B">
            <w:pPr>
              <w:rPr>
                <w:color w:val="000000" w:themeColor="text1"/>
              </w:rPr>
            </w:pP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B3E17DF" w14:textId="1CA65A83" w:rsidR="002C3B63" w:rsidRDefault="008D6445" w:rsidP="001E2069">
            <w:pPr>
              <w:rPr>
                <w:color w:val="000000" w:themeColor="text1"/>
              </w:rPr>
            </w:pPr>
            <w:r>
              <w:rPr>
                <w:color w:val="000000" w:themeColor="text1"/>
              </w:rPr>
              <w:t>Module 4 Discussion</w:t>
            </w:r>
          </w:p>
        </w:tc>
      </w:tr>
      <w:tr w:rsidR="002C3B63" w14:paraId="56C6D73A"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772A5CF1" w14:textId="75ABB3A3" w:rsidR="002C3B63" w:rsidRPr="00C85390" w:rsidRDefault="00A56B8B" w:rsidP="001E2069">
            <w:pPr>
              <w:rPr>
                <w:color w:val="000000" w:themeColor="text1"/>
              </w:rPr>
            </w:pPr>
            <w:r>
              <w:rPr>
                <w:color w:val="000000" w:themeColor="text1"/>
              </w:rPr>
              <w:lastRenderedPageBreak/>
              <w:t>7</w:t>
            </w:r>
            <w:r w:rsidR="00867EC9">
              <w:rPr>
                <w:color w:val="000000" w:themeColor="text1"/>
              </w:rPr>
              <w:t xml:space="preserve"> 2/22</w:t>
            </w:r>
            <w:r w:rsidR="002C3B63">
              <w:rPr>
                <w:color w:val="000000" w:themeColor="text1"/>
              </w:rPr>
              <w:t xml:space="preserve">: </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404B4B3" w14:textId="6D3A4B20" w:rsidR="002C3B63" w:rsidRDefault="002C3B63" w:rsidP="00167128">
            <w:pPr>
              <w:rPr>
                <w:color w:val="000000" w:themeColor="text1"/>
              </w:rPr>
            </w:pPr>
            <w:r>
              <w:rPr>
                <w:color w:val="000000" w:themeColor="text1"/>
              </w:rPr>
              <w:t>Module 5: Integrated course design – Step 2 Learning Goals</w:t>
            </w:r>
          </w:p>
          <w:p w14:paraId="2F3C90B9" w14:textId="139502DC" w:rsidR="002C3B63" w:rsidRPr="00C85390" w:rsidRDefault="002C3B63" w:rsidP="00167128">
            <w:pPr>
              <w:rPr>
                <w:color w:val="000000" w:themeColor="text1"/>
              </w:rPr>
            </w:pPr>
            <w:r>
              <w:rPr>
                <w:color w:val="000000" w:themeColor="text1"/>
              </w:rPr>
              <w:t>Writing and using appropriate learning objectives</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239B6C9" w14:textId="76070C11" w:rsidR="002C3B63" w:rsidRDefault="002C3B63" w:rsidP="00167128">
            <w:pPr>
              <w:rPr>
                <w:color w:val="000000" w:themeColor="text1"/>
              </w:rPr>
            </w:pPr>
            <w:r>
              <w:rPr>
                <w:color w:val="000000" w:themeColor="text1"/>
              </w:rPr>
              <w:t>Read:  Fink (2003) pages 1 – 4</w:t>
            </w:r>
          </w:p>
          <w:p w14:paraId="0ECE86F1" w14:textId="77777777" w:rsidR="002C3B63" w:rsidRDefault="002C3B63" w:rsidP="0055643B">
            <w:pPr>
              <w:rPr>
                <w:color w:val="000000" w:themeColor="text1"/>
              </w:rPr>
            </w:pPr>
            <w:r>
              <w:rPr>
                <w:color w:val="000000" w:themeColor="text1"/>
              </w:rPr>
              <w:t>Read: Tips for Writing Objectives (pdf)</w:t>
            </w:r>
          </w:p>
          <w:p w14:paraId="0840DE0C" w14:textId="6B260F10" w:rsidR="002C3B63" w:rsidRDefault="002C3B63" w:rsidP="00167128">
            <w:pPr>
              <w:rPr>
                <w:color w:val="000000" w:themeColor="text1"/>
              </w:rPr>
            </w:pPr>
            <w:r>
              <w:rPr>
                <w:color w:val="000000" w:themeColor="text1"/>
              </w:rPr>
              <w:t xml:space="preserve">Read:  </w:t>
            </w:r>
            <w:hyperlink r:id="rId22" w:history="1">
              <w:r w:rsidRPr="00F67D2E">
                <w:rPr>
                  <w:rStyle w:val="Hyperlink"/>
                </w:rPr>
                <w:t>https://teachonline.asu.edu/2012/07/writing-measurable-learning-objectives/</w:t>
              </w:r>
            </w:hyperlink>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F4FD2FA" w14:textId="580C6106" w:rsidR="002C3B63" w:rsidRDefault="002C3B63" w:rsidP="009D2C9D">
            <w:pPr>
              <w:rPr>
                <w:color w:val="000000" w:themeColor="text1"/>
              </w:rPr>
            </w:pPr>
            <w:r>
              <w:rPr>
                <w:color w:val="000000" w:themeColor="text1"/>
              </w:rPr>
              <w:t>Module 5 Discussion</w:t>
            </w:r>
          </w:p>
          <w:p w14:paraId="39260A39" w14:textId="2EE1694F" w:rsidR="002C3B63" w:rsidRDefault="002C3B63" w:rsidP="001E2069">
            <w:pPr>
              <w:rPr>
                <w:color w:val="000000" w:themeColor="text1"/>
              </w:rPr>
            </w:pPr>
            <w:r>
              <w:rPr>
                <w:color w:val="000000" w:themeColor="text1"/>
              </w:rPr>
              <w:t>Micro teaching demo:</w:t>
            </w:r>
          </w:p>
          <w:p w14:paraId="39A3AA3E" w14:textId="4ED3D47B" w:rsidR="002C3B63" w:rsidRDefault="002C3B63" w:rsidP="001E2069">
            <w:pPr>
              <w:rPr>
                <w:color w:val="000000" w:themeColor="text1"/>
              </w:rPr>
            </w:pPr>
          </w:p>
        </w:tc>
      </w:tr>
      <w:tr w:rsidR="002C3B63" w14:paraId="2643A8A2"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6FAC20B" w14:textId="0D424C88" w:rsidR="002C3B63" w:rsidRDefault="00867EC9" w:rsidP="00C12A8B">
            <w:pPr>
              <w:rPr>
                <w:color w:val="000000" w:themeColor="text1"/>
              </w:rPr>
            </w:pPr>
            <w:r>
              <w:rPr>
                <w:color w:val="000000" w:themeColor="text1"/>
              </w:rPr>
              <w:t xml:space="preserve">8 </w:t>
            </w:r>
            <w:r w:rsidR="00A72C1D">
              <w:rPr>
                <w:color w:val="000000" w:themeColor="text1"/>
              </w:rPr>
              <w:t>2/29</w:t>
            </w:r>
            <w:r w:rsidR="002C3B63">
              <w:rPr>
                <w:color w:val="000000" w:themeColor="text1"/>
              </w:rPr>
              <w:t xml:space="preserve">: </w:t>
            </w:r>
          </w:p>
          <w:p w14:paraId="1B901CCE" w14:textId="77777777" w:rsidR="002C3B63" w:rsidRDefault="002C3B63" w:rsidP="001E2069">
            <w:pPr>
              <w:rPr>
                <w:color w:val="000000" w:themeColor="text1"/>
              </w:rPr>
            </w:pP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19FF98F" w14:textId="77777777" w:rsidR="002C3B63" w:rsidRDefault="002C3B63" w:rsidP="00C12A8B">
            <w:pPr>
              <w:rPr>
                <w:color w:val="000000" w:themeColor="text1"/>
              </w:rPr>
            </w:pPr>
            <w:r>
              <w:rPr>
                <w:color w:val="000000" w:themeColor="text1"/>
              </w:rPr>
              <w:t>Module 6: Integrated course design – Step 3 Feedback and assessment</w:t>
            </w:r>
          </w:p>
          <w:p w14:paraId="02ADD10C" w14:textId="5135CF12" w:rsidR="002C3B63" w:rsidRDefault="002C3B63" w:rsidP="00C12A8B">
            <w:pPr>
              <w:rPr>
                <w:color w:val="000000" w:themeColor="text1"/>
              </w:rPr>
            </w:pPr>
            <w:r>
              <w:rPr>
                <w:color w:val="000000" w:themeColor="text1"/>
              </w:rPr>
              <w:t>Issues in assessment</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B6B027B" w14:textId="77777777" w:rsidR="002C3B63" w:rsidRDefault="002C3B63" w:rsidP="00C12A8B">
            <w:pPr>
              <w:rPr>
                <w:color w:val="000000" w:themeColor="text1"/>
              </w:rPr>
            </w:pPr>
            <w:r>
              <w:rPr>
                <w:color w:val="000000" w:themeColor="text1"/>
              </w:rPr>
              <w:t>Read: Fink (2003) pages 4 – 21</w:t>
            </w:r>
          </w:p>
          <w:p w14:paraId="434AFBB4" w14:textId="77777777" w:rsidR="002C3B63" w:rsidRDefault="002C3B63" w:rsidP="00C12A8B">
            <w:pPr>
              <w:rPr>
                <w:color w:val="000000" w:themeColor="text1"/>
              </w:rPr>
            </w:pPr>
            <w:r>
              <w:rPr>
                <w:color w:val="000000" w:themeColor="text1"/>
              </w:rPr>
              <w:t xml:space="preserve">Read: </w:t>
            </w:r>
            <w:hyperlink r:id="rId23" w:history="1">
              <w:r w:rsidRPr="00F67D2E">
                <w:rPr>
                  <w:rStyle w:val="Hyperlink"/>
                </w:rPr>
                <w:t>https://www.edutopia.org/blog/sammamish-4-authentic-assessment-in-action-mark-wilbert</w:t>
              </w:r>
            </w:hyperlink>
          </w:p>
          <w:p w14:paraId="2EA70C1F" w14:textId="77777777" w:rsidR="002C3B63" w:rsidRDefault="002C3B63" w:rsidP="00C12A8B">
            <w:pPr>
              <w:rPr>
                <w:color w:val="000000" w:themeColor="text1"/>
              </w:rPr>
            </w:pPr>
          </w:p>
          <w:p w14:paraId="5988D208" w14:textId="77777777" w:rsidR="002C3B63" w:rsidRDefault="002C3B63" w:rsidP="00C12A8B">
            <w:pPr>
              <w:rPr>
                <w:color w:val="000000" w:themeColor="text1"/>
              </w:rPr>
            </w:pPr>
            <w:r>
              <w:rPr>
                <w:color w:val="000000" w:themeColor="text1"/>
              </w:rPr>
              <w:t xml:space="preserve">Explore:  </w:t>
            </w:r>
            <w:hyperlink r:id="rId24" w:history="1">
              <w:r w:rsidRPr="00F67D2E">
                <w:rPr>
                  <w:rStyle w:val="Hyperlink"/>
                </w:rPr>
                <w:t>http://www.nea.org/tools/lessons/57730.htm</w:t>
              </w:r>
            </w:hyperlink>
          </w:p>
          <w:p w14:paraId="61397467" w14:textId="77777777" w:rsidR="002C3B63" w:rsidRDefault="002C3B63" w:rsidP="0055643B">
            <w:pPr>
              <w:rPr>
                <w:color w:val="000000" w:themeColor="text1"/>
              </w:rPr>
            </w:pP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B6DCDB" w14:textId="4061EA93" w:rsidR="002C3B63" w:rsidRDefault="002C3B63" w:rsidP="001E2069">
            <w:pPr>
              <w:rPr>
                <w:color w:val="000000" w:themeColor="text1"/>
              </w:rPr>
            </w:pPr>
            <w:r>
              <w:rPr>
                <w:color w:val="000000" w:themeColor="text1"/>
              </w:rPr>
              <w:t>Micro teaching demo:</w:t>
            </w:r>
          </w:p>
        </w:tc>
      </w:tr>
      <w:tr w:rsidR="00A72C1D" w14:paraId="72B85CA1" w14:textId="77777777" w:rsidTr="00A72C1D">
        <w:trPr>
          <w:cantSplit/>
          <w:trHeight w:val="327"/>
        </w:trPr>
        <w:tc>
          <w:tcPr>
            <w:tcW w:w="5000" w:type="pct"/>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15A5D41" w14:textId="46E6CF69" w:rsidR="00A72C1D" w:rsidRDefault="00A72C1D" w:rsidP="001E2069">
            <w:pPr>
              <w:rPr>
                <w:color w:val="000000" w:themeColor="text1"/>
              </w:rPr>
            </w:pPr>
            <w:r>
              <w:rPr>
                <w:color w:val="000000" w:themeColor="text1"/>
              </w:rPr>
              <w:t>Spring Break 3/6 – 3/10</w:t>
            </w:r>
          </w:p>
        </w:tc>
      </w:tr>
      <w:tr w:rsidR="002C3B63" w14:paraId="52B8D645"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3679BE" w14:textId="2931A3E4" w:rsidR="002C3B63" w:rsidRPr="00C85390" w:rsidRDefault="00A72C1D" w:rsidP="001E2069">
            <w:pPr>
              <w:rPr>
                <w:color w:val="000000" w:themeColor="text1"/>
              </w:rPr>
            </w:pPr>
            <w:r>
              <w:rPr>
                <w:color w:val="000000" w:themeColor="text1"/>
              </w:rPr>
              <w:t xml:space="preserve">9 </w:t>
            </w:r>
            <w:r w:rsidR="00B9166F">
              <w:rPr>
                <w:color w:val="000000" w:themeColor="text1"/>
              </w:rPr>
              <w:t>3/15</w:t>
            </w:r>
            <w:r w:rsidR="002C3B63">
              <w:rPr>
                <w:color w:val="000000" w:themeColor="text1"/>
              </w:rPr>
              <w:t xml:space="preserve">: </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AA28FF0" w14:textId="45F42602" w:rsidR="002C3B63" w:rsidRDefault="002C3B63" w:rsidP="00167128">
            <w:pPr>
              <w:rPr>
                <w:color w:val="000000" w:themeColor="text1"/>
              </w:rPr>
            </w:pPr>
            <w:r>
              <w:rPr>
                <w:color w:val="000000" w:themeColor="text1"/>
              </w:rPr>
              <w:t>Module 7: Integrated course design – Step 4 Teaching/Learning Activities</w:t>
            </w:r>
          </w:p>
          <w:p w14:paraId="3978AC0D" w14:textId="77777777" w:rsidR="002C3B63" w:rsidRDefault="002C3B63" w:rsidP="00167128">
            <w:pPr>
              <w:rPr>
                <w:color w:val="000000" w:themeColor="text1"/>
              </w:rPr>
            </w:pPr>
            <w:r>
              <w:rPr>
                <w:color w:val="000000" w:themeColor="text1"/>
              </w:rPr>
              <w:t>Varied and Differentiated Instruction</w:t>
            </w:r>
          </w:p>
          <w:p w14:paraId="48E94C0F" w14:textId="656D3B99" w:rsidR="002C3B63" w:rsidRPr="00C85390" w:rsidRDefault="002C3B63" w:rsidP="00167128">
            <w:pPr>
              <w:rPr>
                <w:color w:val="000000" w:themeColor="text1"/>
              </w:rPr>
            </w:pPr>
            <w:r>
              <w:rPr>
                <w:color w:val="000000" w:themeColor="text1"/>
              </w:rPr>
              <w:t>Using technology for education</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62E4709" w14:textId="77777777" w:rsidR="002C3B63" w:rsidRDefault="002C3B63" w:rsidP="0055643B">
            <w:pPr>
              <w:rPr>
                <w:color w:val="000000" w:themeColor="text1"/>
              </w:rPr>
            </w:pPr>
            <w:r>
              <w:rPr>
                <w:color w:val="000000" w:themeColor="text1"/>
              </w:rPr>
              <w:t>Read: Fink (2003) pages 4 – 21</w:t>
            </w:r>
          </w:p>
          <w:p w14:paraId="767148A5" w14:textId="5DBEAB61" w:rsidR="002C3B63" w:rsidRDefault="002C3B63" w:rsidP="0055643B">
            <w:pPr>
              <w:rPr>
                <w:color w:val="000000" w:themeColor="text1"/>
              </w:rPr>
            </w:pPr>
            <w:r>
              <w:rPr>
                <w:color w:val="000000" w:themeColor="text1"/>
              </w:rPr>
              <w:t>Read: Differentiation Tomlinson (pdf)</w:t>
            </w:r>
          </w:p>
          <w:p w14:paraId="72FCD46E" w14:textId="10C1571D" w:rsidR="002C3B63" w:rsidRDefault="002C3B63" w:rsidP="0055643B">
            <w:pPr>
              <w:rPr>
                <w:color w:val="000000" w:themeColor="text1"/>
              </w:rPr>
            </w:pPr>
          </w:p>
          <w:p w14:paraId="686E7A51" w14:textId="77777777" w:rsidR="002C3B63" w:rsidRDefault="002C3B63" w:rsidP="0055643B">
            <w:pPr>
              <w:rPr>
                <w:color w:val="000000" w:themeColor="text1"/>
              </w:rPr>
            </w:pPr>
            <w:r>
              <w:rPr>
                <w:color w:val="000000" w:themeColor="text1"/>
              </w:rPr>
              <w:t xml:space="preserve">Explore: </w:t>
            </w:r>
            <w:hyperlink r:id="rId25" w:history="1">
              <w:r w:rsidRPr="00F67D2E">
                <w:rPr>
                  <w:rStyle w:val="Hyperlink"/>
                </w:rPr>
                <w:t>https://www.edutopia.org/blogs/tag/differentiated-instruction</w:t>
              </w:r>
            </w:hyperlink>
          </w:p>
          <w:p w14:paraId="1A35D0DA" w14:textId="77777777" w:rsidR="002C3B63" w:rsidRDefault="002C3B63" w:rsidP="0055643B">
            <w:pPr>
              <w:rPr>
                <w:color w:val="000000" w:themeColor="text1"/>
              </w:rPr>
            </w:pP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9BAD6D4" w14:textId="77777777" w:rsidR="002C3B63" w:rsidRDefault="002C3B63" w:rsidP="001E2069">
            <w:pPr>
              <w:rPr>
                <w:color w:val="000000" w:themeColor="text1"/>
              </w:rPr>
            </w:pPr>
            <w:r>
              <w:rPr>
                <w:color w:val="000000" w:themeColor="text1"/>
              </w:rPr>
              <w:t>Module 7 Discussion</w:t>
            </w:r>
          </w:p>
          <w:p w14:paraId="0A62770B" w14:textId="1389D4F1" w:rsidR="002C3B63" w:rsidRDefault="002C3B63" w:rsidP="001E2069">
            <w:pPr>
              <w:rPr>
                <w:color w:val="000000" w:themeColor="text1"/>
              </w:rPr>
            </w:pPr>
            <w:r>
              <w:rPr>
                <w:color w:val="000000" w:themeColor="text1"/>
              </w:rPr>
              <w:t>Micro teaching demo:</w:t>
            </w:r>
          </w:p>
          <w:p w14:paraId="5D564C45" w14:textId="6D652344" w:rsidR="002C3B63" w:rsidRDefault="002C3B63" w:rsidP="001E2069">
            <w:pPr>
              <w:rPr>
                <w:color w:val="000000" w:themeColor="text1"/>
              </w:rPr>
            </w:pPr>
          </w:p>
        </w:tc>
      </w:tr>
      <w:tr w:rsidR="002C3B63" w14:paraId="18384B48"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3E75615" w14:textId="2DB68DE6" w:rsidR="002C3B63" w:rsidRDefault="002C3B63" w:rsidP="001E2069">
            <w:pPr>
              <w:rPr>
                <w:color w:val="000000" w:themeColor="text1"/>
              </w:rPr>
            </w:pPr>
            <w:r>
              <w:rPr>
                <w:color w:val="000000" w:themeColor="text1"/>
              </w:rPr>
              <w:t>1</w:t>
            </w:r>
            <w:r w:rsidR="00B9166F">
              <w:rPr>
                <w:color w:val="000000" w:themeColor="text1"/>
              </w:rPr>
              <w:t>0 3/2</w:t>
            </w:r>
            <w:r w:rsidR="003779C2">
              <w:rPr>
                <w:color w:val="000000" w:themeColor="text1"/>
              </w:rPr>
              <w:t>2</w:t>
            </w:r>
            <w:r>
              <w:rPr>
                <w:color w:val="000000" w:themeColor="text1"/>
              </w:rPr>
              <w:t xml:space="preserve">: </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CDE3441" w14:textId="60A68868" w:rsidR="002C3B63" w:rsidRDefault="002C3B63" w:rsidP="001E2069">
            <w:pPr>
              <w:rPr>
                <w:color w:val="000000" w:themeColor="text1"/>
              </w:rPr>
            </w:pPr>
            <w:r>
              <w:rPr>
                <w:color w:val="000000" w:themeColor="text1"/>
              </w:rPr>
              <w:t>Module 8: Integrated course design – Step 5-9 Integration; Criteria for assessing course designs</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17C7E63" w14:textId="77777777" w:rsidR="002C3B63" w:rsidRDefault="002C3B63" w:rsidP="0055643B">
            <w:pPr>
              <w:rPr>
                <w:color w:val="000000" w:themeColor="text1"/>
              </w:rPr>
            </w:pPr>
            <w:r>
              <w:rPr>
                <w:color w:val="000000" w:themeColor="text1"/>
              </w:rPr>
              <w:t>Read: Fink (2003) pages 4 – 21</w:t>
            </w:r>
          </w:p>
          <w:p w14:paraId="200953CA" w14:textId="77777777" w:rsidR="002C3B63" w:rsidRDefault="002C3B63" w:rsidP="0055643B">
            <w:pPr>
              <w:rPr>
                <w:color w:val="000000" w:themeColor="text1"/>
              </w:rPr>
            </w:pPr>
            <w:r>
              <w:rPr>
                <w:color w:val="000000" w:themeColor="text1"/>
              </w:rPr>
              <w:t>Read: Fink (2003) pages 23 - 24</w:t>
            </w:r>
          </w:p>
          <w:p w14:paraId="1387662D" w14:textId="77777777" w:rsidR="002C3B63" w:rsidRDefault="002C3B63" w:rsidP="001E2069">
            <w:pPr>
              <w:rPr>
                <w:color w:val="000000" w:themeColor="text1"/>
              </w:rPr>
            </w:pP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F3E76A8" w14:textId="77777777" w:rsidR="002C3B63" w:rsidRDefault="002C3B63" w:rsidP="006E5BE8">
            <w:pPr>
              <w:rPr>
                <w:color w:val="000000" w:themeColor="text1"/>
              </w:rPr>
            </w:pPr>
            <w:r>
              <w:rPr>
                <w:color w:val="000000" w:themeColor="text1"/>
              </w:rPr>
              <w:t>Module 8 Discussion</w:t>
            </w:r>
          </w:p>
          <w:p w14:paraId="3AC7A601" w14:textId="7B60637C" w:rsidR="002C3B63" w:rsidRDefault="002C3B63" w:rsidP="001E2069">
            <w:pPr>
              <w:rPr>
                <w:color w:val="000000" w:themeColor="text1"/>
              </w:rPr>
            </w:pPr>
            <w:r>
              <w:rPr>
                <w:color w:val="000000" w:themeColor="text1"/>
              </w:rPr>
              <w:t>Micro teaching demo:</w:t>
            </w:r>
          </w:p>
        </w:tc>
      </w:tr>
      <w:tr w:rsidR="002C3B63" w14:paraId="3AB53C5E"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8D92F7" w14:textId="12B7FBEA" w:rsidR="002C3B63" w:rsidRPr="00C85390" w:rsidRDefault="002C3B63" w:rsidP="001E2069">
            <w:pPr>
              <w:rPr>
                <w:color w:val="000000" w:themeColor="text1"/>
              </w:rPr>
            </w:pPr>
            <w:r>
              <w:rPr>
                <w:color w:val="000000" w:themeColor="text1"/>
              </w:rPr>
              <w:t>1</w:t>
            </w:r>
            <w:r w:rsidR="00B9166F">
              <w:rPr>
                <w:color w:val="000000" w:themeColor="text1"/>
              </w:rPr>
              <w:t>1 3/29</w:t>
            </w:r>
            <w:r>
              <w:rPr>
                <w:color w:val="000000" w:themeColor="text1"/>
              </w:rPr>
              <w:t xml:space="preserve">: </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24BC81A" w14:textId="439278B7" w:rsidR="002C3B63" w:rsidRPr="00C85390" w:rsidRDefault="002C3B63" w:rsidP="001E2069">
            <w:pPr>
              <w:rPr>
                <w:color w:val="000000" w:themeColor="text1"/>
              </w:rPr>
            </w:pPr>
            <w:r>
              <w:rPr>
                <w:color w:val="000000" w:themeColor="text1"/>
              </w:rPr>
              <w:t>Module 9: Integrated course design – Final Design Phase Steps 9 – 12</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7F8508B" w14:textId="54EFB440" w:rsidR="002C3B63" w:rsidRDefault="002C3B63" w:rsidP="0055643B">
            <w:pPr>
              <w:rPr>
                <w:color w:val="000000" w:themeColor="text1"/>
              </w:rPr>
            </w:pPr>
            <w:r>
              <w:rPr>
                <w:color w:val="000000" w:themeColor="text1"/>
              </w:rPr>
              <w:t>Read: Fink (2003) pages 25 – 33</w:t>
            </w: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23D724" w14:textId="77777777" w:rsidR="002C3B63" w:rsidRDefault="002C3B63" w:rsidP="001E2069">
            <w:pPr>
              <w:rPr>
                <w:color w:val="000000" w:themeColor="text1"/>
              </w:rPr>
            </w:pPr>
            <w:r>
              <w:rPr>
                <w:color w:val="000000" w:themeColor="text1"/>
              </w:rPr>
              <w:t>Module 9 Discussion</w:t>
            </w:r>
          </w:p>
          <w:p w14:paraId="21CC6E6E" w14:textId="27DC6303" w:rsidR="002C3B63" w:rsidRDefault="002C3B63" w:rsidP="001E2069">
            <w:pPr>
              <w:rPr>
                <w:color w:val="000000" w:themeColor="text1"/>
              </w:rPr>
            </w:pPr>
            <w:r>
              <w:rPr>
                <w:color w:val="000000" w:themeColor="text1"/>
              </w:rPr>
              <w:t>Micro teaching demo:</w:t>
            </w:r>
          </w:p>
        </w:tc>
      </w:tr>
      <w:tr w:rsidR="002C3B63" w14:paraId="56A96EDA"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8FC3519" w14:textId="0A07AA12" w:rsidR="002C3B63" w:rsidRDefault="002C3B63" w:rsidP="001E2069">
            <w:pPr>
              <w:tabs>
                <w:tab w:val="left" w:pos="855"/>
              </w:tabs>
              <w:rPr>
                <w:color w:val="000000" w:themeColor="text1"/>
              </w:rPr>
            </w:pPr>
            <w:r>
              <w:rPr>
                <w:color w:val="000000" w:themeColor="text1"/>
              </w:rPr>
              <w:t>1</w:t>
            </w:r>
            <w:r w:rsidR="00B9166F">
              <w:rPr>
                <w:color w:val="000000" w:themeColor="text1"/>
              </w:rPr>
              <w:t>2</w:t>
            </w:r>
            <w:r>
              <w:rPr>
                <w:color w:val="000000" w:themeColor="text1"/>
              </w:rPr>
              <w:t xml:space="preserve">: </w:t>
            </w:r>
            <w:r w:rsidR="003779C2">
              <w:rPr>
                <w:color w:val="000000" w:themeColor="text1"/>
              </w:rPr>
              <w:t>4/5</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3E8DCC6F" w14:textId="6AE2AB19" w:rsidR="002C3B63" w:rsidRDefault="002C3B63" w:rsidP="001E2069">
            <w:pPr>
              <w:rPr>
                <w:color w:val="000000" w:themeColor="text1"/>
              </w:rPr>
            </w:pPr>
            <w:r>
              <w:rPr>
                <w:color w:val="000000" w:themeColor="text1"/>
              </w:rPr>
              <w:t>Module 10: Visual Syllabus</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67AD0364" w14:textId="77777777" w:rsidR="002C3B63" w:rsidRPr="007212C6" w:rsidRDefault="002C3B63" w:rsidP="0055643B">
            <w:pPr>
              <w:rPr>
                <w:b/>
                <w:bCs/>
                <w:color w:val="000000" w:themeColor="text1"/>
              </w:rPr>
            </w:pP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06E40981" w14:textId="66F735F4" w:rsidR="002C3B63" w:rsidRDefault="002C3B63" w:rsidP="001E2069">
            <w:pPr>
              <w:rPr>
                <w:color w:val="000000" w:themeColor="text1"/>
              </w:rPr>
            </w:pPr>
            <w:r>
              <w:rPr>
                <w:color w:val="000000" w:themeColor="text1"/>
              </w:rPr>
              <w:t>Module 10 Discussion</w:t>
            </w:r>
          </w:p>
          <w:p w14:paraId="60E89BAF" w14:textId="63A32F7B" w:rsidR="002C3B63" w:rsidRDefault="002C3B63" w:rsidP="00C12A8B">
            <w:pPr>
              <w:rPr>
                <w:color w:val="000000" w:themeColor="text1"/>
              </w:rPr>
            </w:pPr>
          </w:p>
        </w:tc>
      </w:tr>
      <w:tr w:rsidR="002C3B63" w14:paraId="398D2DB2" w14:textId="77777777" w:rsidTr="002C3B63">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5BCAC2A" w14:textId="75DFC730" w:rsidR="002C3B63" w:rsidRDefault="002C3B63" w:rsidP="001E2069">
            <w:pPr>
              <w:tabs>
                <w:tab w:val="left" w:pos="855"/>
              </w:tabs>
              <w:rPr>
                <w:color w:val="000000" w:themeColor="text1"/>
              </w:rPr>
            </w:pPr>
            <w:r>
              <w:rPr>
                <w:color w:val="000000" w:themeColor="text1"/>
              </w:rPr>
              <w:t>1</w:t>
            </w:r>
            <w:r w:rsidR="003779C2">
              <w:rPr>
                <w:color w:val="000000" w:themeColor="text1"/>
              </w:rPr>
              <w:t>3</w:t>
            </w:r>
            <w:r>
              <w:rPr>
                <w:color w:val="000000" w:themeColor="text1"/>
              </w:rPr>
              <w:t xml:space="preserve">: </w:t>
            </w:r>
            <w:r w:rsidR="003779C2">
              <w:rPr>
                <w:color w:val="000000" w:themeColor="text1"/>
              </w:rPr>
              <w:t>4/12</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25A2E4" w14:textId="584CACCF" w:rsidR="002C3B63" w:rsidRDefault="002C3B63" w:rsidP="001E2069">
            <w:pPr>
              <w:rPr>
                <w:color w:val="000000" w:themeColor="text1"/>
              </w:rPr>
            </w:pPr>
            <w:proofErr w:type="spellStart"/>
            <w:r>
              <w:rPr>
                <w:color w:val="000000" w:themeColor="text1"/>
              </w:rPr>
              <w:t>ePortfolio</w:t>
            </w:r>
            <w:proofErr w:type="spellEnd"/>
            <w:r>
              <w:rPr>
                <w:color w:val="000000" w:themeColor="text1"/>
              </w:rPr>
              <w:t xml:space="preserve"> work session</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88613D0" w14:textId="53FE116F" w:rsidR="002C3B63" w:rsidRDefault="002C3B63" w:rsidP="001E2069">
            <w:pPr>
              <w:rPr>
                <w:color w:val="000000" w:themeColor="text1"/>
              </w:rPr>
            </w:pP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2906C07" w14:textId="71E2CDB0" w:rsidR="002C3B63" w:rsidRDefault="002C3B63" w:rsidP="00C12A8B">
            <w:pPr>
              <w:rPr>
                <w:color w:val="000000" w:themeColor="text1"/>
              </w:rPr>
            </w:pPr>
          </w:p>
        </w:tc>
      </w:tr>
      <w:tr w:rsidR="002C3B63" w14:paraId="541A3A84" w14:textId="77777777" w:rsidTr="003779C2">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F32389B" w14:textId="0C0B1ADC" w:rsidR="002C3B63" w:rsidRPr="003779C2" w:rsidRDefault="002C3B63" w:rsidP="001E2069">
            <w:pPr>
              <w:rPr>
                <w:color w:val="000000" w:themeColor="text1"/>
              </w:rPr>
            </w:pPr>
            <w:r w:rsidRPr="003779C2">
              <w:rPr>
                <w:color w:val="000000" w:themeColor="text1"/>
              </w:rPr>
              <w:t>1</w:t>
            </w:r>
            <w:r w:rsidR="003779C2" w:rsidRPr="003779C2">
              <w:rPr>
                <w:color w:val="000000" w:themeColor="text1"/>
              </w:rPr>
              <w:t>4</w:t>
            </w:r>
            <w:r w:rsidRPr="003779C2">
              <w:rPr>
                <w:color w:val="000000" w:themeColor="text1"/>
              </w:rPr>
              <w:t xml:space="preserve">: </w:t>
            </w:r>
            <w:r w:rsidR="003779C2" w:rsidRPr="003779C2">
              <w:rPr>
                <w:color w:val="000000" w:themeColor="text1"/>
              </w:rPr>
              <w:t>4/19</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B25B38" w14:textId="532DCDC3" w:rsidR="002C3B63" w:rsidRDefault="003779C2" w:rsidP="001E2069">
            <w:pPr>
              <w:rPr>
                <w:color w:val="000000" w:themeColor="text1"/>
              </w:rPr>
            </w:pPr>
            <w:proofErr w:type="spellStart"/>
            <w:r>
              <w:rPr>
                <w:color w:val="000000" w:themeColor="text1"/>
              </w:rPr>
              <w:t>ePortfolio</w:t>
            </w:r>
            <w:proofErr w:type="spellEnd"/>
            <w:r>
              <w:rPr>
                <w:color w:val="000000" w:themeColor="text1"/>
              </w:rPr>
              <w:t xml:space="preserve"> work session</w:t>
            </w:r>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F4064DA" w14:textId="77777777" w:rsidR="002C3B63" w:rsidRDefault="002C3B63" w:rsidP="001E2069">
            <w:pPr>
              <w:rPr>
                <w:color w:val="000000" w:themeColor="text1"/>
              </w:rPr>
            </w:pP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3F4096B" w14:textId="739AC729" w:rsidR="002C3B63" w:rsidRDefault="002C3B63" w:rsidP="00C12A8B">
            <w:pPr>
              <w:rPr>
                <w:color w:val="000000" w:themeColor="text1"/>
              </w:rPr>
            </w:pPr>
          </w:p>
        </w:tc>
      </w:tr>
      <w:tr w:rsidR="003779C2" w14:paraId="655AAC39" w14:textId="77777777" w:rsidTr="003779C2">
        <w:trPr>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13EFF7C" w14:textId="707FA442" w:rsidR="003779C2" w:rsidRPr="003779C2" w:rsidRDefault="003779C2" w:rsidP="001E2069">
            <w:pPr>
              <w:rPr>
                <w:b/>
                <w:bCs/>
                <w:color w:val="000000" w:themeColor="text1"/>
              </w:rPr>
            </w:pPr>
            <w:r w:rsidRPr="003779C2">
              <w:rPr>
                <w:b/>
                <w:bCs/>
                <w:color w:val="000000" w:themeColor="text1"/>
              </w:rPr>
              <w:t>15: 4/26</w:t>
            </w:r>
          </w:p>
        </w:tc>
        <w:tc>
          <w:tcPr>
            <w:tcW w:w="9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8DC1197" w14:textId="2728F542" w:rsidR="003779C2" w:rsidRDefault="003779C2" w:rsidP="001E2069">
            <w:pPr>
              <w:rPr>
                <w:color w:val="000000" w:themeColor="text1"/>
              </w:rPr>
            </w:pPr>
            <w:r>
              <w:rPr>
                <w:color w:val="000000" w:themeColor="text1"/>
              </w:rPr>
              <w:t xml:space="preserve">Final presentation of course syllabus and </w:t>
            </w:r>
            <w:proofErr w:type="spellStart"/>
            <w:r>
              <w:rPr>
                <w:color w:val="000000" w:themeColor="text1"/>
              </w:rPr>
              <w:t>ePortfolio</w:t>
            </w:r>
            <w:proofErr w:type="spellEnd"/>
          </w:p>
        </w:tc>
        <w:tc>
          <w:tcPr>
            <w:tcW w:w="198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B83A8" w14:textId="77777777" w:rsidR="003779C2" w:rsidRDefault="003779C2" w:rsidP="001E2069">
            <w:pPr>
              <w:rPr>
                <w:color w:val="000000" w:themeColor="text1"/>
              </w:rPr>
            </w:pPr>
          </w:p>
        </w:tc>
        <w:tc>
          <w:tcPr>
            <w:tcW w:w="12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16878A" w14:textId="77777777" w:rsidR="003779C2" w:rsidRDefault="003779C2" w:rsidP="00C12A8B">
            <w:pPr>
              <w:rPr>
                <w:color w:val="000000" w:themeColor="text1"/>
              </w:rPr>
            </w:pPr>
          </w:p>
        </w:tc>
      </w:tr>
      <w:tr w:rsidR="003779C2" w14:paraId="04C8FC02" w14:textId="77777777" w:rsidTr="002C3B63">
        <w:trPr>
          <w:cnfStyle w:val="010000000000" w:firstRow="0" w:lastRow="1" w:firstColumn="0" w:lastColumn="0" w:oddVBand="0" w:evenVBand="0" w:oddHBand="0" w:evenHBand="0" w:firstRowFirstColumn="0" w:firstRowLastColumn="0" w:lastRowFirstColumn="0" w:lastRowLastColumn="0"/>
          <w:cantSplit/>
          <w:trHeight w:val="327"/>
        </w:trPr>
        <w:tc>
          <w:tcPr>
            <w:tcW w:w="8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3461078" w14:textId="283EA6B8" w:rsidR="003779C2" w:rsidRPr="003779C2" w:rsidRDefault="003779C2" w:rsidP="001E2069">
            <w:pPr>
              <w:rPr>
                <w:b w:val="0"/>
                <w:bCs w:val="0"/>
                <w:color w:val="000000" w:themeColor="text1"/>
              </w:rPr>
            </w:pPr>
            <w:r>
              <w:rPr>
                <w:b w:val="0"/>
                <w:bCs w:val="0"/>
                <w:color w:val="000000" w:themeColor="text1"/>
              </w:rPr>
              <w:t>Final Exam: TBA</w:t>
            </w:r>
          </w:p>
        </w:tc>
        <w:tc>
          <w:tcPr>
            <w:tcW w:w="993" w:type="pct"/>
            <w:tcBorders>
              <w:top w:val="single" w:sz="6" w:space="0" w:color="17365D" w:themeColor="text2" w:themeShade="BF"/>
              <w:left w:val="single" w:sz="6" w:space="0" w:color="17365D" w:themeColor="text2" w:themeShade="BF"/>
              <w:right w:val="single" w:sz="6" w:space="0" w:color="17365D" w:themeColor="text2" w:themeShade="BF"/>
            </w:tcBorders>
          </w:tcPr>
          <w:p w14:paraId="71F2A475" w14:textId="77777777" w:rsidR="003779C2" w:rsidRDefault="003779C2" w:rsidP="001E2069">
            <w:pPr>
              <w:rPr>
                <w:color w:val="000000" w:themeColor="text1"/>
              </w:rPr>
            </w:pPr>
          </w:p>
        </w:tc>
        <w:tc>
          <w:tcPr>
            <w:tcW w:w="1988" w:type="pct"/>
            <w:tcBorders>
              <w:top w:val="single" w:sz="6" w:space="0" w:color="17365D" w:themeColor="text2" w:themeShade="BF"/>
              <w:left w:val="single" w:sz="6" w:space="0" w:color="17365D" w:themeColor="text2" w:themeShade="BF"/>
              <w:right w:val="single" w:sz="6" w:space="0" w:color="17365D" w:themeColor="text2" w:themeShade="BF"/>
            </w:tcBorders>
          </w:tcPr>
          <w:p w14:paraId="049C06AE" w14:textId="77777777" w:rsidR="003779C2" w:rsidRDefault="003779C2" w:rsidP="001E2069">
            <w:pPr>
              <w:rPr>
                <w:color w:val="000000" w:themeColor="text1"/>
              </w:rPr>
            </w:pPr>
          </w:p>
        </w:tc>
        <w:tc>
          <w:tcPr>
            <w:tcW w:w="1210" w:type="pct"/>
            <w:tcBorders>
              <w:top w:val="single" w:sz="6" w:space="0" w:color="17365D" w:themeColor="text2" w:themeShade="BF"/>
              <w:left w:val="single" w:sz="6" w:space="0" w:color="17365D" w:themeColor="text2" w:themeShade="BF"/>
              <w:right w:val="single" w:sz="6" w:space="0" w:color="17365D" w:themeColor="text2" w:themeShade="BF"/>
            </w:tcBorders>
          </w:tcPr>
          <w:p w14:paraId="70B90385" w14:textId="77777777" w:rsidR="003779C2" w:rsidRDefault="003779C2" w:rsidP="00C12A8B">
            <w:pPr>
              <w:rPr>
                <w:color w:val="000000" w:themeColor="text1"/>
              </w:rPr>
            </w:pPr>
          </w:p>
        </w:tc>
      </w:tr>
    </w:tbl>
    <w:p w14:paraId="11ECA32B" w14:textId="4F1824C6" w:rsidR="001D3446" w:rsidRDefault="001D3446" w:rsidP="00A8663F">
      <w:pPr>
        <w:tabs>
          <w:tab w:val="left" w:pos="4230"/>
        </w:tabs>
      </w:pPr>
    </w:p>
    <w:p w14:paraId="76253840" w14:textId="1E0EA78B" w:rsidR="00BD4099" w:rsidRPr="00A8663F" w:rsidRDefault="00BD4099" w:rsidP="00651997">
      <w:pPr>
        <w:spacing w:after="200"/>
      </w:pPr>
    </w:p>
    <w:sectPr w:rsidR="00BD4099" w:rsidRPr="00A8663F" w:rsidSect="00102B32">
      <w:footerReference w:type="default" r:id="rId26"/>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5D0E" w14:textId="77777777" w:rsidR="009C54D0" w:rsidRDefault="009C54D0" w:rsidP="0032232D">
      <w:r>
        <w:separator/>
      </w:r>
    </w:p>
  </w:endnote>
  <w:endnote w:type="continuationSeparator" w:id="0">
    <w:p w14:paraId="50A640A1" w14:textId="77777777" w:rsidR="009C54D0" w:rsidRDefault="009C54D0" w:rsidP="0032232D">
      <w:r>
        <w:continuationSeparator/>
      </w:r>
    </w:p>
  </w:endnote>
  <w:endnote w:type="continuationNotice" w:id="1">
    <w:p w14:paraId="479715B8" w14:textId="77777777" w:rsidR="009C54D0" w:rsidRDefault="009C5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Content>
      <w:p w14:paraId="59424C3D" w14:textId="05791A57" w:rsidR="00D65D98" w:rsidRDefault="00D65D98">
        <w:pPr>
          <w:pStyle w:val="Footer"/>
          <w:jc w:val="right"/>
        </w:pPr>
        <w:r>
          <w:fldChar w:fldCharType="begin"/>
        </w:r>
        <w:r>
          <w:instrText xml:space="preserve"> PAGE   \* MERGEFORMAT </w:instrText>
        </w:r>
        <w:r>
          <w:fldChar w:fldCharType="separate"/>
        </w:r>
        <w:r w:rsidR="00A8663F">
          <w:rPr>
            <w:noProof/>
          </w:rPr>
          <w:t>1</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686C" w14:textId="77777777" w:rsidR="009C54D0" w:rsidRDefault="009C54D0" w:rsidP="0032232D">
      <w:r>
        <w:separator/>
      </w:r>
    </w:p>
  </w:footnote>
  <w:footnote w:type="continuationSeparator" w:id="0">
    <w:p w14:paraId="08767255" w14:textId="77777777" w:rsidR="009C54D0" w:rsidRDefault="009C54D0" w:rsidP="0032232D">
      <w:r>
        <w:continuationSeparator/>
      </w:r>
    </w:p>
  </w:footnote>
  <w:footnote w:type="continuationNotice" w:id="1">
    <w:p w14:paraId="5F72231C" w14:textId="77777777" w:rsidR="009C54D0" w:rsidRDefault="009C54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134765">
    <w:abstractNumId w:val="16"/>
  </w:num>
  <w:num w:numId="2" w16cid:durableId="668171682">
    <w:abstractNumId w:val="7"/>
  </w:num>
  <w:num w:numId="3" w16cid:durableId="585530520">
    <w:abstractNumId w:val="6"/>
  </w:num>
  <w:num w:numId="4" w16cid:durableId="2073042657">
    <w:abstractNumId w:val="24"/>
  </w:num>
  <w:num w:numId="5" w16cid:durableId="1556701281">
    <w:abstractNumId w:val="19"/>
  </w:num>
  <w:num w:numId="6" w16cid:durableId="160170550">
    <w:abstractNumId w:val="22"/>
  </w:num>
  <w:num w:numId="7" w16cid:durableId="2064866418">
    <w:abstractNumId w:val="31"/>
  </w:num>
  <w:num w:numId="8" w16cid:durableId="1716157280">
    <w:abstractNumId w:val="39"/>
  </w:num>
  <w:num w:numId="9" w16cid:durableId="634070864">
    <w:abstractNumId w:val="10"/>
  </w:num>
  <w:num w:numId="10" w16cid:durableId="515116099">
    <w:abstractNumId w:val="13"/>
  </w:num>
  <w:num w:numId="11" w16cid:durableId="331681389">
    <w:abstractNumId w:val="43"/>
  </w:num>
  <w:num w:numId="12" w16cid:durableId="2020501722">
    <w:abstractNumId w:val="38"/>
  </w:num>
  <w:num w:numId="13" w16cid:durableId="201598388">
    <w:abstractNumId w:val="26"/>
  </w:num>
  <w:num w:numId="14" w16cid:durableId="103308009">
    <w:abstractNumId w:val="37"/>
  </w:num>
  <w:num w:numId="15" w16cid:durableId="2025205958">
    <w:abstractNumId w:val="8"/>
  </w:num>
  <w:num w:numId="16" w16cid:durableId="856164909">
    <w:abstractNumId w:val="29"/>
  </w:num>
  <w:num w:numId="17" w16cid:durableId="1179663147">
    <w:abstractNumId w:val="15"/>
  </w:num>
  <w:num w:numId="18" w16cid:durableId="605620372">
    <w:abstractNumId w:val="12"/>
  </w:num>
  <w:num w:numId="19" w16cid:durableId="2036031959">
    <w:abstractNumId w:val="32"/>
  </w:num>
  <w:num w:numId="20" w16cid:durableId="1687170222">
    <w:abstractNumId w:val="41"/>
  </w:num>
  <w:num w:numId="21" w16cid:durableId="259215429">
    <w:abstractNumId w:val="23"/>
  </w:num>
  <w:num w:numId="22" w16cid:durableId="1616257395">
    <w:abstractNumId w:val="35"/>
  </w:num>
  <w:num w:numId="23" w16cid:durableId="1506282939">
    <w:abstractNumId w:val="40"/>
  </w:num>
  <w:num w:numId="24" w16cid:durableId="1232305409">
    <w:abstractNumId w:val="45"/>
  </w:num>
  <w:num w:numId="25" w16cid:durableId="269893413">
    <w:abstractNumId w:val="44"/>
  </w:num>
  <w:num w:numId="26" w16cid:durableId="1938437105">
    <w:abstractNumId w:val="33"/>
  </w:num>
  <w:num w:numId="27" w16cid:durableId="1791629025">
    <w:abstractNumId w:val="20"/>
  </w:num>
  <w:num w:numId="28" w16cid:durableId="2073650413">
    <w:abstractNumId w:val="5"/>
  </w:num>
  <w:num w:numId="29" w16cid:durableId="1588534805">
    <w:abstractNumId w:val="28"/>
  </w:num>
  <w:num w:numId="30" w16cid:durableId="1416632617">
    <w:abstractNumId w:val="30"/>
  </w:num>
  <w:num w:numId="31" w16cid:durableId="342324540">
    <w:abstractNumId w:val="4"/>
  </w:num>
  <w:num w:numId="32" w16cid:durableId="2082285329">
    <w:abstractNumId w:val="21"/>
  </w:num>
  <w:num w:numId="33" w16cid:durableId="1786465715">
    <w:abstractNumId w:val="14"/>
  </w:num>
  <w:num w:numId="34" w16cid:durableId="94518818">
    <w:abstractNumId w:val="9"/>
  </w:num>
  <w:num w:numId="35" w16cid:durableId="1042093976">
    <w:abstractNumId w:val="0"/>
  </w:num>
  <w:num w:numId="36" w16cid:durableId="1085031357">
    <w:abstractNumId w:val="1"/>
  </w:num>
  <w:num w:numId="37" w16cid:durableId="2079471616">
    <w:abstractNumId w:val="27"/>
  </w:num>
  <w:num w:numId="38" w16cid:durableId="1347247786">
    <w:abstractNumId w:val="17"/>
  </w:num>
  <w:num w:numId="39" w16cid:durableId="1424454565">
    <w:abstractNumId w:val="34"/>
  </w:num>
  <w:num w:numId="40" w16cid:durableId="1384792941">
    <w:abstractNumId w:val="3"/>
  </w:num>
  <w:num w:numId="41" w16cid:durableId="1151679662">
    <w:abstractNumId w:val="42"/>
  </w:num>
  <w:num w:numId="42" w16cid:durableId="16778325">
    <w:abstractNumId w:val="2"/>
  </w:num>
  <w:num w:numId="43" w16cid:durableId="1402364469">
    <w:abstractNumId w:val="18"/>
  </w:num>
  <w:num w:numId="44" w16cid:durableId="1596134845">
    <w:abstractNumId w:val="36"/>
  </w:num>
  <w:num w:numId="45" w16cid:durableId="1865367242">
    <w:abstractNumId w:val="25"/>
  </w:num>
  <w:num w:numId="46" w16cid:durableId="1449541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0F4D"/>
    <w:rsid w:val="0000204D"/>
    <w:rsid w:val="00007ED8"/>
    <w:rsid w:val="000101B1"/>
    <w:rsid w:val="0001170B"/>
    <w:rsid w:val="0002042B"/>
    <w:rsid w:val="0002205B"/>
    <w:rsid w:val="00022B3B"/>
    <w:rsid w:val="000249EB"/>
    <w:rsid w:val="00026B40"/>
    <w:rsid w:val="000336F1"/>
    <w:rsid w:val="000365FB"/>
    <w:rsid w:val="000378A6"/>
    <w:rsid w:val="0004451C"/>
    <w:rsid w:val="0004721D"/>
    <w:rsid w:val="00047F0D"/>
    <w:rsid w:val="00050E72"/>
    <w:rsid w:val="00053C1D"/>
    <w:rsid w:val="0006053D"/>
    <w:rsid w:val="00063F17"/>
    <w:rsid w:val="000678A2"/>
    <w:rsid w:val="000729E7"/>
    <w:rsid w:val="00073137"/>
    <w:rsid w:val="00073BDF"/>
    <w:rsid w:val="00077547"/>
    <w:rsid w:val="0008239C"/>
    <w:rsid w:val="00082C39"/>
    <w:rsid w:val="000833FA"/>
    <w:rsid w:val="000942A5"/>
    <w:rsid w:val="000943B4"/>
    <w:rsid w:val="000945BD"/>
    <w:rsid w:val="00094C6D"/>
    <w:rsid w:val="000970EB"/>
    <w:rsid w:val="000A5432"/>
    <w:rsid w:val="000A6DA5"/>
    <w:rsid w:val="000A7713"/>
    <w:rsid w:val="000B1F6F"/>
    <w:rsid w:val="000B31CD"/>
    <w:rsid w:val="000C1A61"/>
    <w:rsid w:val="000C3574"/>
    <w:rsid w:val="000C423A"/>
    <w:rsid w:val="000C7CCA"/>
    <w:rsid w:val="000D1F10"/>
    <w:rsid w:val="000E64F5"/>
    <w:rsid w:val="000F29F6"/>
    <w:rsid w:val="000F6A45"/>
    <w:rsid w:val="00102505"/>
    <w:rsid w:val="00102B32"/>
    <w:rsid w:val="00104010"/>
    <w:rsid w:val="0011404C"/>
    <w:rsid w:val="00115FC4"/>
    <w:rsid w:val="001228D1"/>
    <w:rsid w:val="00124172"/>
    <w:rsid w:val="001252B5"/>
    <w:rsid w:val="00136089"/>
    <w:rsid w:val="00136389"/>
    <w:rsid w:val="00136B26"/>
    <w:rsid w:val="0015400F"/>
    <w:rsid w:val="00154041"/>
    <w:rsid w:val="0015483B"/>
    <w:rsid w:val="001555CE"/>
    <w:rsid w:val="0015757A"/>
    <w:rsid w:val="00157E0A"/>
    <w:rsid w:val="00167128"/>
    <w:rsid w:val="001678DE"/>
    <w:rsid w:val="001718CF"/>
    <w:rsid w:val="00172592"/>
    <w:rsid w:val="00172D29"/>
    <w:rsid w:val="001745B9"/>
    <w:rsid w:val="0017518D"/>
    <w:rsid w:val="001838DA"/>
    <w:rsid w:val="0019073F"/>
    <w:rsid w:val="0019415C"/>
    <w:rsid w:val="001A1DCC"/>
    <w:rsid w:val="001A2CA1"/>
    <w:rsid w:val="001A4123"/>
    <w:rsid w:val="001B616E"/>
    <w:rsid w:val="001C21EC"/>
    <w:rsid w:val="001C2C76"/>
    <w:rsid w:val="001C3FEB"/>
    <w:rsid w:val="001C438C"/>
    <w:rsid w:val="001C48E0"/>
    <w:rsid w:val="001D3446"/>
    <w:rsid w:val="001E2069"/>
    <w:rsid w:val="002024F5"/>
    <w:rsid w:val="00205C00"/>
    <w:rsid w:val="00210A2F"/>
    <w:rsid w:val="00215962"/>
    <w:rsid w:val="00220169"/>
    <w:rsid w:val="00222BE8"/>
    <w:rsid w:val="00223B25"/>
    <w:rsid w:val="00224A9A"/>
    <w:rsid w:val="00230F73"/>
    <w:rsid w:val="002332E1"/>
    <w:rsid w:val="00236B54"/>
    <w:rsid w:val="00237C3E"/>
    <w:rsid w:val="002433DC"/>
    <w:rsid w:val="00244067"/>
    <w:rsid w:val="00244102"/>
    <w:rsid w:val="002445CD"/>
    <w:rsid w:val="002450BF"/>
    <w:rsid w:val="0024758D"/>
    <w:rsid w:val="00256E5F"/>
    <w:rsid w:val="00257B92"/>
    <w:rsid w:val="002628B0"/>
    <w:rsid w:val="002676E6"/>
    <w:rsid w:val="002750E1"/>
    <w:rsid w:val="00293D51"/>
    <w:rsid w:val="002A27AA"/>
    <w:rsid w:val="002A357E"/>
    <w:rsid w:val="002B734C"/>
    <w:rsid w:val="002C0927"/>
    <w:rsid w:val="002C3B63"/>
    <w:rsid w:val="002D3F2D"/>
    <w:rsid w:val="002E3580"/>
    <w:rsid w:val="002E359E"/>
    <w:rsid w:val="002E5154"/>
    <w:rsid w:val="002E7C10"/>
    <w:rsid w:val="002F2011"/>
    <w:rsid w:val="002F330A"/>
    <w:rsid w:val="002F5589"/>
    <w:rsid w:val="00300185"/>
    <w:rsid w:val="003062E4"/>
    <w:rsid w:val="00307D00"/>
    <w:rsid w:val="003131BC"/>
    <w:rsid w:val="00313A6E"/>
    <w:rsid w:val="003150F3"/>
    <w:rsid w:val="0032232D"/>
    <w:rsid w:val="0032667C"/>
    <w:rsid w:val="00332BB4"/>
    <w:rsid w:val="00344B27"/>
    <w:rsid w:val="00346FEC"/>
    <w:rsid w:val="0035229B"/>
    <w:rsid w:val="00353CA1"/>
    <w:rsid w:val="00363349"/>
    <w:rsid w:val="00367279"/>
    <w:rsid w:val="003779C2"/>
    <w:rsid w:val="00377E45"/>
    <w:rsid w:val="003810CD"/>
    <w:rsid w:val="00382E63"/>
    <w:rsid w:val="00385F7B"/>
    <w:rsid w:val="00386769"/>
    <w:rsid w:val="0039058D"/>
    <w:rsid w:val="00390FC7"/>
    <w:rsid w:val="00392750"/>
    <w:rsid w:val="003927F9"/>
    <w:rsid w:val="00394CAB"/>
    <w:rsid w:val="00395AF8"/>
    <w:rsid w:val="003A098D"/>
    <w:rsid w:val="003A2F66"/>
    <w:rsid w:val="003A5AF9"/>
    <w:rsid w:val="003B0A72"/>
    <w:rsid w:val="003B169B"/>
    <w:rsid w:val="003B1E8B"/>
    <w:rsid w:val="003B79DD"/>
    <w:rsid w:val="003C1E33"/>
    <w:rsid w:val="003C3A0E"/>
    <w:rsid w:val="003D0921"/>
    <w:rsid w:val="003D3349"/>
    <w:rsid w:val="003E30E3"/>
    <w:rsid w:val="00400B4B"/>
    <w:rsid w:val="00401772"/>
    <w:rsid w:val="0041371F"/>
    <w:rsid w:val="00414A73"/>
    <w:rsid w:val="00420844"/>
    <w:rsid w:val="00425ABA"/>
    <w:rsid w:val="0043474D"/>
    <w:rsid w:val="004470E7"/>
    <w:rsid w:val="00451013"/>
    <w:rsid w:val="00457A4B"/>
    <w:rsid w:val="0046276F"/>
    <w:rsid w:val="00465FE9"/>
    <w:rsid w:val="00466ABE"/>
    <w:rsid w:val="00485203"/>
    <w:rsid w:val="004906A9"/>
    <w:rsid w:val="00493B13"/>
    <w:rsid w:val="004A089C"/>
    <w:rsid w:val="004A1E63"/>
    <w:rsid w:val="004B2A34"/>
    <w:rsid w:val="004D231A"/>
    <w:rsid w:val="004D3368"/>
    <w:rsid w:val="004D3A72"/>
    <w:rsid w:val="004D66D6"/>
    <w:rsid w:val="004E5C25"/>
    <w:rsid w:val="004E744A"/>
    <w:rsid w:val="004F1ED2"/>
    <w:rsid w:val="004F2D10"/>
    <w:rsid w:val="004F3724"/>
    <w:rsid w:val="004F5963"/>
    <w:rsid w:val="00506FA6"/>
    <w:rsid w:val="0051036F"/>
    <w:rsid w:val="0051067A"/>
    <w:rsid w:val="00512043"/>
    <w:rsid w:val="00513890"/>
    <w:rsid w:val="005138F2"/>
    <w:rsid w:val="0052209F"/>
    <w:rsid w:val="00542702"/>
    <w:rsid w:val="0054390E"/>
    <w:rsid w:val="005445F6"/>
    <w:rsid w:val="00544D13"/>
    <w:rsid w:val="00545DB4"/>
    <w:rsid w:val="005477AF"/>
    <w:rsid w:val="00551DA2"/>
    <w:rsid w:val="0055643B"/>
    <w:rsid w:val="00561DC0"/>
    <w:rsid w:val="00565B70"/>
    <w:rsid w:val="00566713"/>
    <w:rsid w:val="00571E72"/>
    <w:rsid w:val="00573961"/>
    <w:rsid w:val="005766AE"/>
    <w:rsid w:val="005932A7"/>
    <w:rsid w:val="005A2A1F"/>
    <w:rsid w:val="005A66E5"/>
    <w:rsid w:val="005A7233"/>
    <w:rsid w:val="005B12EB"/>
    <w:rsid w:val="005B44A2"/>
    <w:rsid w:val="005B59AF"/>
    <w:rsid w:val="005C79B1"/>
    <w:rsid w:val="005D46B6"/>
    <w:rsid w:val="005D49F2"/>
    <w:rsid w:val="005D6385"/>
    <w:rsid w:val="005E0A46"/>
    <w:rsid w:val="005E0F16"/>
    <w:rsid w:val="005E0FCC"/>
    <w:rsid w:val="005E377C"/>
    <w:rsid w:val="005E5CBA"/>
    <w:rsid w:val="005E6523"/>
    <w:rsid w:val="005F286C"/>
    <w:rsid w:val="005F2A1B"/>
    <w:rsid w:val="005F3B8D"/>
    <w:rsid w:val="005F58F7"/>
    <w:rsid w:val="005F6232"/>
    <w:rsid w:val="00602E2E"/>
    <w:rsid w:val="00610B57"/>
    <w:rsid w:val="00617961"/>
    <w:rsid w:val="00626CDD"/>
    <w:rsid w:val="006376E9"/>
    <w:rsid w:val="0064030F"/>
    <w:rsid w:val="00640E4F"/>
    <w:rsid w:val="00644D69"/>
    <w:rsid w:val="0064596C"/>
    <w:rsid w:val="00645FA7"/>
    <w:rsid w:val="00646775"/>
    <w:rsid w:val="00651997"/>
    <w:rsid w:val="00656A55"/>
    <w:rsid w:val="00656E57"/>
    <w:rsid w:val="00660588"/>
    <w:rsid w:val="00662428"/>
    <w:rsid w:val="00665582"/>
    <w:rsid w:val="00665594"/>
    <w:rsid w:val="00665734"/>
    <w:rsid w:val="006719E0"/>
    <w:rsid w:val="00673A99"/>
    <w:rsid w:val="00680D46"/>
    <w:rsid w:val="00683697"/>
    <w:rsid w:val="00684AFA"/>
    <w:rsid w:val="006859FC"/>
    <w:rsid w:val="00686F69"/>
    <w:rsid w:val="00687081"/>
    <w:rsid w:val="00690682"/>
    <w:rsid w:val="006A0151"/>
    <w:rsid w:val="006A0E0B"/>
    <w:rsid w:val="006C17E3"/>
    <w:rsid w:val="006C2C5F"/>
    <w:rsid w:val="006C33F0"/>
    <w:rsid w:val="006C4C5C"/>
    <w:rsid w:val="006D0225"/>
    <w:rsid w:val="006D6A25"/>
    <w:rsid w:val="006D7484"/>
    <w:rsid w:val="006E36B5"/>
    <w:rsid w:val="006E5BE8"/>
    <w:rsid w:val="006F285E"/>
    <w:rsid w:val="006F40F5"/>
    <w:rsid w:val="006F4A17"/>
    <w:rsid w:val="006F65E4"/>
    <w:rsid w:val="006F6FA4"/>
    <w:rsid w:val="00702DB8"/>
    <w:rsid w:val="007076A2"/>
    <w:rsid w:val="00711B50"/>
    <w:rsid w:val="0072055E"/>
    <w:rsid w:val="007212C6"/>
    <w:rsid w:val="00734199"/>
    <w:rsid w:val="007412BB"/>
    <w:rsid w:val="00743982"/>
    <w:rsid w:val="007478BC"/>
    <w:rsid w:val="00751A4C"/>
    <w:rsid w:val="00754783"/>
    <w:rsid w:val="00757294"/>
    <w:rsid w:val="0076792F"/>
    <w:rsid w:val="00770E8F"/>
    <w:rsid w:val="007713FC"/>
    <w:rsid w:val="00780619"/>
    <w:rsid w:val="00780711"/>
    <w:rsid w:val="00787FAD"/>
    <w:rsid w:val="00791BE7"/>
    <w:rsid w:val="00795B90"/>
    <w:rsid w:val="0079756F"/>
    <w:rsid w:val="007A20F5"/>
    <w:rsid w:val="007A7A9E"/>
    <w:rsid w:val="007B23C4"/>
    <w:rsid w:val="007B3C2C"/>
    <w:rsid w:val="007B6D9F"/>
    <w:rsid w:val="007C2AF6"/>
    <w:rsid w:val="007C2DA2"/>
    <w:rsid w:val="007C442D"/>
    <w:rsid w:val="007D0045"/>
    <w:rsid w:val="007D11F5"/>
    <w:rsid w:val="007D271D"/>
    <w:rsid w:val="007D65A8"/>
    <w:rsid w:val="007E07B1"/>
    <w:rsid w:val="007E680C"/>
    <w:rsid w:val="007E7651"/>
    <w:rsid w:val="007F3E7B"/>
    <w:rsid w:val="007F71D9"/>
    <w:rsid w:val="007F7D10"/>
    <w:rsid w:val="00800DE9"/>
    <w:rsid w:val="00800DF9"/>
    <w:rsid w:val="00802BC1"/>
    <w:rsid w:val="00803AAA"/>
    <w:rsid w:val="0080736B"/>
    <w:rsid w:val="0081085B"/>
    <w:rsid w:val="00813F7C"/>
    <w:rsid w:val="00816B46"/>
    <w:rsid w:val="008205DC"/>
    <w:rsid w:val="00827160"/>
    <w:rsid w:val="00830667"/>
    <w:rsid w:val="00831259"/>
    <w:rsid w:val="00836762"/>
    <w:rsid w:val="008379B8"/>
    <w:rsid w:val="00837D09"/>
    <w:rsid w:val="008545F2"/>
    <w:rsid w:val="00862CE6"/>
    <w:rsid w:val="00867EC9"/>
    <w:rsid w:val="0087174F"/>
    <w:rsid w:val="00880873"/>
    <w:rsid w:val="00884D1B"/>
    <w:rsid w:val="00885FDD"/>
    <w:rsid w:val="00891BE3"/>
    <w:rsid w:val="00893BB4"/>
    <w:rsid w:val="008A0C85"/>
    <w:rsid w:val="008A3EA3"/>
    <w:rsid w:val="008A561C"/>
    <w:rsid w:val="008A74E0"/>
    <w:rsid w:val="008B1D06"/>
    <w:rsid w:val="008D6445"/>
    <w:rsid w:val="008D7447"/>
    <w:rsid w:val="008E7C95"/>
    <w:rsid w:val="008F77F2"/>
    <w:rsid w:val="009069F9"/>
    <w:rsid w:val="00910240"/>
    <w:rsid w:val="00915739"/>
    <w:rsid w:val="0091795E"/>
    <w:rsid w:val="00921320"/>
    <w:rsid w:val="00925CCE"/>
    <w:rsid w:val="00926709"/>
    <w:rsid w:val="00941E7B"/>
    <w:rsid w:val="00943CA4"/>
    <w:rsid w:val="00944DB0"/>
    <w:rsid w:val="00951CD9"/>
    <w:rsid w:val="0096408D"/>
    <w:rsid w:val="00974D31"/>
    <w:rsid w:val="00976663"/>
    <w:rsid w:val="00990101"/>
    <w:rsid w:val="00991517"/>
    <w:rsid w:val="00993225"/>
    <w:rsid w:val="00993305"/>
    <w:rsid w:val="009A1305"/>
    <w:rsid w:val="009A2699"/>
    <w:rsid w:val="009A7934"/>
    <w:rsid w:val="009C14CD"/>
    <w:rsid w:val="009C1EA0"/>
    <w:rsid w:val="009C54D0"/>
    <w:rsid w:val="009C675B"/>
    <w:rsid w:val="009C7D24"/>
    <w:rsid w:val="009D2C9D"/>
    <w:rsid w:val="009D650F"/>
    <w:rsid w:val="009D6D31"/>
    <w:rsid w:val="009D734A"/>
    <w:rsid w:val="009D7F27"/>
    <w:rsid w:val="009E0903"/>
    <w:rsid w:val="009E1E1A"/>
    <w:rsid w:val="009F013B"/>
    <w:rsid w:val="00A03821"/>
    <w:rsid w:val="00A04513"/>
    <w:rsid w:val="00A104F7"/>
    <w:rsid w:val="00A13050"/>
    <w:rsid w:val="00A3094D"/>
    <w:rsid w:val="00A3198C"/>
    <w:rsid w:val="00A447EE"/>
    <w:rsid w:val="00A51617"/>
    <w:rsid w:val="00A56B8B"/>
    <w:rsid w:val="00A6311A"/>
    <w:rsid w:val="00A70AF3"/>
    <w:rsid w:val="00A728F2"/>
    <w:rsid w:val="00A72A8E"/>
    <w:rsid w:val="00A72C1D"/>
    <w:rsid w:val="00A75403"/>
    <w:rsid w:val="00A80404"/>
    <w:rsid w:val="00A8663F"/>
    <w:rsid w:val="00A86BD4"/>
    <w:rsid w:val="00A91046"/>
    <w:rsid w:val="00A97281"/>
    <w:rsid w:val="00AA79E0"/>
    <w:rsid w:val="00AB3559"/>
    <w:rsid w:val="00AB63A1"/>
    <w:rsid w:val="00AC1A0B"/>
    <w:rsid w:val="00AD3D7B"/>
    <w:rsid w:val="00AD5211"/>
    <w:rsid w:val="00AE14BA"/>
    <w:rsid w:val="00AE4232"/>
    <w:rsid w:val="00AF0EAC"/>
    <w:rsid w:val="00AF1F8A"/>
    <w:rsid w:val="00AF259B"/>
    <w:rsid w:val="00AF599C"/>
    <w:rsid w:val="00B01D96"/>
    <w:rsid w:val="00B03629"/>
    <w:rsid w:val="00B049A3"/>
    <w:rsid w:val="00B166EC"/>
    <w:rsid w:val="00B17765"/>
    <w:rsid w:val="00B2480B"/>
    <w:rsid w:val="00B40544"/>
    <w:rsid w:val="00B51D01"/>
    <w:rsid w:val="00B52556"/>
    <w:rsid w:val="00B52636"/>
    <w:rsid w:val="00B60CE8"/>
    <w:rsid w:val="00B63CAB"/>
    <w:rsid w:val="00B6767A"/>
    <w:rsid w:val="00B705D4"/>
    <w:rsid w:val="00B82CDF"/>
    <w:rsid w:val="00B90A19"/>
    <w:rsid w:val="00B9166F"/>
    <w:rsid w:val="00B93DB4"/>
    <w:rsid w:val="00B93E8D"/>
    <w:rsid w:val="00B941BD"/>
    <w:rsid w:val="00BA0A49"/>
    <w:rsid w:val="00BA24A1"/>
    <w:rsid w:val="00BA6FC7"/>
    <w:rsid w:val="00BB20C2"/>
    <w:rsid w:val="00BB3863"/>
    <w:rsid w:val="00BC2E78"/>
    <w:rsid w:val="00BC32AF"/>
    <w:rsid w:val="00BC7386"/>
    <w:rsid w:val="00BD14C6"/>
    <w:rsid w:val="00BD4099"/>
    <w:rsid w:val="00BE0202"/>
    <w:rsid w:val="00BE2FD0"/>
    <w:rsid w:val="00BF5477"/>
    <w:rsid w:val="00C12A8B"/>
    <w:rsid w:val="00C12F41"/>
    <w:rsid w:val="00C17E35"/>
    <w:rsid w:val="00C251F5"/>
    <w:rsid w:val="00C3300C"/>
    <w:rsid w:val="00C4445F"/>
    <w:rsid w:val="00C6123F"/>
    <w:rsid w:val="00C62A26"/>
    <w:rsid w:val="00C6310A"/>
    <w:rsid w:val="00C63B79"/>
    <w:rsid w:val="00C6688F"/>
    <w:rsid w:val="00C75886"/>
    <w:rsid w:val="00C77A4F"/>
    <w:rsid w:val="00C81C92"/>
    <w:rsid w:val="00C85390"/>
    <w:rsid w:val="00C96132"/>
    <w:rsid w:val="00C96CE8"/>
    <w:rsid w:val="00CA0A4D"/>
    <w:rsid w:val="00CA419F"/>
    <w:rsid w:val="00CA5304"/>
    <w:rsid w:val="00CB33BC"/>
    <w:rsid w:val="00CB4ADC"/>
    <w:rsid w:val="00CC1FF5"/>
    <w:rsid w:val="00CC315D"/>
    <w:rsid w:val="00CE29E7"/>
    <w:rsid w:val="00CE346D"/>
    <w:rsid w:val="00CE3513"/>
    <w:rsid w:val="00CE39BB"/>
    <w:rsid w:val="00CE772B"/>
    <w:rsid w:val="00CF1D5B"/>
    <w:rsid w:val="00CF579B"/>
    <w:rsid w:val="00CF57B6"/>
    <w:rsid w:val="00CF6D10"/>
    <w:rsid w:val="00CF7AD9"/>
    <w:rsid w:val="00D009EF"/>
    <w:rsid w:val="00D06A60"/>
    <w:rsid w:val="00D11F82"/>
    <w:rsid w:val="00D12DB5"/>
    <w:rsid w:val="00D16FC4"/>
    <w:rsid w:val="00D2358B"/>
    <w:rsid w:val="00D24A88"/>
    <w:rsid w:val="00D275EB"/>
    <w:rsid w:val="00D27DD6"/>
    <w:rsid w:val="00D32B9C"/>
    <w:rsid w:val="00D36BD7"/>
    <w:rsid w:val="00D4119D"/>
    <w:rsid w:val="00D42C3E"/>
    <w:rsid w:val="00D56F1D"/>
    <w:rsid w:val="00D613DA"/>
    <w:rsid w:val="00D65CCE"/>
    <w:rsid w:val="00D65D98"/>
    <w:rsid w:val="00D6777A"/>
    <w:rsid w:val="00D72575"/>
    <w:rsid w:val="00D7283C"/>
    <w:rsid w:val="00D84D5E"/>
    <w:rsid w:val="00D90FCD"/>
    <w:rsid w:val="00D922F4"/>
    <w:rsid w:val="00D92DAB"/>
    <w:rsid w:val="00D9301D"/>
    <w:rsid w:val="00D942D9"/>
    <w:rsid w:val="00D94360"/>
    <w:rsid w:val="00DA0246"/>
    <w:rsid w:val="00DA33F1"/>
    <w:rsid w:val="00DA4BF6"/>
    <w:rsid w:val="00DA5054"/>
    <w:rsid w:val="00DC7DB1"/>
    <w:rsid w:val="00DD00D1"/>
    <w:rsid w:val="00DD136B"/>
    <w:rsid w:val="00DD2FF3"/>
    <w:rsid w:val="00DE0FB5"/>
    <w:rsid w:val="00DE3525"/>
    <w:rsid w:val="00DE73C0"/>
    <w:rsid w:val="00DF253D"/>
    <w:rsid w:val="00DF68DD"/>
    <w:rsid w:val="00DF6AA1"/>
    <w:rsid w:val="00E018EC"/>
    <w:rsid w:val="00E26F92"/>
    <w:rsid w:val="00E301C5"/>
    <w:rsid w:val="00E32033"/>
    <w:rsid w:val="00E32193"/>
    <w:rsid w:val="00E372BA"/>
    <w:rsid w:val="00E4083A"/>
    <w:rsid w:val="00E46893"/>
    <w:rsid w:val="00E471E4"/>
    <w:rsid w:val="00E57BCE"/>
    <w:rsid w:val="00E67F3D"/>
    <w:rsid w:val="00E73D0F"/>
    <w:rsid w:val="00E81F12"/>
    <w:rsid w:val="00E83059"/>
    <w:rsid w:val="00E84160"/>
    <w:rsid w:val="00E879BB"/>
    <w:rsid w:val="00E93297"/>
    <w:rsid w:val="00EA09FD"/>
    <w:rsid w:val="00EA2E2C"/>
    <w:rsid w:val="00EA36BB"/>
    <w:rsid w:val="00EA48F6"/>
    <w:rsid w:val="00EC1C88"/>
    <w:rsid w:val="00EC5FBA"/>
    <w:rsid w:val="00EC7BB7"/>
    <w:rsid w:val="00EC7F75"/>
    <w:rsid w:val="00ED463E"/>
    <w:rsid w:val="00ED505B"/>
    <w:rsid w:val="00ED5742"/>
    <w:rsid w:val="00ED6D26"/>
    <w:rsid w:val="00EE350B"/>
    <w:rsid w:val="00EE6308"/>
    <w:rsid w:val="00EF2FB8"/>
    <w:rsid w:val="00EF5AA6"/>
    <w:rsid w:val="00EF767B"/>
    <w:rsid w:val="00F03A98"/>
    <w:rsid w:val="00F03BBD"/>
    <w:rsid w:val="00F10437"/>
    <w:rsid w:val="00F13607"/>
    <w:rsid w:val="00F168E8"/>
    <w:rsid w:val="00F16C63"/>
    <w:rsid w:val="00F2035B"/>
    <w:rsid w:val="00F26164"/>
    <w:rsid w:val="00F302FB"/>
    <w:rsid w:val="00F313F2"/>
    <w:rsid w:val="00F346E1"/>
    <w:rsid w:val="00F352F3"/>
    <w:rsid w:val="00F42074"/>
    <w:rsid w:val="00F55B13"/>
    <w:rsid w:val="00F57A31"/>
    <w:rsid w:val="00F6395E"/>
    <w:rsid w:val="00F648C5"/>
    <w:rsid w:val="00F87214"/>
    <w:rsid w:val="00F9213C"/>
    <w:rsid w:val="00F97C80"/>
    <w:rsid w:val="00FA1BCB"/>
    <w:rsid w:val="00FA201A"/>
    <w:rsid w:val="00FA57F6"/>
    <w:rsid w:val="00FA6412"/>
    <w:rsid w:val="00FA7810"/>
    <w:rsid w:val="00FC00F5"/>
    <w:rsid w:val="00FC1825"/>
    <w:rsid w:val="00FC22B3"/>
    <w:rsid w:val="00FC250E"/>
    <w:rsid w:val="00FC7B80"/>
    <w:rsid w:val="00FD0CA9"/>
    <w:rsid w:val="00FD40E4"/>
    <w:rsid w:val="00FD6C5E"/>
    <w:rsid w:val="00FE20B5"/>
    <w:rsid w:val="00FE247C"/>
    <w:rsid w:val="00FE3392"/>
    <w:rsid w:val="00FE60D0"/>
    <w:rsid w:val="00FF6432"/>
    <w:rsid w:val="00FF7C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rsid w:val="00880873"/>
    <w:rPr>
      <w:color w:val="605E5C"/>
      <w:shd w:val="clear" w:color="auto" w:fill="E1DFDD"/>
    </w:rPr>
  </w:style>
  <w:style w:type="character" w:styleId="UnresolvedMention">
    <w:name w:val="Unresolved Mention"/>
    <w:basedOn w:val="DefaultParagraphFont"/>
    <w:uiPriority w:val="99"/>
    <w:semiHidden/>
    <w:unhideWhenUsed/>
    <w:rsid w:val="004E744A"/>
    <w:rPr>
      <w:color w:val="605E5C"/>
      <w:shd w:val="clear" w:color="auto" w:fill="E1DFDD"/>
    </w:rPr>
  </w:style>
  <w:style w:type="paragraph" w:styleId="NormalWeb">
    <w:name w:val="Normal (Web)"/>
    <w:basedOn w:val="Normal"/>
    <w:uiPriority w:val="99"/>
    <w:semiHidden/>
    <w:unhideWhenUsed/>
    <w:rsid w:val="00425ABA"/>
    <w:pPr>
      <w:spacing w:before="100" w:beforeAutospacing="1" w:after="100" w:afterAutospacing="1"/>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1382">
      <w:bodyDiv w:val="1"/>
      <w:marLeft w:val="0"/>
      <w:marRight w:val="0"/>
      <w:marTop w:val="0"/>
      <w:marBottom w:val="0"/>
      <w:divBdr>
        <w:top w:val="none" w:sz="0" w:space="0" w:color="auto"/>
        <w:left w:val="none" w:sz="0" w:space="0" w:color="auto"/>
        <w:bottom w:val="none" w:sz="0" w:space="0" w:color="auto"/>
        <w:right w:val="none" w:sz="0" w:space="0" w:color="auto"/>
      </w:divBdr>
    </w:div>
    <w:div w:id="393509687">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1231">
      <w:bodyDiv w:val="1"/>
      <w:marLeft w:val="0"/>
      <w:marRight w:val="0"/>
      <w:marTop w:val="0"/>
      <w:marBottom w:val="0"/>
      <w:divBdr>
        <w:top w:val="none" w:sz="0" w:space="0" w:color="auto"/>
        <w:left w:val="none" w:sz="0" w:space="0" w:color="auto"/>
        <w:bottom w:val="none" w:sz="0" w:space="0" w:color="auto"/>
        <w:right w:val="none" w:sz="0" w:space="0" w:color="auto"/>
      </w:divBdr>
    </w:div>
    <w:div w:id="1010378824">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102074020">
      <w:bodyDiv w:val="1"/>
      <w:marLeft w:val="0"/>
      <w:marRight w:val="0"/>
      <w:marTop w:val="0"/>
      <w:marBottom w:val="0"/>
      <w:divBdr>
        <w:top w:val="none" w:sz="0" w:space="0" w:color="auto"/>
        <w:left w:val="none" w:sz="0" w:space="0" w:color="auto"/>
        <w:bottom w:val="none" w:sz="0" w:space="0" w:color="auto"/>
        <w:right w:val="none" w:sz="0" w:space="0" w:color="auto"/>
      </w:divBdr>
    </w:div>
    <w:div w:id="1227885837">
      <w:bodyDiv w:val="1"/>
      <w:marLeft w:val="0"/>
      <w:marRight w:val="0"/>
      <w:marTop w:val="0"/>
      <w:marBottom w:val="0"/>
      <w:divBdr>
        <w:top w:val="none" w:sz="0" w:space="0" w:color="auto"/>
        <w:left w:val="none" w:sz="0" w:space="0" w:color="auto"/>
        <w:bottom w:val="none" w:sz="0" w:space="0" w:color="auto"/>
        <w:right w:val="none" w:sz="0" w:space="0" w:color="auto"/>
      </w:divBdr>
    </w:div>
    <w:div w:id="1797871726">
      <w:bodyDiv w:val="1"/>
      <w:marLeft w:val="0"/>
      <w:marRight w:val="0"/>
      <w:marTop w:val="0"/>
      <w:marBottom w:val="0"/>
      <w:divBdr>
        <w:top w:val="none" w:sz="0" w:space="0" w:color="auto"/>
        <w:left w:val="none" w:sz="0" w:space="0" w:color="auto"/>
        <w:bottom w:val="none" w:sz="0" w:space="0" w:color="auto"/>
        <w:right w:val="none" w:sz="0" w:space="0" w:color="auto"/>
      </w:divBdr>
    </w:div>
    <w:div w:id="1869873449">
      <w:bodyDiv w:val="1"/>
      <w:marLeft w:val="0"/>
      <w:marRight w:val="0"/>
      <w:marTop w:val="0"/>
      <w:marBottom w:val="0"/>
      <w:divBdr>
        <w:top w:val="none" w:sz="0" w:space="0" w:color="auto"/>
        <w:left w:val="none" w:sz="0" w:space="0" w:color="auto"/>
        <w:bottom w:val="none" w:sz="0" w:space="0" w:color="auto"/>
        <w:right w:val="none" w:sz="0" w:space="0" w:color="auto"/>
      </w:divBdr>
    </w:div>
    <w:div w:id="1899392487">
      <w:bodyDiv w:val="1"/>
      <w:marLeft w:val="0"/>
      <w:marRight w:val="0"/>
      <w:marTop w:val="0"/>
      <w:marBottom w:val="0"/>
      <w:divBdr>
        <w:top w:val="none" w:sz="0" w:space="0" w:color="auto"/>
        <w:left w:val="none" w:sz="0" w:space="0" w:color="auto"/>
        <w:bottom w:val="none" w:sz="0" w:space="0" w:color="auto"/>
        <w:right w:val="none" w:sz="0" w:space="0" w:color="auto"/>
      </w:divBdr>
    </w:div>
    <w:div w:id="1959023688">
      <w:bodyDiv w:val="1"/>
      <w:marLeft w:val="0"/>
      <w:marRight w:val="0"/>
      <w:marTop w:val="0"/>
      <w:marBottom w:val="0"/>
      <w:divBdr>
        <w:top w:val="none" w:sz="0" w:space="0" w:color="auto"/>
        <w:left w:val="none" w:sz="0" w:space="0" w:color="auto"/>
        <w:bottom w:val="none" w:sz="0" w:space="0" w:color="auto"/>
        <w:right w:val="none" w:sz="0" w:space="0" w:color="auto"/>
      </w:divBdr>
    </w:div>
    <w:div w:id="2129733436">
      <w:bodyDiv w:val="1"/>
      <w:marLeft w:val="0"/>
      <w:marRight w:val="0"/>
      <w:marTop w:val="0"/>
      <w:marBottom w:val="0"/>
      <w:divBdr>
        <w:top w:val="none" w:sz="0" w:space="0" w:color="auto"/>
        <w:left w:val="none" w:sz="0" w:space="0" w:color="auto"/>
        <w:bottom w:val="none" w:sz="0" w:space="0" w:color="auto"/>
        <w:right w:val="none" w:sz="0" w:space="0" w:color="auto"/>
      </w:divBdr>
    </w:div>
    <w:div w:id="214345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yperlink" Target="https://dci.stanford.edu/wp-content/uploads/2018/03/mindset-chap-1-3.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w6vVXmwYvgs&amp;feature=youtu.be" TargetMode="Externa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hyperlink" Target="http://www.auburn.edu/main/auweb_calendar.php" TargetMode="External"/><Relationship Id="rId25" Type="http://schemas.openxmlformats.org/officeDocument/2006/relationships/hyperlink" Target="https://www.edutopia.org/blogs/tag/differentiated-instruction" TargetMode="External"/><Relationship Id="rId2" Type="http://schemas.openxmlformats.org/officeDocument/2006/relationships/numbering" Target="numbering.xml"/><Relationship Id="rId16" Type="http://schemas.openxmlformats.org/officeDocument/2006/relationships/hyperlink" Target="http://www.auburn.edu/academic/provost/undergrad_studies/support/" TargetMode="External"/><Relationship Id="rId20" Type="http://schemas.openxmlformats.org/officeDocument/2006/relationships/hyperlink" Target="http://wp.auburn.edu/biggio/active-learning-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24" Type="http://schemas.openxmlformats.org/officeDocument/2006/relationships/hyperlink" Target="http://www.nea.org/tools/lessons/57730.htm" TargetMode="External"/><Relationship Id="rId5" Type="http://schemas.openxmlformats.org/officeDocument/2006/relationships/webSettings" Target="webSettings.xml"/><Relationship Id="rId15" Type="http://schemas.openxmlformats.org/officeDocument/2006/relationships/hyperlink" Target="https://cws.auburn.edu/studentAffairs/healthAndWellness/" TargetMode="External"/><Relationship Id="rId23" Type="http://schemas.openxmlformats.org/officeDocument/2006/relationships/hyperlink" Target="https://www.edutopia.org/blog/sammamish-4-authentic-assessment-in-action-mark-wilbert" TargetMode="External"/><Relationship Id="rId28" Type="http://schemas.openxmlformats.org/officeDocument/2006/relationships/theme" Target="theme/theme1.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s://www.ted.com/talks/carol_dweck_the_power_of_believing_that_you_can_improve"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teachonline.asu.edu/2012/07/writing-measurable-learning-objectiv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F8EF-F341-4855-91F6-22F1F548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14</cp:revision>
  <cp:lastPrinted>2023-01-13T13:56:00Z</cp:lastPrinted>
  <dcterms:created xsi:type="dcterms:W3CDTF">2022-12-14T16:27:00Z</dcterms:created>
  <dcterms:modified xsi:type="dcterms:W3CDTF">2023-01-13T15:15:00Z</dcterms:modified>
</cp:coreProperties>
</file>