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A811FD0"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bookmarkStart w:id="0" w:name="OLE_LINK87"/>
      <w:r w:rsidRPr="00F57B8D">
        <w:rPr>
          <w:bCs/>
        </w:rPr>
        <w:t xml:space="preserve">RSED </w:t>
      </w:r>
      <w:r w:rsidR="00007DDF">
        <w:rPr>
          <w:bCs/>
        </w:rPr>
        <w:t>300</w:t>
      </w:r>
      <w:r w:rsidR="00F45A96">
        <w:rPr>
          <w:bCs/>
        </w:rPr>
        <w:t>0</w:t>
      </w:r>
      <w:bookmarkEnd w:id="0"/>
      <w:r>
        <w:rPr>
          <w:bCs/>
        </w:rPr>
        <w:t xml:space="preserve">, </w:t>
      </w:r>
      <w:r w:rsidR="004171BE">
        <w:rPr>
          <w:bCs/>
        </w:rPr>
        <w:t>Spring</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0C73446" w:rsidR="00182FF8" w:rsidRPr="0043075C" w:rsidRDefault="00182FF8" w:rsidP="00182FF8">
      <w:pPr>
        <w:tabs>
          <w:tab w:val="left" w:pos="720"/>
          <w:tab w:val="left" w:pos="1440"/>
          <w:tab w:val="left" w:pos="2160"/>
          <w:tab w:val="left" w:pos="2340"/>
        </w:tabs>
        <w:ind w:left="2592" w:hanging="2592"/>
        <w:rPr>
          <w:bCs/>
        </w:rPr>
      </w:pPr>
      <w:r>
        <w:rPr>
          <w:bCs/>
        </w:rPr>
        <w:tab/>
      </w:r>
      <w:r w:rsidRPr="0043075C">
        <w:rPr>
          <w:b/>
        </w:rPr>
        <w:t>Instructor:</w:t>
      </w:r>
      <w:r w:rsidR="006C0EB9" w:rsidRPr="0043075C">
        <w:rPr>
          <w:b/>
        </w:rPr>
        <w:t xml:space="preserve"> </w:t>
      </w:r>
      <w:r w:rsidR="007376C0" w:rsidRPr="0043075C">
        <w:rPr>
          <w:bCs/>
        </w:rPr>
        <w:t>Dr. Shalece Kohnke</w:t>
      </w:r>
    </w:p>
    <w:p w14:paraId="707E726F" w14:textId="26D137C5" w:rsidR="00182FF8" w:rsidRPr="0043075C" w:rsidRDefault="00182FF8" w:rsidP="00182FF8">
      <w:pPr>
        <w:tabs>
          <w:tab w:val="left" w:pos="720"/>
          <w:tab w:val="left" w:pos="1440"/>
          <w:tab w:val="left" w:pos="2160"/>
          <w:tab w:val="left" w:pos="2340"/>
        </w:tabs>
        <w:ind w:left="2592" w:hanging="2592"/>
        <w:rPr>
          <w:b/>
        </w:rPr>
      </w:pPr>
      <w:r w:rsidRPr="0043075C">
        <w:rPr>
          <w:b/>
        </w:rPr>
        <w:tab/>
        <w:t>Office Address:</w:t>
      </w:r>
      <w:r w:rsidR="006C0EB9" w:rsidRPr="0043075C">
        <w:rPr>
          <w:b/>
        </w:rPr>
        <w:t xml:space="preserve"> </w:t>
      </w:r>
      <w:r w:rsidR="0043075C" w:rsidRPr="0043075C">
        <w:rPr>
          <w:bCs/>
        </w:rPr>
        <w:t>Haley Center 1224-C</w:t>
      </w:r>
    </w:p>
    <w:p w14:paraId="3DF8F0A7" w14:textId="4ED15F3C" w:rsidR="00182FF8" w:rsidRPr="0043075C" w:rsidRDefault="00182FF8" w:rsidP="00182FF8">
      <w:pPr>
        <w:tabs>
          <w:tab w:val="left" w:pos="720"/>
          <w:tab w:val="left" w:pos="1440"/>
          <w:tab w:val="left" w:pos="2160"/>
          <w:tab w:val="left" w:pos="2340"/>
        </w:tabs>
        <w:ind w:left="2592" w:hanging="2592"/>
        <w:rPr>
          <w:bCs/>
        </w:rPr>
      </w:pPr>
      <w:r w:rsidRPr="0043075C">
        <w:rPr>
          <w:b/>
        </w:rPr>
        <w:tab/>
        <w:t>Email Address:</w:t>
      </w:r>
      <w:r w:rsidR="006C0EB9" w:rsidRPr="0043075C">
        <w:rPr>
          <w:b/>
        </w:rPr>
        <w:t xml:space="preserve"> </w:t>
      </w:r>
      <w:hyperlink r:id="rId7" w:history="1">
        <w:r w:rsidR="0043075C" w:rsidRPr="0043075C">
          <w:rPr>
            <w:rStyle w:val="Hyperlink"/>
            <w:bCs/>
          </w:rPr>
          <w:t>ssk0024@auburn.edu</w:t>
        </w:r>
      </w:hyperlink>
    </w:p>
    <w:p w14:paraId="123518E7" w14:textId="631DED56" w:rsidR="00182FF8" w:rsidRPr="0043075C" w:rsidRDefault="00182FF8" w:rsidP="0043075C">
      <w:pPr>
        <w:tabs>
          <w:tab w:val="left" w:pos="720"/>
          <w:tab w:val="left" w:pos="1440"/>
          <w:tab w:val="left" w:pos="2160"/>
          <w:tab w:val="left" w:pos="2340"/>
          <w:tab w:val="left" w:pos="2947"/>
        </w:tabs>
        <w:ind w:left="2592" w:hanging="2592"/>
        <w:rPr>
          <w:bCs/>
        </w:rPr>
      </w:pPr>
      <w:r w:rsidRPr="0043075C">
        <w:rPr>
          <w:b/>
        </w:rPr>
        <w:tab/>
        <w:t>Phone Number:</w:t>
      </w:r>
      <w:r w:rsidR="006C0EB9" w:rsidRPr="0043075C">
        <w:rPr>
          <w:b/>
        </w:rPr>
        <w:t xml:space="preserve"> </w:t>
      </w:r>
      <w:r w:rsidR="0043075C" w:rsidRPr="0043075C">
        <w:rPr>
          <w:bCs/>
        </w:rPr>
        <w:t>(334) 844-7690</w:t>
      </w:r>
    </w:p>
    <w:p w14:paraId="1A090E6B" w14:textId="3F72753D" w:rsidR="00182FF8" w:rsidRPr="0043075C" w:rsidRDefault="00182FF8" w:rsidP="00182FF8">
      <w:pPr>
        <w:tabs>
          <w:tab w:val="left" w:pos="720"/>
          <w:tab w:val="left" w:pos="1440"/>
          <w:tab w:val="left" w:pos="2160"/>
          <w:tab w:val="left" w:pos="2340"/>
        </w:tabs>
        <w:ind w:left="2592" w:hanging="2592"/>
        <w:rPr>
          <w:bCs/>
        </w:rPr>
      </w:pPr>
      <w:r w:rsidRPr="0043075C">
        <w:rPr>
          <w:b/>
        </w:rPr>
        <w:tab/>
        <w:t>Office Hours:</w:t>
      </w:r>
      <w:r w:rsidR="00A0406C" w:rsidRPr="0043075C">
        <w:rPr>
          <w:b/>
        </w:rPr>
        <w:t xml:space="preserve"> </w:t>
      </w:r>
      <w:r w:rsidR="0043075C" w:rsidRPr="0043075C">
        <w:rPr>
          <w:bCs/>
        </w:rPr>
        <w:t>By appointment</w:t>
      </w:r>
    </w:p>
    <w:p w14:paraId="240D56F8" w14:textId="77777777" w:rsidR="0043075C" w:rsidRPr="0043075C" w:rsidRDefault="0043075C" w:rsidP="0043075C">
      <w:pPr>
        <w:tabs>
          <w:tab w:val="left" w:pos="720"/>
          <w:tab w:val="left" w:pos="1440"/>
          <w:tab w:val="left" w:pos="2160"/>
          <w:tab w:val="left" w:pos="2340"/>
        </w:tabs>
        <w:ind w:left="2592" w:hanging="2592"/>
        <w:rPr>
          <w:b/>
        </w:rPr>
      </w:pPr>
      <w:r w:rsidRPr="0043075C">
        <w:rPr>
          <w:b/>
        </w:rPr>
        <w:tab/>
      </w:r>
      <w:r w:rsidRPr="0043075C">
        <w:rPr>
          <w:b/>
        </w:rPr>
        <w:tab/>
        <w:t xml:space="preserve">In-person- </w:t>
      </w:r>
      <w:r w:rsidRPr="0043075C">
        <w:t>Haley Center 1224-C</w:t>
      </w:r>
    </w:p>
    <w:p w14:paraId="2ECE2097" w14:textId="77777777" w:rsidR="0043075C" w:rsidRDefault="0043075C" w:rsidP="0043075C">
      <w:pPr>
        <w:tabs>
          <w:tab w:val="left" w:pos="720"/>
          <w:tab w:val="left" w:pos="1440"/>
          <w:tab w:val="left" w:pos="2160"/>
          <w:tab w:val="left" w:pos="2340"/>
        </w:tabs>
        <w:ind w:left="2592" w:hanging="2592"/>
        <w:rPr>
          <w:b/>
        </w:rPr>
      </w:pPr>
      <w:r w:rsidRPr="0043075C">
        <w:rPr>
          <w:b/>
        </w:rPr>
        <w:tab/>
      </w:r>
      <w:r w:rsidRPr="0043075C">
        <w:rPr>
          <w:b/>
        </w:rPr>
        <w:tab/>
        <w:t xml:space="preserve">Virtual- </w:t>
      </w:r>
      <w:hyperlink r:id="rId8" w:history="1">
        <w:r w:rsidRPr="0043075C">
          <w:rPr>
            <w:rStyle w:val="Hyperlink"/>
            <w:bCs/>
          </w:rPr>
          <w:t>https://auburn.zoom.us/j/82166137821</w:t>
        </w:r>
      </w:hyperlink>
      <w:r>
        <w:rPr>
          <w:b/>
        </w:rPr>
        <w:t xml:space="preserve"> </w:t>
      </w:r>
    </w:p>
    <w:p w14:paraId="3B055ACE" w14:textId="77777777" w:rsidR="0043075C" w:rsidRDefault="0043075C" w:rsidP="00182FF8">
      <w:pPr>
        <w:tabs>
          <w:tab w:val="left" w:pos="720"/>
          <w:tab w:val="left" w:pos="1440"/>
          <w:tab w:val="left" w:pos="2160"/>
          <w:tab w:val="left" w:pos="2340"/>
        </w:tabs>
        <w:ind w:left="2592" w:hanging="2592"/>
        <w:rPr>
          <w:b/>
        </w:rPr>
      </w:pP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C0836F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D558B9">
        <w:t>Spring</w:t>
      </w:r>
      <w:r w:rsidR="00F37DC7">
        <w:t xml:space="preserve"> </w:t>
      </w:r>
      <w:r>
        <w:t>20</w:t>
      </w:r>
      <w:r w:rsidR="006C0EB9">
        <w:t>2</w:t>
      </w:r>
      <w:r w:rsidR="00D558B9">
        <w:t>5</w:t>
      </w:r>
    </w:p>
    <w:p w14:paraId="3EE95029" w14:textId="1E1826D6" w:rsidR="00182FF8" w:rsidRPr="0061654A" w:rsidRDefault="00182FF8" w:rsidP="00182FF8">
      <w:pPr>
        <w:ind w:firstLine="720"/>
      </w:pPr>
      <w:r w:rsidRPr="0061654A">
        <w:rPr>
          <w:b/>
        </w:rPr>
        <w:t>Day/Time:</w:t>
      </w:r>
      <w:r w:rsidRPr="0061654A">
        <w:t xml:space="preserve"> </w:t>
      </w:r>
      <w:r w:rsidR="007376C0">
        <w:t>Tues and Thurs, 9:30-10:45 a.m.</w:t>
      </w:r>
    </w:p>
    <w:p w14:paraId="17B4FAE1" w14:textId="7040912B"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D558B9">
        <w:t>October</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4689C83C" w14:textId="360372A0" w:rsidR="00182FF8" w:rsidRDefault="0009374F" w:rsidP="0043075C">
      <w:pPr>
        <w:rPr>
          <w:rFonts w:cs="Tahoma"/>
        </w:rPr>
      </w:pPr>
      <w:r>
        <w:rPr>
          <w:rFonts w:cs="Tahoma"/>
        </w:rPr>
        <w:t>Houchins,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6.1.6 Provide guidance and direction to paraeducators, tutors, and volunteers.</w:t>
      </w:r>
    </w:p>
    <w:p w14:paraId="6F66F408" w14:textId="77777777" w:rsidR="0043075C" w:rsidRDefault="0043075C">
      <w:pPr>
        <w:rPr>
          <w:rFonts w:eastAsiaTheme="majorEastAsia"/>
          <w:b/>
          <w:bCs/>
          <w:color w:val="000000" w:themeColor="text1"/>
        </w:rPr>
      </w:pPr>
      <w:r>
        <w:rPr>
          <w:b/>
          <w:bCs/>
          <w:color w:val="000000" w:themeColor="text1"/>
        </w:rPr>
        <w:br w:type="page"/>
      </w:r>
    </w:p>
    <w:p w14:paraId="39B57196" w14:textId="400DE069"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lastRenderedPageBreak/>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1" w:name="_Hlk89877775"/>
            <w:r w:rsidRPr="00265888">
              <w:rPr>
                <w:b/>
                <w:sz w:val="20"/>
                <w:szCs w:val="20"/>
              </w:rPr>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5F62B544"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7B6572">
              <w:rPr>
                <w:b/>
                <w:sz w:val="20"/>
                <w:szCs w:val="20"/>
              </w:rPr>
              <w:t>as stated in Canvas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2538AC">
        <w:tc>
          <w:tcPr>
            <w:tcW w:w="895" w:type="dxa"/>
          </w:tcPr>
          <w:p w14:paraId="688CA89E" w14:textId="0EAC1260" w:rsidR="004B740E" w:rsidRDefault="002538AC" w:rsidP="00A732A7">
            <w:pPr>
              <w:rPr>
                <w:sz w:val="20"/>
                <w:szCs w:val="20"/>
              </w:rPr>
            </w:pPr>
            <w:r>
              <w:rPr>
                <w:sz w:val="20"/>
                <w:szCs w:val="20"/>
              </w:rPr>
              <w:t xml:space="preserve">T </w:t>
            </w:r>
            <w:r w:rsidR="00B5582B">
              <w:rPr>
                <w:sz w:val="20"/>
                <w:szCs w:val="20"/>
              </w:rPr>
              <w:t>1/1</w:t>
            </w:r>
            <w:r w:rsidR="00E5141D">
              <w:rPr>
                <w:sz w:val="20"/>
                <w:szCs w:val="20"/>
              </w:rPr>
              <w:t xml:space="preserve">4 </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E5141D" w:rsidRPr="00FE434A" w14:paraId="5CBB3BED" w14:textId="77777777" w:rsidTr="002538AC">
        <w:tc>
          <w:tcPr>
            <w:tcW w:w="895" w:type="dxa"/>
          </w:tcPr>
          <w:p w14:paraId="7944300F" w14:textId="42F666B4" w:rsidR="00E5141D" w:rsidRDefault="002538AC" w:rsidP="00E5141D">
            <w:pPr>
              <w:rPr>
                <w:sz w:val="20"/>
                <w:szCs w:val="20"/>
              </w:rPr>
            </w:pPr>
            <w:r>
              <w:rPr>
                <w:sz w:val="20"/>
                <w:szCs w:val="20"/>
              </w:rPr>
              <w:t xml:space="preserve">Th </w:t>
            </w:r>
            <w:r w:rsidR="00E5141D">
              <w:rPr>
                <w:sz w:val="20"/>
                <w:szCs w:val="20"/>
              </w:rPr>
              <w:t>1/16</w:t>
            </w:r>
          </w:p>
          <w:p w14:paraId="68CD1DC7" w14:textId="77777777" w:rsidR="00E5141D" w:rsidRDefault="00E5141D" w:rsidP="00A732A7">
            <w:pPr>
              <w:rPr>
                <w:sz w:val="20"/>
                <w:szCs w:val="20"/>
              </w:rPr>
            </w:pPr>
          </w:p>
        </w:tc>
        <w:tc>
          <w:tcPr>
            <w:tcW w:w="5400" w:type="dxa"/>
          </w:tcPr>
          <w:p w14:paraId="10C14E51" w14:textId="77777777" w:rsidR="00E5141D" w:rsidRPr="00265888" w:rsidRDefault="00E5141D" w:rsidP="00E5141D">
            <w:pPr>
              <w:rPr>
                <w:b/>
                <w:sz w:val="20"/>
                <w:szCs w:val="20"/>
              </w:rPr>
            </w:pPr>
            <w:r>
              <w:rPr>
                <w:b/>
                <w:sz w:val="20"/>
                <w:szCs w:val="20"/>
              </w:rPr>
              <w:t>Chapter 1 – Teaching Every Student: A Mandate for Today</w:t>
            </w:r>
          </w:p>
          <w:p w14:paraId="1FFC567B" w14:textId="77777777" w:rsidR="00E5141D" w:rsidRPr="00265888" w:rsidRDefault="00E5141D" w:rsidP="00A732A7">
            <w:pPr>
              <w:rPr>
                <w:b/>
                <w:sz w:val="20"/>
                <w:szCs w:val="20"/>
              </w:rPr>
            </w:pPr>
          </w:p>
        </w:tc>
        <w:tc>
          <w:tcPr>
            <w:tcW w:w="2070" w:type="dxa"/>
          </w:tcPr>
          <w:p w14:paraId="2E8E687A" w14:textId="77777777" w:rsidR="00E5141D" w:rsidRPr="00FE434A" w:rsidRDefault="00E5141D" w:rsidP="00A732A7">
            <w:pPr>
              <w:rPr>
                <w:sz w:val="20"/>
                <w:szCs w:val="20"/>
              </w:rPr>
            </w:pPr>
          </w:p>
        </w:tc>
        <w:tc>
          <w:tcPr>
            <w:tcW w:w="2160" w:type="dxa"/>
          </w:tcPr>
          <w:p w14:paraId="284AE837" w14:textId="77777777" w:rsidR="00E5141D" w:rsidRPr="00FE434A" w:rsidRDefault="00E5141D" w:rsidP="0003429D">
            <w:pPr>
              <w:rPr>
                <w:sz w:val="20"/>
                <w:szCs w:val="20"/>
              </w:rPr>
            </w:pPr>
          </w:p>
        </w:tc>
      </w:tr>
      <w:tr w:rsidR="00BA4747" w:rsidRPr="00FE434A" w14:paraId="5A801AD3" w14:textId="77777777" w:rsidTr="002538AC">
        <w:tc>
          <w:tcPr>
            <w:tcW w:w="895" w:type="dxa"/>
          </w:tcPr>
          <w:p w14:paraId="2922781E" w14:textId="779AF200" w:rsidR="00154226" w:rsidRDefault="002538AC" w:rsidP="00A732A7">
            <w:pPr>
              <w:rPr>
                <w:sz w:val="20"/>
                <w:szCs w:val="20"/>
              </w:rPr>
            </w:pPr>
            <w:r>
              <w:rPr>
                <w:sz w:val="20"/>
                <w:szCs w:val="20"/>
              </w:rPr>
              <w:t xml:space="preserve">T </w:t>
            </w:r>
            <w:r w:rsidR="00B5582B">
              <w:rPr>
                <w:sz w:val="20"/>
                <w:szCs w:val="20"/>
              </w:rPr>
              <w:t>1/2</w:t>
            </w:r>
            <w:r w:rsidR="00E5141D">
              <w:rPr>
                <w:sz w:val="20"/>
                <w:szCs w:val="20"/>
              </w:rPr>
              <w:t xml:space="preserve">1 </w:t>
            </w:r>
          </w:p>
          <w:p w14:paraId="5356BD96" w14:textId="1924FCF3" w:rsidR="004B740E" w:rsidRPr="00FE434A" w:rsidRDefault="004B740E" w:rsidP="00A732A7">
            <w:pPr>
              <w:rPr>
                <w:sz w:val="20"/>
                <w:szCs w:val="20"/>
              </w:rPr>
            </w:pPr>
          </w:p>
        </w:tc>
        <w:tc>
          <w:tcPr>
            <w:tcW w:w="5400" w:type="dxa"/>
          </w:tcPr>
          <w:p w14:paraId="0419BD58" w14:textId="7FB5A5F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p>
        </w:tc>
        <w:tc>
          <w:tcPr>
            <w:tcW w:w="2070" w:type="dxa"/>
          </w:tcPr>
          <w:p w14:paraId="7B4516BA" w14:textId="5D37E50F" w:rsidR="00BA4747" w:rsidRPr="00FE434A" w:rsidRDefault="008377B7" w:rsidP="00A732A7">
            <w:pPr>
              <w:rPr>
                <w:sz w:val="20"/>
                <w:szCs w:val="20"/>
              </w:rPr>
            </w:pPr>
            <w:r>
              <w:rPr>
                <w:sz w:val="20"/>
                <w:szCs w:val="20"/>
              </w:rPr>
              <w:t>Chapter 2</w:t>
            </w:r>
          </w:p>
        </w:tc>
        <w:tc>
          <w:tcPr>
            <w:tcW w:w="2160" w:type="dxa"/>
          </w:tcPr>
          <w:p w14:paraId="02E67E04" w14:textId="0520CE75" w:rsidR="00BA4747" w:rsidRPr="00FE434A" w:rsidRDefault="00BA4747" w:rsidP="00057025">
            <w:pPr>
              <w:rPr>
                <w:sz w:val="20"/>
                <w:szCs w:val="20"/>
              </w:rPr>
            </w:pPr>
          </w:p>
        </w:tc>
      </w:tr>
      <w:tr w:rsidR="00E5141D" w:rsidRPr="00FE434A" w14:paraId="5BC3367E" w14:textId="77777777" w:rsidTr="002538AC">
        <w:tc>
          <w:tcPr>
            <w:tcW w:w="895" w:type="dxa"/>
          </w:tcPr>
          <w:p w14:paraId="4C96B23C" w14:textId="455DFF37" w:rsidR="00E5141D" w:rsidRDefault="002538AC" w:rsidP="00A732A7">
            <w:pPr>
              <w:rPr>
                <w:sz w:val="20"/>
                <w:szCs w:val="20"/>
              </w:rPr>
            </w:pPr>
            <w:r>
              <w:rPr>
                <w:sz w:val="20"/>
                <w:szCs w:val="20"/>
              </w:rPr>
              <w:t xml:space="preserve">Th </w:t>
            </w:r>
            <w:r w:rsidR="00E5141D">
              <w:rPr>
                <w:sz w:val="20"/>
                <w:szCs w:val="20"/>
              </w:rPr>
              <w:t>1/23</w:t>
            </w:r>
          </w:p>
        </w:tc>
        <w:tc>
          <w:tcPr>
            <w:tcW w:w="5400" w:type="dxa"/>
          </w:tcPr>
          <w:p w14:paraId="464DD9B2" w14:textId="77777777" w:rsidR="00E5141D" w:rsidRPr="00265888" w:rsidRDefault="00E5141D" w:rsidP="00E5141D">
            <w:pPr>
              <w:rPr>
                <w:b/>
                <w:sz w:val="20"/>
                <w:szCs w:val="20"/>
              </w:rPr>
            </w:pPr>
            <w:r>
              <w:rPr>
                <w:b/>
                <w:sz w:val="20"/>
                <w:szCs w:val="20"/>
              </w:rPr>
              <w:t>Chapter 2 – The Legal Foundation for Special Education</w:t>
            </w:r>
          </w:p>
          <w:p w14:paraId="4C4079C5" w14:textId="77777777" w:rsidR="00E5141D" w:rsidRDefault="00E5141D" w:rsidP="00971B59">
            <w:pPr>
              <w:rPr>
                <w:b/>
                <w:sz w:val="20"/>
                <w:szCs w:val="20"/>
              </w:rPr>
            </w:pPr>
          </w:p>
        </w:tc>
        <w:tc>
          <w:tcPr>
            <w:tcW w:w="2070" w:type="dxa"/>
          </w:tcPr>
          <w:p w14:paraId="608C4977" w14:textId="77777777" w:rsidR="00E5141D" w:rsidRDefault="00E5141D" w:rsidP="00A732A7">
            <w:pPr>
              <w:rPr>
                <w:sz w:val="20"/>
                <w:szCs w:val="20"/>
              </w:rPr>
            </w:pPr>
          </w:p>
        </w:tc>
        <w:tc>
          <w:tcPr>
            <w:tcW w:w="2160" w:type="dxa"/>
          </w:tcPr>
          <w:p w14:paraId="00EB3E57" w14:textId="77777777" w:rsidR="00E5141D" w:rsidRPr="00FE434A" w:rsidRDefault="00E5141D" w:rsidP="00057025">
            <w:pPr>
              <w:rPr>
                <w:sz w:val="20"/>
                <w:szCs w:val="20"/>
              </w:rPr>
            </w:pPr>
          </w:p>
        </w:tc>
      </w:tr>
      <w:tr w:rsidR="00BA4747" w:rsidRPr="00FE434A" w14:paraId="77944C62" w14:textId="77777777" w:rsidTr="002538AC">
        <w:tc>
          <w:tcPr>
            <w:tcW w:w="895" w:type="dxa"/>
          </w:tcPr>
          <w:p w14:paraId="4B24A6BD" w14:textId="30BD170C" w:rsidR="00154226" w:rsidRDefault="002538AC" w:rsidP="00A732A7">
            <w:pPr>
              <w:rPr>
                <w:sz w:val="20"/>
                <w:szCs w:val="20"/>
              </w:rPr>
            </w:pPr>
            <w:r>
              <w:rPr>
                <w:sz w:val="20"/>
                <w:szCs w:val="20"/>
              </w:rPr>
              <w:t xml:space="preserve">T </w:t>
            </w:r>
            <w:r w:rsidR="00B5582B">
              <w:rPr>
                <w:sz w:val="20"/>
                <w:szCs w:val="20"/>
              </w:rPr>
              <w:t>1/2</w:t>
            </w:r>
            <w:r w:rsidR="00E5141D">
              <w:rPr>
                <w:sz w:val="20"/>
                <w:szCs w:val="20"/>
              </w:rPr>
              <w:t xml:space="preserve">8 </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519CAB8F" w14:textId="63800FB3" w:rsidR="00BA4747" w:rsidRPr="00FE434A" w:rsidRDefault="008377B7" w:rsidP="00A732A7">
            <w:pPr>
              <w:rPr>
                <w:sz w:val="20"/>
                <w:szCs w:val="20"/>
              </w:rPr>
            </w:pPr>
            <w:r>
              <w:rPr>
                <w:sz w:val="20"/>
                <w:szCs w:val="20"/>
              </w:rPr>
              <w:t>Chapter 3</w:t>
            </w:r>
          </w:p>
        </w:tc>
        <w:tc>
          <w:tcPr>
            <w:tcW w:w="2160" w:type="dxa"/>
          </w:tcPr>
          <w:p w14:paraId="5DA64D10" w14:textId="6E11E222" w:rsidR="00BA4747" w:rsidRPr="00FE434A" w:rsidRDefault="00BA4747" w:rsidP="00A732A7">
            <w:pPr>
              <w:rPr>
                <w:sz w:val="20"/>
                <w:szCs w:val="20"/>
              </w:rPr>
            </w:pPr>
          </w:p>
        </w:tc>
      </w:tr>
      <w:tr w:rsidR="00E5141D" w:rsidRPr="00FE434A" w14:paraId="1F11B74C" w14:textId="77777777" w:rsidTr="002538AC">
        <w:tc>
          <w:tcPr>
            <w:tcW w:w="895" w:type="dxa"/>
          </w:tcPr>
          <w:p w14:paraId="192A8231" w14:textId="598B4A2A" w:rsidR="00E5141D" w:rsidRDefault="002538AC" w:rsidP="00A732A7">
            <w:pPr>
              <w:rPr>
                <w:sz w:val="20"/>
                <w:szCs w:val="20"/>
              </w:rPr>
            </w:pPr>
            <w:r>
              <w:rPr>
                <w:sz w:val="20"/>
                <w:szCs w:val="20"/>
              </w:rPr>
              <w:t xml:space="preserve">Th </w:t>
            </w:r>
            <w:r w:rsidR="00E5141D">
              <w:rPr>
                <w:sz w:val="20"/>
                <w:szCs w:val="20"/>
              </w:rPr>
              <w:t>1/30</w:t>
            </w:r>
          </w:p>
        </w:tc>
        <w:tc>
          <w:tcPr>
            <w:tcW w:w="5400" w:type="dxa"/>
          </w:tcPr>
          <w:p w14:paraId="5EEB3C47" w14:textId="77777777" w:rsidR="00E5141D" w:rsidRPr="00265888" w:rsidRDefault="00E5141D" w:rsidP="00E5141D">
            <w:pPr>
              <w:rPr>
                <w:b/>
                <w:sz w:val="20"/>
                <w:szCs w:val="20"/>
              </w:rPr>
            </w:pPr>
            <w:r>
              <w:rPr>
                <w:b/>
                <w:sz w:val="20"/>
                <w:szCs w:val="20"/>
              </w:rPr>
              <w:t>Chapter 3 – Diversity and Disability: Issues in Special Education</w:t>
            </w:r>
          </w:p>
          <w:p w14:paraId="0ED142CF" w14:textId="77777777" w:rsidR="00E5141D" w:rsidRDefault="00E5141D" w:rsidP="00971B59">
            <w:pPr>
              <w:rPr>
                <w:b/>
                <w:sz w:val="20"/>
                <w:szCs w:val="20"/>
              </w:rPr>
            </w:pPr>
          </w:p>
        </w:tc>
        <w:tc>
          <w:tcPr>
            <w:tcW w:w="2070" w:type="dxa"/>
          </w:tcPr>
          <w:p w14:paraId="0CFCAABC" w14:textId="77777777" w:rsidR="00E5141D" w:rsidRDefault="00E5141D" w:rsidP="00A732A7">
            <w:pPr>
              <w:rPr>
                <w:sz w:val="20"/>
                <w:szCs w:val="20"/>
              </w:rPr>
            </w:pPr>
          </w:p>
        </w:tc>
        <w:tc>
          <w:tcPr>
            <w:tcW w:w="2160" w:type="dxa"/>
          </w:tcPr>
          <w:p w14:paraId="542EB63A" w14:textId="77777777" w:rsidR="00E5141D" w:rsidRPr="00FE434A" w:rsidRDefault="00E5141D" w:rsidP="00A732A7">
            <w:pPr>
              <w:rPr>
                <w:sz w:val="20"/>
                <w:szCs w:val="20"/>
              </w:rPr>
            </w:pPr>
          </w:p>
        </w:tc>
      </w:tr>
      <w:tr w:rsidR="00BA4747" w:rsidRPr="00FE434A" w14:paraId="62F1C21E" w14:textId="77777777" w:rsidTr="002538AC">
        <w:tc>
          <w:tcPr>
            <w:tcW w:w="895" w:type="dxa"/>
          </w:tcPr>
          <w:p w14:paraId="0F43509A" w14:textId="23D26CA0" w:rsidR="004B740E" w:rsidRDefault="002538AC" w:rsidP="00A732A7">
            <w:pPr>
              <w:rPr>
                <w:sz w:val="20"/>
                <w:szCs w:val="20"/>
              </w:rPr>
            </w:pPr>
            <w:r>
              <w:rPr>
                <w:sz w:val="20"/>
                <w:szCs w:val="20"/>
              </w:rPr>
              <w:t xml:space="preserve">T </w:t>
            </w:r>
            <w:r w:rsidR="00B5582B">
              <w:rPr>
                <w:sz w:val="20"/>
                <w:szCs w:val="20"/>
              </w:rPr>
              <w:t>2/</w:t>
            </w:r>
            <w:r w:rsidR="00E5141D">
              <w:rPr>
                <w:sz w:val="20"/>
                <w:szCs w:val="20"/>
              </w:rPr>
              <w:t xml:space="preserve">4  </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02D9F28B" w14:textId="5A04F701" w:rsidR="00BA4747" w:rsidRPr="00FE434A" w:rsidRDefault="008377B7" w:rsidP="00A732A7">
            <w:pPr>
              <w:rPr>
                <w:sz w:val="20"/>
                <w:szCs w:val="20"/>
              </w:rPr>
            </w:pPr>
            <w:r>
              <w:rPr>
                <w:sz w:val="20"/>
                <w:szCs w:val="20"/>
              </w:rPr>
              <w:t>Chapter 4</w:t>
            </w:r>
          </w:p>
        </w:tc>
        <w:tc>
          <w:tcPr>
            <w:tcW w:w="2160" w:type="dxa"/>
          </w:tcPr>
          <w:p w14:paraId="2CAD87CF" w14:textId="050B4D33" w:rsidR="00BA4747" w:rsidRPr="00FE434A" w:rsidRDefault="00BA4747" w:rsidP="00057025">
            <w:pPr>
              <w:rPr>
                <w:sz w:val="20"/>
                <w:szCs w:val="20"/>
              </w:rPr>
            </w:pPr>
          </w:p>
        </w:tc>
      </w:tr>
      <w:tr w:rsidR="00E5141D" w:rsidRPr="00FE434A" w14:paraId="0CA481CD" w14:textId="77777777" w:rsidTr="002538AC">
        <w:tc>
          <w:tcPr>
            <w:tcW w:w="895" w:type="dxa"/>
          </w:tcPr>
          <w:p w14:paraId="5CD09EBF" w14:textId="7A509747" w:rsidR="00E5141D" w:rsidRDefault="002538AC" w:rsidP="00A732A7">
            <w:pPr>
              <w:rPr>
                <w:sz w:val="20"/>
                <w:szCs w:val="20"/>
              </w:rPr>
            </w:pPr>
            <w:r>
              <w:rPr>
                <w:sz w:val="20"/>
                <w:szCs w:val="20"/>
              </w:rPr>
              <w:t xml:space="preserve">Th </w:t>
            </w:r>
            <w:r w:rsidR="00E5141D">
              <w:rPr>
                <w:sz w:val="20"/>
                <w:szCs w:val="20"/>
              </w:rPr>
              <w:t>2/6</w:t>
            </w:r>
          </w:p>
        </w:tc>
        <w:tc>
          <w:tcPr>
            <w:tcW w:w="5400" w:type="dxa"/>
          </w:tcPr>
          <w:p w14:paraId="686C7B3D" w14:textId="77777777" w:rsidR="00E5141D" w:rsidRPr="00265888" w:rsidRDefault="00E5141D" w:rsidP="00E5141D">
            <w:pPr>
              <w:rPr>
                <w:b/>
                <w:sz w:val="20"/>
                <w:szCs w:val="20"/>
              </w:rPr>
            </w:pPr>
            <w:r>
              <w:rPr>
                <w:b/>
                <w:sz w:val="20"/>
                <w:szCs w:val="20"/>
              </w:rPr>
              <w:t>Chapter 4 – Multi-Tiered Systems of Support</w:t>
            </w:r>
          </w:p>
          <w:p w14:paraId="4A66F4A8" w14:textId="77777777" w:rsidR="00E5141D" w:rsidRDefault="00E5141D" w:rsidP="00176CC6">
            <w:pPr>
              <w:rPr>
                <w:b/>
                <w:sz w:val="20"/>
                <w:szCs w:val="20"/>
              </w:rPr>
            </w:pPr>
          </w:p>
        </w:tc>
        <w:tc>
          <w:tcPr>
            <w:tcW w:w="2070" w:type="dxa"/>
          </w:tcPr>
          <w:p w14:paraId="6AC4A0C1" w14:textId="77777777" w:rsidR="00E5141D" w:rsidRDefault="00E5141D" w:rsidP="00A732A7">
            <w:pPr>
              <w:rPr>
                <w:sz w:val="20"/>
                <w:szCs w:val="20"/>
              </w:rPr>
            </w:pPr>
          </w:p>
        </w:tc>
        <w:tc>
          <w:tcPr>
            <w:tcW w:w="2160" w:type="dxa"/>
          </w:tcPr>
          <w:p w14:paraId="1457F025" w14:textId="77777777" w:rsidR="00E5141D" w:rsidRPr="00FE434A" w:rsidRDefault="00E5141D" w:rsidP="00057025">
            <w:pPr>
              <w:rPr>
                <w:sz w:val="20"/>
                <w:szCs w:val="20"/>
              </w:rPr>
            </w:pPr>
          </w:p>
        </w:tc>
      </w:tr>
      <w:tr w:rsidR="00BA4747" w:rsidRPr="00FE434A" w14:paraId="4A2CA85D" w14:textId="77777777" w:rsidTr="002538AC">
        <w:tc>
          <w:tcPr>
            <w:tcW w:w="895" w:type="dxa"/>
          </w:tcPr>
          <w:p w14:paraId="70412BE7" w14:textId="2591DBD6" w:rsidR="00154226" w:rsidRDefault="002538AC" w:rsidP="00A732A7">
            <w:pPr>
              <w:rPr>
                <w:sz w:val="20"/>
                <w:szCs w:val="20"/>
              </w:rPr>
            </w:pPr>
            <w:r>
              <w:rPr>
                <w:sz w:val="20"/>
                <w:szCs w:val="20"/>
              </w:rPr>
              <w:t xml:space="preserve">T </w:t>
            </w:r>
            <w:r w:rsidR="00B5582B">
              <w:rPr>
                <w:sz w:val="20"/>
                <w:szCs w:val="20"/>
              </w:rPr>
              <w:t>2/1</w:t>
            </w:r>
            <w:r w:rsidR="00E5141D">
              <w:rPr>
                <w:sz w:val="20"/>
                <w:szCs w:val="20"/>
              </w:rPr>
              <w:t xml:space="preserve">1 </w:t>
            </w:r>
          </w:p>
          <w:p w14:paraId="1C687EBD" w14:textId="4198D3A7" w:rsidR="004B740E" w:rsidRDefault="004B740E" w:rsidP="00A732A7">
            <w:pPr>
              <w:rPr>
                <w:sz w:val="20"/>
                <w:szCs w:val="20"/>
              </w:rPr>
            </w:pPr>
          </w:p>
        </w:tc>
        <w:tc>
          <w:tcPr>
            <w:tcW w:w="540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(Ch 1 -4)</w:t>
            </w:r>
          </w:p>
          <w:p w14:paraId="7A891CE1" w14:textId="73029864" w:rsidR="00BA4747" w:rsidRDefault="0043075C" w:rsidP="00E5141D">
            <w:pPr>
              <w:rPr>
                <w:sz w:val="20"/>
                <w:szCs w:val="20"/>
              </w:rPr>
            </w:pPr>
            <w:bookmarkStart w:id="2" w:name="OLE_LINK139"/>
            <w:r>
              <w:rPr>
                <w:sz w:val="20"/>
                <w:szCs w:val="20"/>
              </w:rPr>
              <w:t>*</w:t>
            </w:r>
            <w:r w:rsidR="006174FD">
              <w:t>ASYNCHRONOUS</w:t>
            </w:r>
            <w:r w:rsidR="006174FD">
              <w:rPr>
                <w:sz w:val="20"/>
                <w:szCs w:val="20"/>
              </w:rPr>
              <w:t>*</w:t>
            </w:r>
            <w:bookmarkEnd w:id="2"/>
          </w:p>
        </w:tc>
        <w:tc>
          <w:tcPr>
            <w:tcW w:w="2070" w:type="dxa"/>
          </w:tcPr>
          <w:p w14:paraId="7925DC5F" w14:textId="22A295CE" w:rsidR="00FD6612" w:rsidRPr="00FE434A" w:rsidRDefault="00FD6612" w:rsidP="00A732A7">
            <w:pPr>
              <w:rPr>
                <w:sz w:val="20"/>
                <w:szCs w:val="20"/>
              </w:rPr>
            </w:pPr>
          </w:p>
        </w:tc>
        <w:tc>
          <w:tcPr>
            <w:tcW w:w="2160" w:type="dxa"/>
          </w:tcPr>
          <w:p w14:paraId="2D036F7B" w14:textId="1E0D77DE" w:rsidR="00BA4747" w:rsidRPr="00FE434A" w:rsidRDefault="00BA4747" w:rsidP="00A732A7">
            <w:pPr>
              <w:rPr>
                <w:sz w:val="20"/>
                <w:szCs w:val="20"/>
              </w:rPr>
            </w:pPr>
          </w:p>
        </w:tc>
      </w:tr>
      <w:tr w:rsidR="00E5141D" w:rsidRPr="00FE434A" w14:paraId="0FFA4D3B" w14:textId="77777777" w:rsidTr="002538AC">
        <w:tc>
          <w:tcPr>
            <w:tcW w:w="895" w:type="dxa"/>
          </w:tcPr>
          <w:p w14:paraId="266F14FD" w14:textId="0A2AA3E6" w:rsidR="00E5141D" w:rsidRDefault="002538AC" w:rsidP="00A732A7">
            <w:pPr>
              <w:rPr>
                <w:sz w:val="20"/>
                <w:szCs w:val="20"/>
              </w:rPr>
            </w:pPr>
            <w:r>
              <w:rPr>
                <w:sz w:val="20"/>
                <w:szCs w:val="20"/>
              </w:rPr>
              <w:t xml:space="preserve">Th </w:t>
            </w:r>
            <w:r w:rsidR="00E5141D">
              <w:rPr>
                <w:sz w:val="20"/>
                <w:szCs w:val="20"/>
              </w:rPr>
              <w:t>2/13</w:t>
            </w:r>
          </w:p>
        </w:tc>
        <w:tc>
          <w:tcPr>
            <w:tcW w:w="5400" w:type="dxa"/>
          </w:tcPr>
          <w:p w14:paraId="45F73E31" w14:textId="77777777" w:rsidR="00E5141D" w:rsidRPr="00265888" w:rsidRDefault="00E5141D" w:rsidP="00E5141D">
            <w:pPr>
              <w:rPr>
                <w:b/>
                <w:sz w:val="20"/>
                <w:szCs w:val="20"/>
              </w:rPr>
            </w:pPr>
            <w:r>
              <w:rPr>
                <w:b/>
                <w:sz w:val="20"/>
                <w:szCs w:val="20"/>
              </w:rPr>
              <w:t>Chapter 5 – Students with Disabilities Related to Learning and Behavior</w:t>
            </w:r>
          </w:p>
          <w:p w14:paraId="0E84F41F" w14:textId="77777777" w:rsidR="00E5141D" w:rsidRPr="00971B59" w:rsidRDefault="00E5141D" w:rsidP="00176CC6">
            <w:pPr>
              <w:rPr>
                <w:b/>
                <w:bCs/>
                <w:sz w:val="20"/>
                <w:szCs w:val="20"/>
              </w:rPr>
            </w:pPr>
          </w:p>
        </w:tc>
        <w:tc>
          <w:tcPr>
            <w:tcW w:w="2070" w:type="dxa"/>
          </w:tcPr>
          <w:p w14:paraId="1D96044F" w14:textId="2C53E968" w:rsidR="00E5141D" w:rsidRPr="00FE434A" w:rsidRDefault="002538AC" w:rsidP="00A732A7">
            <w:pPr>
              <w:rPr>
                <w:sz w:val="20"/>
                <w:szCs w:val="20"/>
              </w:rPr>
            </w:pPr>
            <w:r>
              <w:rPr>
                <w:sz w:val="20"/>
                <w:szCs w:val="20"/>
              </w:rPr>
              <w:t>Chapter 5</w:t>
            </w:r>
          </w:p>
        </w:tc>
        <w:tc>
          <w:tcPr>
            <w:tcW w:w="2160" w:type="dxa"/>
          </w:tcPr>
          <w:p w14:paraId="1F300346" w14:textId="77777777" w:rsidR="00E5141D" w:rsidRPr="00FE434A" w:rsidRDefault="00E5141D" w:rsidP="00A732A7">
            <w:pPr>
              <w:rPr>
                <w:sz w:val="20"/>
                <w:szCs w:val="20"/>
              </w:rPr>
            </w:pPr>
          </w:p>
        </w:tc>
      </w:tr>
      <w:tr w:rsidR="00292039" w:rsidRPr="00FE434A" w14:paraId="0AD60D0B" w14:textId="77777777" w:rsidTr="002538AC">
        <w:tc>
          <w:tcPr>
            <w:tcW w:w="895" w:type="dxa"/>
          </w:tcPr>
          <w:p w14:paraId="35057A2A" w14:textId="0E6F1E10" w:rsidR="00292039" w:rsidRDefault="002538AC" w:rsidP="00292039">
            <w:pPr>
              <w:rPr>
                <w:sz w:val="20"/>
                <w:szCs w:val="20"/>
              </w:rPr>
            </w:pPr>
            <w:r>
              <w:rPr>
                <w:sz w:val="20"/>
                <w:szCs w:val="20"/>
              </w:rPr>
              <w:t xml:space="preserve">T </w:t>
            </w:r>
            <w:r w:rsidR="00B5582B">
              <w:rPr>
                <w:sz w:val="20"/>
                <w:szCs w:val="20"/>
              </w:rPr>
              <w:t>2/1</w:t>
            </w:r>
            <w:r w:rsidR="00E5141D">
              <w:rPr>
                <w:sz w:val="20"/>
                <w:szCs w:val="20"/>
              </w:rPr>
              <w:t>8</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04ACFDD9" w14:textId="363BB9CE" w:rsidR="00292039" w:rsidRPr="00FE434A" w:rsidRDefault="00292039" w:rsidP="00292039">
            <w:pPr>
              <w:rPr>
                <w:sz w:val="20"/>
                <w:szCs w:val="20"/>
              </w:rPr>
            </w:pPr>
          </w:p>
        </w:tc>
        <w:tc>
          <w:tcPr>
            <w:tcW w:w="2160" w:type="dxa"/>
          </w:tcPr>
          <w:p w14:paraId="4CE6A72A" w14:textId="203F06D0" w:rsidR="00292039" w:rsidRPr="00FE434A" w:rsidRDefault="00292039" w:rsidP="00292039">
            <w:pPr>
              <w:rPr>
                <w:sz w:val="20"/>
                <w:szCs w:val="20"/>
              </w:rPr>
            </w:pPr>
          </w:p>
        </w:tc>
      </w:tr>
      <w:tr w:rsidR="00E5141D" w:rsidRPr="00FE434A" w14:paraId="7D59299D" w14:textId="77777777" w:rsidTr="002538AC">
        <w:tc>
          <w:tcPr>
            <w:tcW w:w="895" w:type="dxa"/>
          </w:tcPr>
          <w:p w14:paraId="50EE5503" w14:textId="0ED6ECB5" w:rsidR="00E5141D" w:rsidRDefault="002538AC" w:rsidP="00292039">
            <w:pPr>
              <w:rPr>
                <w:sz w:val="20"/>
                <w:szCs w:val="20"/>
              </w:rPr>
            </w:pPr>
            <w:r>
              <w:rPr>
                <w:sz w:val="20"/>
                <w:szCs w:val="20"/>
              </w:rPr>
              <w:t xml:space="preserve">Th </w:t>
            </w:r>
            <w:r w:rsidR="00E5141D">
              <w:rPr>
                <w:sz w:val="20"/>
                <w:szCs w:val="20"/>
              </w:rPr>
              <w:t>2/20</w:t>
            </w:r>
          </w:p>
        </w:tc>
        <w:tc>
          <w:tcPr>
            <w:tcW w:w="5400" w:type="dxa"/>
          </w:tcPr>
          <w:p w14:paraId="3B6A7FCE" w14:textId="77777777" w:rsidR="00E5141D" w:rsidRPr="00265888" w:rsidRDefault="00E5141D" w:rsidP="00E5141D">
            <w:pPr>
              <w:rPr>
                <w:b/>
                <w:sz w:val="20"/>
                <w:szCs w:val="20"/>
              </w:rPr>
            </w:pPr>
            <w:r>
              <w:rPr>
                <w:b/>
                <w:sz w:val="20"/>
                <w:szCs w:val="20"/>
              </w:rPr>
              <w:t>Chapter 6 – Supporting the Academic Instruction of Students with High-Incidence Disabilities</w:t>
            </w:r>
          </w:p>
          <w:p w14:paraId="624042C2" w14:textId="5A67E303" w:rsidR="00E5141D" w:rsidRPr="00057025" w:rsidRDefault="006174FD" w:rsidP="00E5141D">
            <w:pPr>
              <w:rPr>
                <w:sz w:val="20"/>
                <w:szCs w:val="20"/>
              </w:rPr>
            </w:pPr>
            <w:bookmarkStart w:id="3" w:name="OLE_LINK136"/>
            <w:r>
              <w:rPr>
                <w:sz w:val="20"/>
                <w:szCs w:val="20"/>
              </w:rPr>
              <w:t>*</w:t>
            </w:r>
            <w:r>
              <w:t>ASYNCHRONOUS</w:t>
            </w:r>
            <w:r>
              <w:rPr>
                <w:sz w:val="20"/>
                <w:szCs w:val="20"/>
              </w:rPr>
              <w:t xml:space="preserve">* </w:t>
            </w:r>
            <w:bookmarkEnd w:id="3"/>
          </w:p>
        </w:tc>
        <w:tc>
          <w:tcPr>
            <w:tcW w:w="2070" w:type="dxa"/>
          </w:tcPr>
          <w:p w14:paraId="564DF12E" w14:textId="7FE47106" w:rsidR="00E5141D" w:rsidRDefault="002538AC" w:rsidP="00292039">
            <w:pPr>
              <w:rPr>
                <w:sz w:val="20"/>
                <w:szCs w:val="20"/>
              </w:rPr>
            </w:pPr>
            <w:r>
              <w:rPr>
                <w:sz w:val="20"/>
                <w:szCs w:val="20"/>
              </w:rPr>
              <w:t>Chapter 6</w:t>
            </w:r>
          </w:p>
        </w:tc>
        <w:tc>
          <w:tcPr>
            <w:tcW w:w="2160" w:type="dxa"/>
          </w:tcPr>
          <w:p w14:paraId="072A5059" w14:textId="77777777" w:rsidR="00E5141D" w:rsidRPr="00FE434A" w:rsidRDefault="00E5141D" w:rsidP="00292039">
            <w:pPr>
              <w:rPr>
                <w:sz w:val="20"/>
                <w:szCs w:val="20"/>
              </w:rPr>
            </w:pPr>
          </w:p>
        </w:tc>
      </w:tr>
      <w:tr w:rsidR="00C17BDB" w:rsidRPr="00FE434A" w14:paraId="637C694C" w14:textId="77777777" w:rsidTr="002538AC">
        <w:tc>
          <w:tcPr>
            <w:tcW w:w="895" w:type="dxa"/>
          </w:tcPr>
          <w:p w14:paraId="41152DE0" w14:textId="4BAEFB84" w:rsidR="00C17BDB" w:rsidRDefault="002538AC" w:rsidP="00C17BDB">
            <w:pPr>
              <w:rPr>
                <w:sz w:val="20"/>
                <w:szCs w:val="20"/>
              </w:rPr>
            </w:pPr>
            <w:r>
              <w:rPr>
                <w:sz w:val="20"/>
                <w:szCs w:val="20"/>
              </w:rPr>
              <w:t xml:space="preserve">T </w:t>
            </w:r>
            <w:r w:rsidR="00B5582B">
              <w:rPr>
                <w:sz w:val="20"/>
                <w:szCs w:val="20"/>
              </w:rPr>
              <w:t>2/2</w:t>
            </w:r>
            <w:r w:rsidR="00E5141D">
              <w:rPr>
                <w:sz w:val="20"/>
                <w:szCs w:val="20"/>
              </w:rPr>
              <w:t>5</w:t>
            </w:r>
          </w:p>
          <w:p w14:paraId="50BF19E4" w14:textId="58F70370"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14DFE7B9" w14:textId="17FDD516" w:rsidR="00C17BDB" w:rsidRPr="00FE434A" w:rsidRDefault="00C17BDB" w:rsidP="00C17BDB">
            <w:pPr>
              <w:rPr>
                <w:sz w:val="20"/>
                <w:szCs w:val="20"/>
              </w:rPr>
            </w:pPr>
          </w:p>
        </w:tc>
        <w:tc>
          <w:tcPr>
            <w:tcW w:w="2160" w:type="dxa"/>
          </w:tcPr>
          <w:p w14:paraId="63732C31" w14:textId="0ACD87A0" w:rsidR="00C17BDB" w:rsidRPr="00FE434A" w:rsidRDefault="00C17BDB" w:rsidP="00C17BDB">
            <w:pPr>
              <w:rPr>
                <w:sz w:val="20"/>
                <w:szCs w:val="20"/>
              </w:rPr>
            </w:pPr>
          </w:p>
        </w:tc>
      </w:tr>
      <w:tr w:rsidR="00E5141D" w:rsidRPr="00FE434A" w14:paraId="31510BFC" w14:textId="77777777" w:rsidTr="002538AC">
        <w:tc>
          <w:tcPr>
            <w:tcW w:w="895" w:type="dxa"/>
          </w:tcPr>
          <w:p w14:paraId="2114531B" w14:textId="5F50FBDA" w:rsidR="00E5141D" w:rsidRDefault="002538AC" w:rsidP="00C17BDB">
            <w:pPr>
              <w:rPr>
                <w:sz w:val="20"/>
                <w:szCs w:val="20"/>
              </w:rPr>
            </w:pPr>
            <w:r>
              <w:rPr>
                <w:sz w:val="20"/>
                <w:szCs w:val="20"/>
              </w:rPr>
              <w:t xml:space="preserve">Th </w:t>
            </w:r>
            <w:r w:rsidR="00E5141D">
              <w:rPr>
                <w:sz w:val="20"/>
                <w:szCs w:val="20"/>
              </w:rPr>
              <w:t>2/27</w:t>
            </w:r>
          </w:p>
        </w:tc>
        <w:tc>
          <w:tcPr>
            <w:tcW w:w="5400" w:type="dxa"/>
          </w:tcPr>
          <w:p w14:paraId="47BE907C" w14:textId="77777777" w:rsidR="00E5141D" w:rsidRDefault="00E5141D" w:rsidP="00E5141D">
            <w:pPr>
              <w:rPr>
                <w:b/>
                <w:sz w:val="20"/>
                <w:szCs w:val="20"/>
              </w:rPr>
            </w:pPr>
            <w:r>
              <w:rPr>
                <w:b/>
                <w:sz w:val="20"/>
                <w:szCs w:val="20"/>
              </w:rPr>
              <w:t>Chapter 7 – Students with Low Incidence Intellectual and Developmental Disabilities</w:t>
            </w:r>
          </w:p>
          <w:p w14:paraId="23C4F56C" w14:textId="77777777" w:rsidR="00E5141D" w:rsidRDefault="00E5141D" w:rsidP="00176CC6">
            <w:pPr>
              <w:rPr>
                <w:b/>
                <w:sz w:val="20"/>
                <w:szCs w:val="20"/>
              </w:rPr>
            </w:pPr>
          </w:p>
        </w:tc>
        <w:tc>
          <w:tcPr>
            <w:tcW w:w="2070" w:type="dxa"/>
          </w:tcPr>
          <w:p w14:paraId="5607F611" w14:textId="7B613511" w:rsidR="00E5141D" w:rsidRDefault="002538AC" w:rsidP="00C17BDB">
            <w:pPr>
              <w:rPr>
                <w:sz w:val="20"/>
                <w:szCs w:val="20"/>
              </w:rPr>
            </w:pPr>
            <w:r>
              <w:rPr>
                <w:sz w:val="20"/>
                <w:szCs w:val="20"/>
              </w:rPr>
              <w:t>Chapter 7</w:t>
            </w:r>
          </w:p>
        </w:tc>
        <w:tc>
          <w:tcPr>
            <w:tcW w:w="2160" w:type="dxa"/>
          </w:tcPr>
          <w:p w14:paraId="0A77CF1C" w14:textId="77777777" w:rsidR="00E5141D" w:rsidRPr="00FE434A" w:rsidRDefault="00E5141D" w:rsidP="00C17BDB">
            <w:pPr>
              <w:rPr>
                <w:sz w:val="20"/>
                <w:szCs w:val="20"/>
              </w:rPr>
            </w:pPr>
          </w:p>
        </w:tc>
      </w:tr>
      <w:tr w:rsidR="00C17BDB" w:rsidRPr="00FE434A" w14:paraId="61F1DDC7" w14:textId="77777777" w:rsidTr="002538AC">
        <w:tc>
          <w:tcPr>
            <w:tcW w:w="895" w:type="dxa"/>
          </w:tcPr>
          <w:p w14:paraId="6583BD41" w14:textId="22E01BEF" w:rsidR="00C17BDB" w:rsidRDefault="002538AC" w:rsidP="00C17BDB">
            <w:pPr>
              <w:rPr>
                <w:sz w:val="20"/>
                <w:szCs w:val="20"/>
              </w:rPr>
            </w:pPr>
            <w:r>
              <w:rPr>
                <w:sz w:val="20"/>
                <w:szCs w:val="20"/>
              </w:rPr>
              <w:t xml:space="preserve">T </w:t>
            </w:r>
            <w:r w:rsidR="00B5582B">
              <w:rPr>
                <w:sz w:val="20"/>
                <w:szCs w:val="20"/>
              </w:rPr>
              <w:t>3/</w:t>
            </w:r>
            <w:r w:rsidR="00E5141D">
              <w:rPr>
                <w:sz w:val="20"/>
                <w:szCs w:val="20"/>
              </w:rPr>
              <w:t>4</w:t>
            </w:r>
          </w:p>
          <w:p w14:paraId="63CC3421" w14:textId="77777777" w:rsidR="00C17BDB" w:rsidRDefault="00C17BDB" w:rsidP="00C17BDB">
            <w:pPr>
              <w:rPr>
                <w:sz w:val="20"/>
                <w:szCs w:val="20"/>
              </w:rPr>
            </w:pPr>
          </w:p>
          <w:p w14:paraId="36E078EE" w14:textId="576BE8F8" w:rsidR="00C17BDB" w:rsidRDefault="00C17BDB" w:rsidP="00E5141D">
            <w:pPr>
              <w:rPr>
                <w:sz w:val="20"/>
                <w:szCs w:val="20"/>
              </w:rPr>
            </w:pP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070" w:type="dxa"/>
          </w:tcPr>
          <w:p w14:paraId="58C993E2" w14:textId="41447C4C" w:rsidR="00C17BDB" w:rsidRPr="00FE434A" w:rsidRDefault="00C17BDB" w:rsidP="00C17BDB">
            <w:pPr>
              <w:rPr>
                <w:sz w:val="20"/>
                <w:szCs w:val="20"/>
              </w:rPr>
            </w:pP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E5141D" w:rsidRPr="00FE434A" w14:paraId="3EE1F163" w14:textId="77777777" w:rsidTr="002538AC">
        <w:tc>
          <w:tcPr>
            <w:tcW w:w="895" w:type="dxa"/>
          </w:tcPr>
          <w:p w14:paraId="35F6F181" w14:textId="3D4C944A" w:rsidR="00E5141D" w:rsidRDefault="002538AC" w:rsidP="00C17BDB">
            <w:pPr>
              <w:rPr>
                <w:sz w:val="20"/>
                <w:szCs w:val="20"/>
              </w:rPr>
            </w:pPr>
            <w:r>
              <w:rPr>
                <w:sz w:val="20"/>
                <w:szCs w:val="20"/>
              </w:rPr>
              <w:t xml:space="preserve">Th </w:t>
            </w:r>
            <w:r w:rsidR="00E5141D">
              <w:rPr>
                <w:sz w:val="20"/>
                <w:szCs w:val="20"/>
              </w:rPr>
              <w:t>3/6</w:t>
            </w:r>
          </w:p>
          <w:p w14:paraId="2EDB837F" w14:textId="689C8C0C" w:rsidR="00E5141D" w:rsidRDefault="00E5141D" w:rsidP="00C17BDB">
            <w:pPr>
              <w:rPr>
                <w:sz w:val="20"/>
                <w:szCs w:val="20"/>
              </w:rPr>
            </w:pPr>
            <w:r>
              <w:rPr>
                <w:sz w:val="20"/>
                <w:szCs w:val="20"/>
              </w:rPr>
              <w:t>(SB next week)</w:t>
            </w:r>
          </w:p>
        </w:tc>
        <w:tc>
          <w:tcPr>
            <w:tcW w:w="5400" w:type="dxa"/>
          </w:tcPr>
          <w:p w14:paraId="3650765B" w14:textId="3C74D1AC"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47D94505" w14:textId="79BE75B6" w:rsidR="00E5141D" w:rsidRDefault="002538AC" w:rsidP="00C17BDB">
            <w:pPr>
              <w:rPr>
                <w:sz w:val="20"/>
                <w:szCs w:val="20"/>
              </w:rPr>
            </w:pPr>
            <w:r>
              <w:rPr>
                <w:sz w:val="20"/>
                <w:szCs w:val="20"/>
              </w:rPr>
              <w:t>Chapter 8</w:t>
            </w:r>
          </w:p>
        </w:tc>
        <w:tc>
          <w:tcPr>
            <w:tcW w:w="2160" w:type="dxa"/>
          </w:tcPr>
          <w:p w14:paraId="7539A0FD" w14:textId="77777777" w:rsidR="00E5141D" w:rsidRDefault="00E5141D" w:rsidP="00C17BDB">
            <w:pPr>
              <w:rPr>
                <w:sz w:val="20"/>
                <w:szCs w:val="20"/>
              </w:rPr>
            </w:pPr>
          </w:p>
        </w:tc>
      </w:tr>
      <w:tr w:rsidR="00BA4747" w:rsidRPr="00FE434A" w14:paraId="374C9CAF" w14:textId="77777777" w:rsidTr="002538AC">
        <w:tc>
          <w:tcPr>
            <w:tcW w:w="895" w:type="dxa"/>
          </w:tcPr>
          <w:p w14:paraId="05F7C0C4" w14:textId="150D43D5" w:rsidR="00C17BDB" w:rsidRDefault="002538AC" w:rsidP="00C17BDB">
            <w:pPr>
              <w:rPr>
                <w:sz w:val="20"/>
                <w:szCs w:val="20"/>
              </w:rPr>
            </w:pPr>
            <w:r>
              <w:rPr>
                <w:sz w:val="20"/>
                <w:szCs w:val="20"/>
              </w:rPr>
              <w:t xml:space="preserve">T </w:t>
            </w:r>
            <w:r w:rsidR="00B5582B">
              <w:rPr>
                <w:sz w:val="20"/>
                <w:szCs w:val="20"/>
              </w:rPr>
              <w:t>3/1</w:t>
            </w:r>
            <w:r w:rsidR="00E5141D">
              <w:rPr>
                <w:sz w:val="20"/>
                <w:szCs w:val="20"/>
              </w:rPr>
              <w:t>8</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400" w:type="dxa"/>
          </w:tcPr>
          <w:p w14:paraId="5A6CC219" w14:textId="77777777" w:rsidR="004B1D3A" w:rsidRPr="00265888" w:rsidRDefault="004B1D3A" w:rsidP="004B1D3A">
            <w:pPr>
              <w:rPr>
                <w:b/>
                <w:sz w:val="20"/>
                <w:szCs w:val="20"/>
              </w:rPr>
            </w:pPr>
            <w:bookmarkStart w:id="4" w:name="OLE_LINK58"/>
            <w:bookmarkStart w:id="5" w:name="OLE_LINK59"/>
            <w:r>
              <w:rPr>
                <w:b/>
                <w:sz w:val="20"/>
                <w:szCs w:val="20"/>
              </w:rPr>
              <w:t>Chapter 8 – Supporting Academic Learning for Students with Low-Incidence Intellectual and Developmental Disabilities</w:t>
            </w:r>
          </w:p>
          <w:bookmarkEnd w:id="4"/>
          <w:bookmarkEnd w:id="5"/>
          <w:p w14:paraId="3F76885A" w14:textId="1D5E3068" w:rsidR="00BA4747" w:rsidRDefault="00BA4747" w:rsidP="00176CC6">
            <w:pPr>
              <w:rPr>
                <w:sz w:val="20"/>
                <w:szCs w:val="20"/>
              </w:rPr>
            </w:pPr>
          </w:p>
        </w:tc>
        <w:tc>
          <w:tcPr>
            <w:tcW w:w="2070" w:type="dxa"/>
          </w:tcPr>
          <w:p w14:paraId="4159BEAF" w14:textId="6D5BE71F"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bl>
    <w:p w14:paraId="634E7D5B" w14:textId="68D0D847" w:rsidR="0043075C" w:rsidRDefault="0043075C"/>
    <w:tbl>
      <w:tblPr>
        <w:tblStyle w:val="TableGrid"/>
        <w:tblW w:w="10525" w:type="dxa"/>
        <w:tblLayout w:type="fixed"/>
        <w:tblLook w:val="04A0" w:firstRow="1" w:lastRow="0" w:firstColumn="1" w:lastColumn="0" w:noHBand="0" w:noVBand="1"/>
      </w:tblPr>
      <w:tblGrid>
        <w:gridCol w:w="895"/>
        <w:gridCol w:w="5400"/>
        <w:gridCol w:w="2070"/>
        <w:gridCol w:w="2160"/>
      </w:tblGrid>
      <w:tr w:rsidR="00E5141D" w:rsidRPr="00FE434A" w14:paraId="74D11DF3" w14:textId="77777777" w:rsidTr="002538AC">
        <w:tc>
          <w:tcPr>
            <w:tcW w:w="895" w:type="dxa"/>
          </w:tcPr>
          <w:p w14:paraId="0391361A" w14:textId="0BAC1280" w:rsidR="00E5141D" w:rsidRDefault="002538AC" w:rsidP="00C17BDB">
            <w:pPr>
              <w:rPr>
                <w:sz w:val="20"/>
                <w:szCs w:val="20"/>
              </w:rPr>
            </w:pPr>
            <w:r>
              <w:rPr>
                <w:sz w:val="20"/>
                <w:szCs w:val="20"/>
              </w:rPr>
              <w:t xml:space="preserve">Th </w:t>
            </w:r>
            <w:r w:rsidR="00E5141D">
              <w:rPr>
                <w:sz w:val="20"/>
                <w:szCs w:val="20"/>
              </w:rPr>
              <w:t>3/20</w:t>
            </w:r>
          </w:p>
        </w:tc>
        <w:tc>
          <w:tcPr>
            <w:tcW w:w="5400" w:type="dxa"/>
          </w:tcPr>
          <w:p w14:paraId="4A55C1E6" w14:textId="77777777" w:rsidR="00E5141D" w:rsidRDefault="00E5141D" w:rsidP="004B1D3A">
            <w:pPr>
              <w:rPr>
                <w:b/>
                <w:bCs/>
                <w:sz w:val="20"/>
                <w:szCs w:val="20"/>
              </w:rPr>
            </w:pPr>
            <w:r w:rsidRPr="00971B59">
              <w:rPr>
                <w:b/>
                <w:bCs/>
                <w:sz w:val="20"/>
                <w:szCs w:val="20"/>
              </w:rPr>
              <w:t>Exam 2</w:t>
            </w:r>
            <w:r>
              <w:rPr>
                <w:b/>
                <w:bCs/>
                <w:sz w:val="20"/>
                <w:szCs w:val="20"/>
              </w:rPr>
              <w:t xml:space="preserve"> (Ch 5-8)</w:t>
            </w:r>
          </w:p>
          <w:p w14:paraId="74D52516" w14:textId="63FAFDC8" w:rsidR="002538AC" w:rsidRDefault="006174FD" w:rsidP="004B1D3A">
            <w:pPr>
              <w:rPr>
                <w:b/>
                <w:sz w:val="20"/>
                <w:szCs w:val="20"/>
              </w:rPr>
            </w:pPr>
            <w:r>
              <w:rPr>
                <w:sz w:val="20"/>
                <w:szCs w:val="20"/>
              </w:rPr>
              <w:t>*</w:t>
            </w:r>
            <w:r>
              <w:t>ASYNCHRONOUS</w:t>
            </w:r>
            <w:r>
              <w:rPr>
                <w:sz w:val="20"/>
                <w:szCs w:val="20"/>
              </w:rPr>
              <w:t>*</w:t>
            </w:r>
          </w:p>
        </w:tc>
        <w:tc>
          <w:tcPr>
            <w:tcW w:w="2070" w:type="dxa"/>
          </w:tcPr>
          <w:p w14:paraId="2FFCAC30" w14:textId="77777777" w:rsidR="00E5141D" w:rsidRDefault="00E5141D" w:rsidP="00A732A7">
            <w:pPr>
              <w:rPr>
                <w:sz w:val="20"/>
                <w:szCs w:val="20"/>
              </w:rPr>
            </w:pPr>
          </w:p>
        </w:tc>
        <w:tc>
          <w:tcPr>
            <w:tcW w:w="2160" w:type="dxa"/>
          </w:tcPr>
          <w:p w14:paraId="0B667632" w14:textId="77777777" w:rsidR="00E5141D" w:rsidRPr="00FE434A" w:rsidRDefault="00E5141D" w:rsidP="00A732A7">
            <w:pPr>
              <w:rPr>
                <w:sz w:val="20"/>
                <w:szCs w:val="20"/>
              </w:rPr>
            </w:pPr>
          </w:p>
        </w:tc>
      </w:tr>
      <w:tr w:rsidR="00BA4747" w:rsidRPr="00FE434A" w14:paraId="3036A6C0" w14:textId="77777777" w:rsidTr="002538AC">
        <w:tc>
          <w:tcPr>
            <w:tcW w:w="895" w:type="dxa"/>
          </w:tcPr>
          <w:p w14:paraId="2637CE9F" w14:textId="06B2452A" w:rsidR="00C17BDB" w:rsidRDefault="002538AC" w:rsidP="00C17BDB">
            <w:pPr>
              <w:rPr>
                <w:sz w:val="20"/>
                <w:szCs w:val="20"/>
              </w:rPr>
            </w:pPr>
            <w:r>
              <w:rPr>
                <w:sz w:val="20"/>
                <w:szCs w:val="20"/>
              </w:rPr>
              <w:t xml:space="preserve">T </w:t>
            </w:r>
            <w:r w:rsidR="00B5582B">
              <w:rPr>
                <w:sz w:val="20"/>
                <w:szCs w:val="20"/>
              </w:rPr>
              <w:t>3/2</w:t>
            </w:r>
            <w:r w:rsidR="00E5141D">
              <w:rPr>
                <w:sz w:val="20"/>
                <w:szCs w:val="20"/>
              </w:rPr>
              <w:t>5</w:t>
            </w:r>
          </w:p>
          <w:p w14:paraId="1123AA49" w14:textId="4FC61660" w:rsidR="004B740E" w:rsidRDefault="004B740E" w:rsidP="00A732A7">
            <w:pPr>
              <w:rPr>
                <w:sz w:val="20"/>
                <w:szCs w:val="20"/>
              </w:rPr>
            </w:pPr>
          </w:p>
        </w:tc>
        <w:tc>
          <w:tcPr>
            <w:tcW w:w="5400" w:type="dxa"/>
          </w:tcPr>
          <w:p w14:paraId="322514DE" w14:textId="77777777" w:rsidR="00E5141D" w:rsidRPr="00265888" w:rsidRDefault="00E5141D" w:rsidP="00E5141D">
            <w:pPr>
              <w:rPr>
                <w:b/>
                <w:sz w:val="20"/>
                <w:szCs w:val="20"/>
              </w:rPr>
            </w:pPr>
            <w:r>
              <w:rPr>
                <w:b/>
                <w:sz w:val="20"/>
                <w:szCs w:val="20"/>
              </w:rPr>
              <w:t>Chapter 9 – Supporting the Behavioral and Social-Emotional Success of Students</w:t>
            </w:r>
          </w:p>
          <w:p w14:paraId="6A8C7319" w14:textId="04433D16" w:rsidR="00BA4747" w:rsidRPr="00971B59" w:rsidRDefault="00BA4747" w:rsidP="004B1D3A">
            <w:pPr>
              <w:rPr>
                <w:b/>
                <w:bCs/>
                <w:sz w:val="20"/>
                <w:szCs w:val="20"/>
              </w:rPr>
            </w:pPr>
          </w:p>
        </w:tc>
        <w:tc>
          <w:tcPr>
            <w:tcW w:w="2070" w:type="dxa"/>
          </w:tcPr>
          <w:p w14:paraId="29287D5F" w14:textId="5C0B9859" w:rsidR="00BA4747" w:rsidRPr="00FE434A" w:rsidRDefault="002538AC"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E5141D" w:rsidRPr="00FE434A" w14:paraId="57366AD9" w14:textId="77777777" w:rsidTr="002538AC">
        <w:tc>
          <w:tcPr>
            <w:tcW w:w="895" w:type="dxa"/>
          </w:tcPr>
          <w:p w14:paraId="57741B3D" w14:textId="3DDDDD5D" w:rsidR="00E5141D" w:rsidRDefault="002538AC" w:rsidP="00C17BDB">
            <w:pPr>
              <w:rPr>
                <w:sz w:val="20"/>
                <w:szCs w:val="20"/>
              </w:rPr>
            </w:pPr>
            <w:r>
              <w:rPr>
                <w:sz w:val="20"/>
                <w:szCs w:val="20"/>
              </w:rPr>
              <w:t xml:space="preserve">Th </w:t>
            </w:r>
            <w:r w:rsidR="00E5141D">
              <w:rPr>
                <w:sz w:val="20"/>
                <w:szCs w:val="20"/>
              </w:rPr>
              <w:t>3/27</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4048C2F8" w14:textId="77777777" w:rsidR="00E5141D" w:rsidRPr="00FE434A" w:rsidRDefault="00E5141D" w:rsidP="00A732A7">
            <w:pPr>
              <w:rPr>
                <w:sz w:val="20"/>
                <w:szCs w:val="20"/>
              </w:rPr>
            </w:pPr>
          </w:p>
        </w:tc>
        <w:tc>
          <w:tcPr>
            <w:tcW w:w="2160" w:type="dxa"/>
          </w:tcPr>
          <w:p w14:paraId="426C7E4F" w14:textId="77777777" w:rsidR="00E5141D" w:rsidRPr="00FE434A" w:rsidRDefault="00E5141D" w:rsidP="00A732A7">
            <w:pPr>
              <w:rPr>
                <w:sz w:val="20"/>
                <w:szCs w:val="20"/>
              </w:rPr>
            </w:pPr>
          </w:p>
        </w:tc>
      </w:tr>
      <w:tr w:rsidR="002D65FB" w:rsidRPr="00FE434A" w14:paraId="62FF3881" w14:textId="77777777" w:rsidTr="002538AC">
        <w:tc>
          <w:tcPr>
            <w:tcW w:w="895" w:type="dxa"/>
          </w:tcPr>
          <w:p w14:paraId="0B774AF5" w14:textId="2DC4104F" w:rsidR="00C17BDB" w:rsidRDefault="002538AC" w:rsidP="00C17BDB">
            <w:pPr>
              <w:rPr>
                <w:sz w:val="20"/>
                <w:szCs w:val="20"/>
              </w:rPr>
            </w:pPr>
            <w:r>
              <w:rPr>
                <w:sz w:val="20"/>
                <w:szCs w:val="20"/>
              </w:rPr>
              <w:t xml:space="preserve">T </w:t>
            </w:r>
            <w:r w:rsidR="00E5141D">
              <w:rPr>
                <w:sz w:val="20"/>
                <w:szCs w:val="20"/>
              </w:rPr>
              <w:t>4/1</w:t>
            </w:r>
          </w:p>
          <w:p w14:paraId="3BA7D5C3" w14:textId="0B2BD0CB" w:rsidR="002D65FB" w:rsidRDefault="002D65FB" w:rsidP="002D65FB">
            <w:pPr>
              <w:rPr>
                <w:sz w:val="20"/>
                <w:szCs w:val="20"/>
              </w:rPr>
            </w:pPr>
          </w:p>
        </w:tc>
        <w:tc>
          <w:tcPr>
            <w:tcW w:w="5400" w:type="dxa"/>
          </w:tcPr>
          <w:p w14:paraId="3031C730" w14:textId="77777777" w:rsidR="002D65FB" w:rsidRDefault="00E5141D" w:rsidP="00E5141D">
            <w:pPr>
              <w:rPr>
                <w:b/>
                <w:sz w:val="20"/>
                <w:szCs w:val="20"/>
              </w:rPr>
            </w:pPr>
            <w:r>
              <w:rPr>
                <w:b/>
                <w:sz w:val="20"/>
                <w:szCs w:val="20"/>
              </w:rPr>
              <w:t>Chapter 10 – Supporting Students with Communication Needs</w:t>
            </w:r>
          </w:p>
          <w:p w14:paraId="2A4D6DF4" w14:textId="27E52B66" w:rsidR="002538AC" w:rsidRPr="00057025" w:rsidRDefault="002538AC" w:rsidP="00E5141D">
            <w:pPr>
              <w:rPr>
                <w:sz w:val="20"/>
                <w:szCs w:val="20"/>
              </w:rPr>
            </w:pPr>
          </w:p>
        </w:tc>
        <w:tc>
          <w:tcPr>
            <w:tcW w:w="2070" w:type="dxa"/>
          </w:tcPr>
          <w:p w14:paraId="777FEF3F" w14:textId="54B32331" w:rsidR="002D65FB" w:rsidRPr="00FE434A" w:rsidRDefault="002538AC" w:rsidP="00057025">
            <w:pPr>
              <w:rPr>
                <w:sz w:val="20"/>
                <w:szCs w:val="20"/>
              </w:rPr>
            </w:pPr>
            <w:r>
              <w:rPr>
                <w:sz w:val="20"/>
                <w:szCs w:val="20"/>
              </w:rPr>
              <w:t>Chapter 10</w:t>
            </w:r>
          </w:p>
        </w:tc>
        <w:tc>
          <w:tcPr>
            <w:tcW w:w="2160" w:type="dxa"/>
          </w:tcPr>
          <w:p w14:paraId="7F746F6A" w14:textId="77777777" w:rsidR="00F044E6" w:rsidRDefault="00F044E6" w:rsidP="002D65FB">
            <w:pPr>
              <w:rPr>
                <w:sz w:val="20"/>
                <w:szCs w:val="20"/>
              </w:rPr>
            </w:pPr>
          </w:p>
          <w:p w14:paraId="419F696F" w14:textId="6C4DCB12" w:rsidR="00F044E6" w:rsidRPr="00FE434A" w:rsidRDefault="00F044E6" w:rsidP="00F044E6">
            <w:pPr>
              <w:rPr>
                <w:sz w:val="20"/>
                <w:szCs w:val="20"/>
              </w:rPr>
            </w:pPr>
          </w:p>
        </w:tc>
      </w:tr>
      <w:tr w:rsidR="00E5141D" w:rsidRPr="00FE434A" w14:paraId="79958BF7" w14:textId="77777777" w:rsidTr="002538AC">
        <w:tc>
          <w:tcPr>
            <w:tcW w:w="895" w:type="dxa"/>
          </w:tcPr>
          <w:p w14:paraId="1750455C" w14:textId="28376CAE" w:rsidR="00E5141D" w:rsidRDefault="002538AC" w:rsidP="00C17BDB">
            <w:pPr>
              <w:rPr>
                <w:sz w:val="20"/>
                <w:szCs w:val="20"/>
              </w:rPr>
            </w:pPr>
            <w:r>
              <w:rPr>
                <w:sz w:val="20"/>
                <w:szCs w:val="20"/>
              </w:rPr>
              <w:t xml:space="preserve">Th </w:t>
            </w:r>
            <w:r w:rsidR="00E5141D">
              <w:rPr>
                <w:sz w:val="20"/>
                <w:szCs w:val="20"/>
              </w:rPr>
              <w:t>4/3</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716F1CB8" w14:textId="77777777" w:rsidR="00E5141D" w:rsidRDefault="00E5141D" w:rsidP="00057025">
            <w:pPr>
              <w:rPr>
                <w:sz w:val="20"/>
                <w:szCs w:val="20"/>
              </w:rPr>
            </w:pPr>
          </w:p>
        </w:tc>
        <w:tc>
          <w:tcPr>
            <w:tcW w:w="2160" w:type="dxa"/>
          </w:tcPr>
          <w:p w14:paraId="4EADB8C0" w14:textId="77777777" w:rsidR="00E5141D" w:rsidRDefault="00E5141D" w:rsidP="002D65FB">
            <w:pPr>
              <w:rPr>
                <w:sz w:val="20"/>
                <w:szCs w:val="20"/>
              </w:rPr>
            </w:pPr>
          </w:p>
        </w:tc>
      </w:tr>
      <w:tr w:rsidR="002D65FB" w:rsidRPr="00FE434A" w14:paraId="26FF9DD2" w14:textId="77777777" w:rsidTr="002538AC">
        <w:tc>
          <w:tcPr>
            <w:tcW w:w="895" w:type="dxa"/>
          </w:tcPr>
          <w:p w14:paraId="7F50C011" w14:textId="502AFA35" w:rsidR="002D65FB" w:rsidRDefault="002538AC" w:rsidP="002D65FB">
            <w:pPr>
              <w:rPr>
                <w:sz w:val="20"/>
                <w:szCs w:val="20"/>
              </w:rPr>
            </w:pPr>
            <w:r>
              <w:rPr>
                <w:sz w:val="20"/>
                <w:szCs w:val="20"/>
              </w:rPr>
              <w:t xml:space="preserve">T </w:t>
            </w:r>
            <w:r w:rsidR="00E5141D">
              <w:rPr>
                <w:sz w:val="20"/>
                <w:szCs w:val="20"/>
              </w:rPr>
              <w:t>4/8</w:t>
            </w:r>
          </w:p>
          <w:p w14:paraId="7427A5A5" w14:textId="220B3095" w:rsidR="002D65FB" w:rsidRDefault="002D65FB" w:rsidP="002D65FB">
            <w:pPr>
              <w:rPr>
                <w:sz w:val="20"/>
                <w:szCs w:val="20"/>
              </w:rPr>
            </w:pPr>
          </w:p>
        </w:tc>
        <w:tc>
          <w:tcPr>
            <w:tcW w:w="5400" w:type="dxa"/>
          </w:tcPr>
          <w:p w14:paraId="144C7BE3" w14:textId="77777777" w:rsidR="00E5141D" w:rsidRPr="00265888" w:rsidRDefault="00E5141D" w:rsidP="00E5141D">
            <w:pPr>
              <w:rPr>
                <w:b/>
                <w:sz w:val="20"/>
                <w:szCs w:val="20"/>
              </w:rPr>
            </w:pPr>
            <w:r>
              <w:rPr>
                <w:b/>
                <w:sz w:val="20"/>
                <w:szCs w:val="20"/>
              </w:rPr>
              <w:t>Chapter 11 – Supporting Students with Sensory and Physical Disabilities</w:t>
            </w:r>
          </w:p>
          <w:p w14:paraId="3E18B628" w14:textId="3151BDA5" w:rsidR="002D65FB" w:rsidRPr="00971B59" w:rsidRDefault="002D65FB" w:rsidP="004B1D3A">
            <w:pPr>
              <w:rPr>
                <w:b/>
                <w:sz w:val="20"/>
                <w:szCs w:val="20"/>
              </w:rPr>
            </w:pPr>
          </w:p>
        </w:tc>
        <w:tc>
          <w:tcPr>
            <w:tcW w:w="2070" w:type="dxa"/>
          </w:tcPr>
          <w:p w14:paraId="5510F1B9" w14:textId="29BE0A1C" w:rsidR="002D65FB" w:rsidRPr="00FE434A" w:rsidRDefault="002538AC" w:rsidP="002D65FB">
            <w:pPr>
              <w:rPr>
                <w:sz w:val="20"/>
                <w:szCs w:val="20"/>
              </w:rPr>
            </w:pPr>
            <w:r>
              <w:rPr>
                <w:sz w:val="20"/>
                <w:szCs w:val="20"/>
              </w:rPr>
              <w:t>Chapter 11</w:t>
            </w:r>
          </w:p>
        </w:tc>
        <w:tc>
          <w:tcPr>
            <w:tcW w:w="2160" w:type="dxa"/>
          </w:tcPr>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5141D" w:rsidRPr="00FE434A" w14:paraId="1BDCA5C8" w14:textId="77777777" w:rsidTr="002538AC">
        <w:tc>
          <w:tcPr>
            <w:tcW w:w="895" w:type="dxa"/>
          </w:tcPr>
          <w:p w14:paraId="2B20F01D" w14:textId="4D8DAF57" w:rsidR="00E5141D" w:rsidRDefault="002538AC" w:rsidP="002D65FB">
            <w:pPr>
              <w:rPr>
                <w:sz w:val="20"/>
                <w:szCs w:val="20"/>
              </w:rPr>
            </w:pPr>
            <w:r>
              <w:rPr>
                <w:sz w:val="20"/>
                <w:szCs w:val="20"/>
              </w:rPr>
              <w:t xml:space="preserve">Th </w:t>
            </w:r>
            <w:r w:rsidR="00E5141D">
              <w:rPr>
                <w:sz w:val="20"/>
                <w:szCs w:val="20"/>
              </w:rPr>
              <w:t>4/10</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9A84A19" w14:textId="77777777" w:rsidR="00E5141D" w:rsidRDefault="00E5141D" w:rsidP="004B1D3A">
            <w:pPr>
              <w:rPr>
                <w:b/>
                <w:sz w:val="20"/>
                <w:szCs w:val="20"/>
              </w:rPr>
            </w:pPr>
          </w:p>
        </w:tc>
        <w:tc>
          <w:tcPr>
            <w:tcW w:w="2070" w:type="dxa"/>
          </w:tcPr>
          <w:p w14:paraId="382F7873" w14:textId="77777777" w:rsidR="00E5141D" w:rsidRDefault="00E5141D" w:rsidP="002D65FB">
            <w:pPr>
              <w:rPr>
                <w:sz w:val="20"/>
                <w:szCs w:val="20"/>
              </w:rPr>
            </w:pPr>
          </w:p>
        </w:tc>
        <w:tc>
          <w:tcPr>
            <w:tcW w:w="2160" w:type="dxa"/>
          </w:tcPr>
          <w:p w14:paraId="102CA5AD" w14:textId="77777777" w:rsidR="00E5141D" w:rsidRDefault="00E5141D" w:rsidP="002D65FB">
            <w:pPr>
              <w:rPr>
                <w:sz w:val="20"/>
                <w:szCs w:val="20"/>
              </w:rPr>
            </w:pPr>
          </w:p>
        </w:tc>
      </w:tr>
      <w:tr w:rsidR="00E66709" w:rsidRPr="00FE434A" w14:paraId="5152F800" w14:textId="77777777" w:rsidTr="002538AC">
        <w:tc>
          <w:tcPr>
            <w:tcW w:w="895" w:type="dxa"/>
          </w:tcPr>
          <w:p w14:paraId="37563CDC" w14:textId="5D52066F" w:rsidR="007114EC" w:rsidRDefault="002538AC" w:rsidP="00F044E6">
            <w:pPr>
              <w:rPr>
                <w:sz w:val="20"/>
                <w:szCs w:val="20"/>
              </w:rPr>
            </w:pPr>
            <w:r>
              <w:rPr>
                <w:sz w:val="20"/>
                <w:szCs w:val="20"/>
              </w:rPr>
              <w:t xml:space="preserve">T </w:t>
            </w:r>
            <w:r w:rsidR="00E5141D">
              <w:rPr>
                <w:sz w:val="20"/>
                <w:szCs w:val="20"/>
              </w:rPr>
              <w:t>4/15</w:t>
            </w:r>
          </w:p>
        </w:tc>
        <w:tc>
          <w:tcPr>
            <w:tcW w:w="5400" w:type="dxa"/>
          </w:tcPr>
          <w:p w14:paraId="6F7B446D" w14:textId="77777777" w:rsidR="00E5141D" w:rsidRDefault="00E5141D" w:rsidP="00E5141D">
            <w:pPr>
              <w:rPr>
                <w:b/>
                <w:sz w:val="20"/>
                <w:szCs w:val="20"/>
              </w:rPr>
            </w:pPr>
            <w:r>
              <w:rPr>
                <w:b/>
                <w:sz w:val="20"/>
                <w:szCs w:val="20"/>
              </w:rPr>
              <w:t>Chapter 12 – Supporting Students Who are Gifted and Talented</w:t>
            </w:r>
          </w:p>
          <w:p w14:paraId="026986E9" w14:textId="690EC1FF" w:rsidR="00E66709" w:rsidRPr="002D65FB" w:rsidRDefault="00E66709" w:rsidP="00E5141D">
            <w:pPr>
              <w:rPr>
                <w:sz w:val="20"/>
                <w:szCs w:val="20"/>
              </w:rPr>
            </w:pPr>
          </w:p>
        </w:tc>
        <w:tc>
          <w:tcPr>
            <w:tcW w:w="2070" w:type="dxa"/>
          </w:tcPr>
          <w:p w14:paraId="462927A3" w14:textId="77777777" w:rsidR="002538AC" w:rsidRDefault="002538AC" w:rsidP="002538AC">
            <w:pPr>
              <w:rPr>
                <w:sz w:val="20"/>
                <w:szCs w:val="20"/>
              </w:rPr>
            </w:pPr>
            <w:r>
              <w:rPr>
                <w:sz w:val="20"/>
                <w:szCs w:val="20"/>
              </w:rPr>
              <w:t>Chapter 12</w:t>
            </w:r>
          </w:p>
          <w:p w14:paraId="25695AF5" w14:textId="659895F7" w:rsidR="00E66709" w:rsidRPr="00FE434A" w:rsidRDefault="00E66709" w:rsidP="00E66709">
            <w:pPr>
              <w:rPr>
                <w:sz w:val="20"/>
                <w:szCs w:val="20"/>
              </w:rPr>
            </w:pPr>
          </w:p>
        </w:tc>
        <w:tc>
          <w:tcPr>
            <w:tcW w:w="2160" w:type="dxa"/>
          </w:tcPr>
          <w:p w14:paraId="636C1F6D" w14:textId="7635381D" w:rsidR="00E66709" w:rsidRPr="00FE434A" w:rsidRDefault="00E66709" w:rsidP="00E66709">
            <w:pPr>
              <w:rPr>
                <w:sz w:val="20"/>
                <w:szCs w:val="20"/>
              </w:rPr>
            </w:pPr>
          </w:p>
        </w:tc>
      </w:tr>
      <w:tr w:rsidR="00E5141D" w:rsidRPr="00FE434A" w14:paraId="34537FDD" w14:textId="77777777" w:rsidTr="002538AC">
        <w:tc>
          <w:tcPr>
            <w:tcW w:w="895" w:type="dxa"/>
          </w:tcPr>
          <w:p w14:paraId="31BECC4E" w14:textId="6FD04238" w:rsidR="00E5141D" w:rsidRDefault="002538AC" w:rsidP="00F044E6">
            <w:pPr>
              <w:rPr>
                <w:sz w:val="20"/>
                <w:szCs w:val="20"/>
              </w:rPr>
            </w:pPr>
            <w:r>
              <w:rPr>
                <w:sz w:val="20"/>
                <w:szCs w:val="20"/>
              </w:rPr>
              <w:t xml:space="preserve">Th </w:t>
            </w:r>
            <w:r w:rsidR="00E5141D">
              <w:rPr>
                <w:sz w:val="20"/>
                <w:szCs w:val="20"/>
              </w:rPr>
              <w:t>4/17</w:t>
            </w:r>
          </w:p>
        </w:tc>
        <w:tc>
          <w:tcPr>
            <w:tcW w:w="5400" w:type="dxa"/>
          </w:tcPr>
          <w:p w14:paraId="134E5C28" w14:textId="77777777" w:rsidR="00E5141D" w:rsidRDefault="00E5141D" w:rsidP="00E5141D">
            <w:pPr>
              <w:rPr>
                <w:b/>
                <w:sz w:val="20"/>
                <w:szCs w:val="20"/>
              </w:rPr>
            </w:pPr>
            <w:r>
              <w:rPr>
                <w:b/>
                <w:sz w:val="20"/>
                <w:szCs w:val="20"/>
              </w:rPr>
              <w:t>Chapter 12 – Supporting Students Who are Gifted and Talented</w:t>
            </w:r>
          </w:p>
          <w:p w14:paraId="7FB09384" w14:textId="77777777" w:rsidR="00E5141D" w:rsidRDefault="00E5141D" w:rsidP="004B1D3A">
            <w:pPr>
              <w:rPr>
                <w:b/>
                <w:sz w:val="20"/>
                <w:szCs w:val="20"/>
              </w:rPr>
            </w:pPr>
          </w:p>
        </w:tc>
        <w:tc>
          <w:tcPr>
            <w:tcW w:w="2070" w:type="dxa"/>
          </w:tcPr>
          <w:p w14:paraId="34181E39" w14:textId="77777777" w:rsidR="00E5141D" w:rsidRDefault="00E5141D" w:rsidP="00E66709">
            <w:pPr>
              <w:rPr>
                <w:sz w:val="20"/>
                <w:szCs w:val="20"/>
              </w:rPr>
            </w:pPr>
          </w:p>
        </w:tc>
        <w:tc>
          <w:tcPr>
            <w:tcW w:w="2160" w:type="dxa"/>
          </w:tcPr>
          <w:p w14:paraId="1C4C4082" w14:textId="77777777" w:rsidR="00E5141D" w:rsidRPr="00FE434A" w:rsidRDefault="00E5141D" w:rsidP="00E66709">
            <w:pPr>
              <w:rPr>
                <w:sz w:val="20"/>
                <w:szCs w:val="20"/>
              </w:rPr>
            </w:pPr>
          </w:p>
        </w:tc>
      </w:tr>
      <w:tr w:rsidR="00971B59" w:rsidRPr="00FE434A" w14:paraId="3AE8FCAD" w14:textId="77777777" w:rsidTr="002538AC">
        <w:tc>
          <w:tcPr>
            <w:tcW w:w="895" w:type="dxa"/>
          </w:tcPr>
          <w:p w14:paraId="69D4B290" w14:textId="7488536B" w:rsidR="00971B59" w:rsidRDefault="002538AC" w:rsidP="00F044E6">
            <w:pPr>
              <w:rPr>
                <w:sz w:val="20"/>
                <w:szCs w:val="20"/>
              </w:rPr>
            </w:pPr>
            <w:r>
              <w:rPr>
                <w:sz w:val="20"/>
                <w:szCs w:val="20"/>
              </w:rPr>
              <w:t xml:space="preserve">T </w:t>
            </w:r>
            <w:r w:rsidR="00E5141D">
              <w:rPr>
                <w:sz w:val="20"/>
                <w:szCs w:val="20"/>
              </w:rPr>
              <w:t>4/22</w:t>
            </w:r>
          </w:p>
        </w:tc>
        <w:tc>
          <w:tcPr>
            <w:tcW w:w="5400" w:type="dxa"/>
          </w:tcPr>
          <w:p w14:paraId="606D7686" w14:textId="77777777" w:rsidR="00971B59" w:rsidRDefault="00176CC6" w:rsidP="007114EC">
            <w:pPr>
              <w:rPr>
                <w:b/>
                <w:sz w:val="20"/>
                <w:szCs w:val="20"/>
              </w:rPr>
            </w:pPr>
            <w:r>
              <w:rPr>
                <w:b/>
                <w:sz w:val="20"/>
                <w:szCs w:val="20"/>
              </w:rPr>
              <w:t>Chapter 13 – Supporting and Collaborating with Families and Professionals</w:t>
            </w:r>
          </w:p>
          <w:p w14:paraId="1FD33BBF" w14:textId="39D56309" w:rsidR="002538AC" w:rsidRPr="008377B7" w:rsidRDefault="002538AC" w:rsidP="007114EC">
            <w:pPr>
              <w:rPr>
                <w:b/>
                <w:sz w:val="20"/>
                <w:szCs w:val="20"/>
              </w:rPr>
            </w:pPr>
          </w:p>
        </w:tc>
        <w:tc>
          <w:tcPr>
            <w:tcW w:w="2070" w:type="dxa"/>
          </w:tcPr>
          <w:p w14:paraId="05A7C46A" w14:textId="64D0D056" w:rsidR="008377B7" w:rsidRPr="00FE434A" w:rsidRDefault="008377B7" w:rsidP="00E66709">
            <w:pPr>
              <w:rPr>
                <w:sz w:val="20"/>
                <w:szCs w:val="20"/>
              </w:rPr>
            </w:pPr>
            <w:r>
              <w:rPr>
                <w:sz w:val="20"/>
                <w:szCs w:val="20"/>
              </w:rPr>
              <w:t>Chapter 13</w:t>
            </w:r>
          </w:p>
        </w:tc>
        <w:tc>
          <w:tcPr>
            <w:tcW w:w="2160" w:type="dxa"/>
          </w:tcPr>
          <w:p w14:paraId="1026C890" w14:textId="77777777" w:rsidR="00971B59" w:rsidRPr="00FE434A" w:rsidRDefault="00971B59" w:rsidP="00E66709">
            <w:pPr>
              <w:rPr>
                <w:sz w:val="20"/>
                <w:szCs w:val="20"/>
              </w:rPr>
            </w:pPr>
          </w:p>
        </w:tc>
      </w:tr>
      <w:tr w:rsidR="00E5141D" w:rsidRPr="00FE434A" w14:paraId="079267B7" w14:textId="77777777" w:rsidTr="002538AC">
        <w:tc>
          <w:tcPr>
            <w:tcW w:w="895" w:type="dxa"/>
          </w:tcPr>
          <w:p w14:paraId="4D29F384" w14:textId="414CB516" w:rsidR="00E5141D" w:rsidRDefault="002538AC" w:rsidP="00F044E6">
            <w:pPr>
              <w:rPr>
                <w:sz w:val="20"/>
                <w:szCs w:val="20"/>
              </w:rPr>
            </w:pPr>
            <w:r>
              <w:rPr>
                <w:sz w:val="20"/>
                <w:szCs w:val="20"/>
              </w:rPr>
              <w:t xml:space="preserve">Th </w:t>
            </w:r>
            <w:r w:rsidR="00E5141D">
              <w:rPr>
                <w:sz w:val="20"/>
                <w:szCs w:val="20"/>
              </w:rPr>
              <w:t>4/24</w:t>
            </w:r>
          </w:p>
        </w:tc>
        <w:tc>
          <w:tcPr>
            <w:tcW w:w="5400" w:type="dxa"/>
          </w:tcPr>
          <w:p w14:paraId="6AF36B0B" w14:textId="77777777" w:rsidR="00E5141D" w:rsidRDefault="00E5141D" w:rsidP="004B1D3A">
            <w:pPr>
              <w:rPr>
                <w:b/>
                <w:sz w:val="20"/>
                <w:szCs w:val="20"/>
              </w:rPr>
            </w:pPr>
            <w:r>
              <w:rPr>
                <w:b/>
                <w:sz w:val="20"/>
                <w:szCs w:val="20"/>
              </w:rPr>
              <w:t>Chapter 13 – Supporting and Collaborating with Families and Professionals</w:t>
            </w:r>
          </w:p>
          <w:p w14:paraId="5D6FF7A0" w14:textId="5D34AA37" w:rsidR="002538AC" w:rsidRDefault="002538AC" w:rsidP="004B1D3A">
            <w:pPr>
              <w:rPr>
                <w:b/>
                <w:sz w:val="20"/>
                <w:szCs w:val="20"/>
              </w:rPr>
            </w:pPr>
          </w:p>
        </w:tc>
        <w:tc>
          <w:tcPr>
            <w:tcW w:w="2070" w:type="dxa"/>
          </w:tcPr>
          <w:p w14:paraId="2B7BABD0" w14:textId="77777777" w:rsidR="00E5141D" w:rsidRDefault="00E5141D" w:rsidP="00E66709">
            <w:pPr>
              <w:rPr>
                <w:sz w:val="20"/>
                <w:szCs w:val="20"/>
              </w:rPr>
            </w:pPr>
          </w:p>
        </w:tc>
        <w:tc>
          <w:tcPr>
            <w:tcW w:w="2160" w:type="dxa"/>
          </w:tcPr>
          <w:p w14:paraId="427B199D" w14:textId="77777777" w:rsidR="00E5141D" w:rsidRPr="00FE434A" w:rsidRDefault="00E5141D" w:rsidP="00E66709">
            <w:pPr>
              <w:rPr>
                <w:sz w:val="20"/>
                <w:szCs w:val="20"/>
              </w:rPr>
            </w:pPr>
          </w:p>
        </w:tc>
      </w:tr>
      <w:tr w:rsidR="00971B59" w:rsidRPr="00FE434A" w14:paraId="6D3A5367" w14:textId="77777777" w:rsidTr="002538AC">
        <w:tc>
          <w:tcPr>
            <w:tcW w:w="895" w:type="dxa"/>
          </w:tcPr>
          <w:p w14:paraId="611B4A62" w14:textId="463E183E" w:rsidR="00971B59" w:rsidRDefault="002538AC" w:rsidP="00F044E6">
            <w:pPr>
              <w:rPr>
                <w:sz w:val="20"/>
                <w:szCs w:val="20"/>
              </w:rPr>
            </w:pPr>
            <w:r>
              <w:rPr>
                <w:sz w:val="20"/>
                <w:szCs w:val="20"/>
              </w:rPr>
              <w:t xml:space="preserve">T </w:t>
            </w:r>
            <w:r w:rsidR="00E5141D">
              <w:rPr>
                <w:sz w:val="20"/>
                <w:szCs w:val="20"/>
              </w:rPr>
              <w:t>4/29</w:t>
            </w:r>
          </w:p>
        </w:tc>
        <w:tc>
          <w:tcPr>
            <w:tcW w:w="5400" w:type="dxa"/>
          </w:tcPr>
          <w:p w14:paraId="70B55CF6" w14:textId="4F33FD39" w:rsidR="00971B59" w:rsidRPr="00971B59" w:rsidRDefault="00971B59" w:rsidP="00971B59">
            <w:pPr>
              <w:rPr>
                <w:b/>
                <w:bCs/>
                <w:sz w:val="20"/>
                <w:szCs w:val="20"/>
              </w:rPr>
            </w:pPr>
            <w:r w:rsidRPr="00971B59">
              <w:rPr>
                <w:b/>
                <w:bCs/>
                <w:sz w:val="20"/>
                <w:szCs w:val="20"/>
              </w:rPr>
              <w:t>Exam 3</w:t>
            </w:r>
            <w:r w:rsidR="004B1D3A">
              <w:rPr>
                <w:b/>
                <w:bCs/>
                <w:sz w:val="20"/>
                <w:szCs w:val="20"/>
              </w:rPr>
              <w:t xml:space="preserve"> (Ch 9-13)</w:t>
            </w:r>
          </w:p>
          <w:p w14:paraId="6F0179C0" w14:textId="795599DF" w:rsidR="00971B59" w:rsidRDefault="006174FD" w:rsidP="007114EC">
            <w:pPr>
              <w:rPr>
                <w:sz w:val="20"/>
                <w:szCs w:val="20"/>
              </w:rPr>
            </w:pPr>
            <w:r>
              <w:rPr>
                <w:sz w:val="20"/>
                <w:szCs w:val="20"/>
              </w:rPr>
              <w:t>*</w:t>
            </w:r>
            <w:r>
              <w:t>ASYNCHRONOUS</w:t>
            </w:r>
            <w:r>
              <w:rPr>
                <w:sz w:val="20"/>
                <w:szCs w:val="20"/>
              </w:rPr>
              <w:t>*</w:t>
            </w:r>
          </w:p>
        </w:tc>
        <w:tc>
          <w:tcPr>
            <w:tcW w:w="2070" w:type="dxa"/>
          </w:tcPr>
          <w:p w14:paraId="26A8A706" w14:textId="77777777" w:rsidR="00971B59" w:rsidRPr="00FE434A" w:rsidRDefault="00971B59" w:rsidP="00E66709">
            <w:pPr>
              <w:rPr>
                <w:sz w:val="20"/>
                <w:szCs w:val="20"/>
              </w:rPr>
            </w:pPr>
          </w:p>
        </w:tc>
        <w:tc>
          <w:tcPr>
            <w:tcW w:w="2160" w:type="dxa"/>
          </w:tcPr>
          <w:p w14:paraId="2F1C56CA" w14:textId="77777777" w:rsidR="00971B59" w:rsidRPr="00FE434A" w:rsidRDefault="00971B59" w:rsidP="00E66709">
            <w:pPr>
              <w:rPr>
                <w:sz w:val="20"/>
                <w:szCs w:val="20"/>
              </w:rPr>
            </w:pPr>
          </w:p>
        </w:tc>
      </w:tr>
      <w:tr w:rsidR="00971B59" w:rsidRPr="00FE434A" w14:paraId="5AB69D6D" w14:textId="77777777" w:rsidTr="002538AC">
        <w:tc>
          <w:tcPr>
            <w:tcW w:w="895" w:type="dxa"/>
          </w:tcPr>
          <w:p w14:paraId="77CD73A9" w14:textId="77777777" w:rsidR="00971B59" w:rsidRDefault="00971B59" w:rsidP="00F044E6">
            <w:pPr>
              <w:rPr>
                <w:sz w:val="20"/>
                <w:szCs w:val="20"/>
              </w:rPr>
            </w:pPr>
          </w:p>
        </w:tc>
        <w:tc>
          <w:tcPr>
            <w:tcW w:w="5400" w:type="dxa"/>
          </w:tcPr>
          <w:p w14:paraId="1FDB1EA5" w14:textId="489FFA35" w:rsidR="00971B59" w:rsidRDefault="00971B59" w:rsidP="007114EC">
            <w:pPr>
              <w:rPr>
                <w:sz w:val="20"/>
                <w:szCs w:val="20"/>
              </w:rPr>
            </w:pPr>
            <w:r>
              <w:rPr>
                <w:sz w:val="20"/>
                <w:szCs w:val="20"/>
              </w:rPr>
              <w:t xml:space="preserve">Finals Week </w:t>
            </w:r>
            <w:r w:rsidR="00E5141D">
              <w:rPr>
                <w:sz w:val="20"/>
                <w:szCs w:val="20"/>
              </w:rPr>
              <w:t>5/5-5/9</w:t>
            </w:r>
          </w:p>
        </w:tc>
        <w:tc>
          <w:tcPr>
            <w:tcW w:w="207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1"/>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64B22EF5"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w:t>
      </w:r>
      <w:proofErr w:type="gramStart"/>
      <w:r w:rsidR="00057025">
        <w:rPr>
          <w:rFonts w:cs="Tahoma"/>
        </w:rPr>
        <w:t>University</w:t>
      </w:r>
      <w:proofErr w:type="gramEnd"/>
      <w:r w:rsidR="00057025">
        <w:rPr>
          <w:rFonts w:cs="Tahoma"/>
        </w:rPr>
        <w:t>-approved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w:t>
      </w:r>
      <w:r w:rsidRPr="003A0544">
        <w:rPr>
          <w:rFonts w:cs="Tahoma"/>
        </w:rPr>
        <w:lastRenderedPageBreak/>
        <w:t xml:space="preserve">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5A65312A" w:rsidR="00636F4C" w:rsidRPr="0053166C" w:rsidRDefault="001D1883" w:rsidP="00636F4C">
      <w:pPr>
        <w:ind w:left="360" w:hanging="360"/>
        <w:jc w:val="both"/>
        <w:rPr>
          <w:rFonts w:cs="Tahoma"/>
          <w:i/>
          <w:iCs/>
        </w:rPr>
      </w:pPr>
      <w:r w:rsidRPr="003A0544">
        <w:rPr>
          <w:rFonts w:cs="Tahoma"/>
          <w:b/>
        </w:rPr>
        <w:t>Attendance:</w:t>
      </w:r>
      <w:r w:rsidRPr="003A0544">
        <w:rPr>
          <w:rFonts w:cs="Tahoma"/>
        </w:rPr>
        <w:t xml:space="preserve">  </w:t>
      </w:r>
      <w:r>
        <w:rPr>
          <w:rFonts w:cs="Tahoma"/>
        </w:rPr>
        <w:t>Students</w:t>
      </w:r>
      <w:r w:rsidRPr="003A0544">
        <w:rPr>
          <w:rFonts w:cs="Tahoma"/>
        </w:rPr>
        <w:t xml:space="preserve"> </w:t>
      </w:r>
      <w:proofErr w:type="gramStart"/>
      <w:r w:rsidRPr="003A0544">
        <w:rPr>
          <w:rFonts w:cs="Tahoma"/>
        </w:rPr>
        <w:t>are expected</w:t>
      </w:r>
      <w:proofErr w:type="gramEnd"/>
      <w:r w:rsidRPr="003A0544">
        <w:rPr>
          <w:rFonts w:cs="Tahoma"/>
        </w:rPr>
        <w:t xml:space="preserve"> to attend class and participate in class discussions and activities</w:t>
      </w:r>
      <w:r>
        <w:rPr>
          <w:rFonts w:cs="Tahoma"/>
        </w:rPr>
        <w:t xml:space="preserve"> and will be held responsible for any content covered in the event of an absence.</w:t>
      </w:r>
      <w:r w:rsidR="00A1092D">
        <w:rPr>
          <w:rFonts w:cs="Tahoma"/>
        </w:rPr>
        <w:t xml:space="preserve"> </w:t>
      </w:r>
      <w:bookmarkStart w:id="6" w:name="OLE_LINK89"/>
      <w:r w:rsidR="00A1092D" w:rsidRPr="0053166C">
        <w:rPr>
          <w:rFonts w:cs="Tahoma"/>
          <w:i/>
          <w:iCs/>
        </w:rPr>
        <w:t xml:space="preserve">See the </w:t>
      </w:r>
      <w:r w:rsidR="0053166C" w:rsidRPr="0053166C">
        <w:rPr>
          <w:rFonts w:cs="Tahoma"/>
          <w:i/>
          <w:iCs/>
        </w:rPr>
        <w:t xml:space="preserve">attendance make-up assignment in Canvas. </w:t>
      </w:r>
    </w:p>
    <w:bookmarkEnd w:id="6"/>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5BEBCC86"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353BD2">
        <w:rPr>
          <w:color w:val="333333"/>
          <w:shd w:val="clear" w:color="auto" w:fill="FFFFFF"/>
        </w:rPr>
        <w:t xml:space="preserve"> </w:t>
      </w:r>
      <w:r w:rsidR="00353BD2">
        <w:rPr>
          <w:rStyle w:val="Emphasis"/>
          <w:color w:val="333333"/>
          <w:bdr w:val="none" w:sz="0" w:space="0" w:color="auto" w:frame="1"/>
          <w:shd w:val="clear" w:color="auto" w:fill="FFFFFF"/>
        </w:rPr>
        <w:t>virtual.</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lastRenderedPageBreak/>
        <w:t>Assignments:</w:t>
      </w:r>
      <w:r w:rsidRPr="003A0544">
        <w:t xml:space="preserve"> Written</w:t>
      </w:r>
      <w:r w:rsidR="005A4E5F">
        <w:t xml:space="preserve"> and typed</w:t>
      </w:r>
      <w:r w:rsidRPr="003A0544">
        <w:t xml:space="preserve"> assignments </w:t>
      </w:r>
      <w:proofErr w:type="gramStart"/>
      <w:r w:rsidRPr="003A0544">
        <w:t>are expected</w:t>
      </w:r>
      <w:proofErr w:type="gramEnd"/>
      <w:r w:rsidRPr="003A0544">
        <w:t xml:space="preserve">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12" w:tgtFrame="_blank" w:history="1">
        <w:r w:rsidR="00057025" w:rsidRPr="00797BB8">
          <w:rPr>
            <w:rStyle w:val="Hyperlink"/>
            <w:rFonts w:cs="Verdana"/>
          </w:rPr>
          <w:t>ACCESSIBILITY@auburn.edu</w:t>
        </w:r>
      </w:hyperlink>
      <w:r w:rsidR="00057025" w:rsidRPr="00797BB8">
        <w:rPr>
          <w:rFonts w:cs="Verdana"/>
        </w:rPr>
        <w:t> or </w:t>
      </w:r>
      <w:hyperlink r:id="rId13" w:tgtFrame="_blank" w:history="1">
        <w:r w:rsidR="00057025" w:rsidRPr="00797BB8">
          <w:rPr>
            <w:rStyle w:val="Hyperlink"/>
            <w:rFonts w:cs="Verdana"/>
          </w:rPr>
          <w:t>(334) 844-2096</w:t>
        </w:r>
      </w:hyperlink>
      <w:r w:rsidR="00057025" w:rsidRPr="00797BB8">
        <w:rPr>
          <w:rFonts w:cs="Verdana"/>
        </w:rPr>
        <w:t xml:space="preserve"> (V/TT). The Office of Accessibility </w:t>
      </w:r>
      <w:proofErr w:type="gramStart"/>
      <w:r w:rsidR="00057025" w:rsidRPr="00797BB8">
        <w:rPr>
          <w:rFonts w:cs="Verdana"/>
        </w:rPr>
        <w:t>is located in</w:t>
      </w:r>
      <w:proofErr w:type="gramEnd"/>
      <w:r w:rsidR="00057025" w:rsidRPr="00797BB8">
        <w:rPr>
          <w:rFonts w:cs="Verdana"/>
        </w:rPr>
        <w:t xml:space="preserve">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6"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7"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18"/>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10FD" w14:textId="77777777" w:rsidR="004E508B" w:rsidRDefault="004E508B" w:rsidP="001D1883">
      <w:r>
        <w:separator/>
      </w:r>
    </w:p>
  </w:endnote>
  <w:endnote w:type="continuationSeparator" w:id="0">
    <w:p w14:paraId="392EDC48" w14:textId="77777777" w:rsidR="004E508B" w:rsidRDefault="004E508B"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02DE" w14:textId="77777777" w:rsidR="004E508B" w:rsidRDefault="004E508B" w:rsidP="001D1883">
      <w:r>
        <w:separator/>
      </w:r>
    </w:p>
  </w:footnote>
  <w:footnote w:type="continuationSeparator" w:id="0">
    <w:p w14:paraId="07DDB63B" w14:textId="77777777" w:rsidR="004E508B" w:rsidRDefault="004E508B"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9"/>
  </w:num>
  <w:num w:numId="2" w16cid:durableId="1847863816">
    <w:abstractNumId w:val="10"/>
  </w:num>
  <w:num w:numId="3" w16cid:durableId="1196580454">
    <w:abstractNumId w:val="5"/>
  </w:num>
  <w:num w:numId="4" w16cid:durableId="904291664">
    <w:abstractNumId w:val="14"/>
  </w:num>
  <w:num w:numId="5" w16cid:durableId="1397780553">
    <w:abstractNumId w:val="11"/>
  </w:num>
  <w:num w:numId="6" w16cid:durableId="32776030">
    <w:abstractNumId w:val="13"/>
  </w:num>
  <w:num w:numId="7" w16cid:durableId="1053963032">
    <w:abstractNumId w:val="1"/>
  </w:num>
  <w:num w:numId="8" w16cid:durableId="1482691874">
    <w:abstractNumId w:val="15"/>
  </w:num>
  <w:num w:numId="9" w16cid:durableId="918099420">
    <w:abstractNumId w:val="2"/>
  </w:num>
  <w:num w:numId="10" w16cid:durableId="609707858">
    <w:abstractNumId w:val="0"/>
  </w:num>
  <w:num w:numId="11" w16cid:durableId="982469787">
    <w:abstractNumId w:val="12"/>
  </w:num>
  <w:num w:numId="12" w16cid:durableId="2144151938">
    <w:abstractNumId w:val="8"/>
  </w:num>
  <w:num w:numId="13" w16cid:durableId="973028715">
    <w:abstractNumId w:val="3"/>
  </w:num>
  <w:num w:numId="14" w16cid:durableId="308442056">
    <w:abstractNumId w:val="4"/>
  </w:num>
  <w:num w:numId="15" w16cid:durableId="1547257743">
    <w:abstractNumId w:val="6"/>
  </w:num>
  <w:num w:numId="16" w16cid:durableId="244994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36594"/>
    <w:rsid w:val="00047F83"/>
    <w:rsid w:val="00057025"/>
    <w:rsid w:val="00063E35"/>
    <w:rsid w:val="000756F8"/>
    <w:rsid w:val="000832FC"/>
    <w:rsid w:val="0009374F"/>
    <w:rsid w:val="00094698"/>
    <w:rsid w:val="000B32EC"/>
    <w:rsid w:val="000D3655"/>
    <w:rsid w:val="000F45DC"/>
    <w:rsid w:val="00102257"/>
    <w:rsid w:val="00102456"/>
    <w:rsid w:val="00102F95"/>
    <w:rsid w:val="00103D99"/>
    <w:rsid w:val="00154226"/>
    <w:rsid w:val="00155790"/>
    <w:rsid w:val="00157528"/>
    <w:rsid w:val="00176CC6"/>
    <w:rsid w:val="00182FF8"/>
    <w:rsid w:val="001D1883"/>
    <w:rsid w:val="001F70B8"/>
    <w:rsid w:val="00213A2D"/>
    <w:rsid w:val="0025155F"/>
    <w:rsid w:val="002538AC"/>
    <w:rsid w:val="002539C3"/>
    <w:rsid w:val="002566E2"/>
    <w:rsid w:val="00265888"/>
    <w:rsid w:val="00282B62"/>
    <w:rsid w:val="00292039"/>
    <w:rsid w:val="002D424B"/>
    <w:rsid w:val="002D65FB"/>
    <w:rsid w:val="002F3F18"/>
    <w:rsid w:val="00310F2B"/>
    <w:rsid w:val="003168EC"/>
    <w:rsid w:val="003177B4"/>
    <w:rsid w:val="00344444"/>
    <w:rsid w:val="00353BD2"/>
    <w:rsid w:val="0036535F"/>
    <w:rsid w:val="00370D2D"/>
    <w:rsid w:val="003A4428"/>
    <w:rsid w:val="003A5934"/>
    <w:rsid w:val="003A61BA"/>
    <w:rsid w:val="003A6285"/>
    <w:rsid w:val="003E0232"/>
    <w:rsid w:val="004171BE"/>
    <w:rsid w:val="00424EB6"/>
    <w:rsid w:val="0043075C"/>
    <w:rsid w:val="00451BD8"/>
    <w:rsid w:val="00462E28"/>
    <w:rsid w:val="00476D7A"/>
    <w:rsid w:val="004B1D3A"/>
    <w:rsid w:val="004B4ECD"/>
    <w:rsid w:val="004B740E"/>
    <w:rsid w:val="004E508B"/>
    <w:rsid w:val="00511392"/>
    <w:rsid w:val="005134E9"/>
    <w:rsid w:val="0051632F"/>
    <w:rsid w:val="0053166C"/>
    <w:rsid w:val="0053236E"/>
    <w:rsid w:val="00554E45"/>
    <w:rsid w:val="0057212E"/>
    <w:rsid w:val="00596F20"/>
    <w:rsid w:val="005A4E5F"/>
    <w:rsid w:val="005E113A"/>
    <w:rsid w:val="005E73E3"/>
    <w:rsid w:val="00605615"/>
    <w:rsid w:val="006174FD"/>
    <w:rsid w:val="0062646E"/>
    <w:rsid w:val="00636F4C"/>
    <w:rsid w:val="00656BA1"/>
    <w:rsid w:val="00695FC0"/>
    <w:rsid w:val="006C0EB9"/>
    <w:rsid w:val="006D16BB"/>
    <w:rsid w:val="006D6A21"/>
    <w:rsid w:val="006E1F78"/>
    <w:rsid w:val="006E7990"/>
    <w:rsid w:val="007114EC"/>
    <w:rsid w:val="00716742"/>
    <w:rsid w:val="007200FA"/>
    <w:rsid w:val="007376C0"/>
    <w:rsid w:val="00777A83"/>
    <w:rsid w:val="007B3498"/>
    <w:rsid w:val="007B6391"/>
    <w:rsid w:val="007B6572"/>
    <w:rsid w:val="007F695F"/>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125D5"/>
    <w:rsid w:val="00971B59"/>
    <w:rsid w:val="009735BA"/>
    <w:rsid w:val="00994346"/>
    <w:rsid w:val="009B0926"/>
    <w:rsid w:val="009B445B"/>
    <w:rsid w:val="00A0406C"/>
    <w:rsid w:val="00A1092D"/>
    <w:rsid w:val="00A20874"/>
    <w:rsid w:val="00A319AC"/>
    <w:rsid w:val="00A32FBE"/>
    <w:rsid w:val="00A6216B"/>
    <w:rsid w:val="00A732A7"/>
    <w:rsid w:val="00AC026A"/>
    <w:rsid w:val="00AF1E44"/>
    <w:rsid w:val="00AF1E68"/>
    <w:rsid w:val="00AF210C"/>
    <w:rsid w:val="00AF6047"/>
    <w:rsid w:val="00B0606F"/>
    <w:rsid w:val="00B07E49"/>
    <w:rsid w:val="00B261CC"/>
    <w:rsid w:val="00B37A33"/>
    <w:rsid w:val="00B40AFA"/>
    <w:rsid w:val="00B4521F"/>
    <w:rsid w:val="00B5582B"/>
    <w:rsid w:val="00B734A3"/>
    <w:rsid w:val="00B74683"/>
    <w:rsid w:val="00B93BC4"/>
    <w:rsid w:val="00BA4747"/>
    <w:rsid w:val="00BC44F0"/>
    <w:rsid w:val="00BC7D7E"/>
    <w:rsid w:val="00C02EDC"/>
    <w:rsid w:val="00C17BDB"/>
    <w:rsid w:val="00C52FE1"/>
    <w:rsid w:val="00C87073"/>
    <w:rsid w:val="00CA4206"/>
    <w:rsid w:val="00CA5E40"/>
    <w:rsid w:val="00CB2FD8"/>
    <w:rsid w:val="00CF1953"/>
    <w:rsid w:val="00D0175D"/>
    <w:rsid w:val="00D208AF"/>
    <w:rsid w:val="00D558B9"/>
    <w:rsid w:val="00D67B06"/>
    <w:rsid w:val="00D82F2D"/>
    <w:rsid w:val="00DB24A2"/>
    <w:rsid w:val="00DC0A88"/>
    <w:rsid w:val="00DC0E2C"/>
    <w:rsid w:val="00DC1C01"/>
    <w:rsid w:val="00DD1948"/>
    <w:rsid w:val="00DD7F96"/>
    <w:rsid w:val="00E06472"/>
    <w:rsid w:val="00E5141D"/>
    <w:rsid w:val="00E64AEB"/>
    <w:rsid w:val="00E64F53"/>
    <w:rsid w:val="00E66709"/>
    <w:rsid w:val="00E76980"/>
    <w:rsid w:val="00E85664"/>
    <w:rsid w:val="00E85812"/>
    <w:rsid w:val="00EA13E7"/>
    <w:rsid w:val="00EE12AF"/>
    <w:rsid w:val="00F044E6"/>
    <w:rsid w:val="00F10C32"/>
    <w:rsid w:val="00F14F44"/>
    <w:rsid w:val="00F37DC7"/>
    <w:rsid w:val="00F45A96"/>
    <w:rsid w:val="00F567BF"/>
    <w:rsid w:val="00F64D56"/>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4106937">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2166137821" TargetMode="External"/><Relationship Id="rId13" Type="http://schemas.openxmlformats.org/officeDocument/2006/relationships/hyperlink" Target="tel:(334)844-209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sk0024@auburn.edu" TargetMode="External"/><Relationship Id="rId12" Type="http://schemas.openxmlformats.org/officeDocument/2006/relationships/hyperlink" Target="mailto:ACCESSIBILITY@auburn.edu"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Shalece Kohnke</cp:lastModifiedBy>
  <cp:revision>6</cp:revision>
  <cp:lastPrinted>2021-12-08T23:40:00Z</cp:lastPrinted>
  <dcterms:created xsi:type="dcterms:W3CDTF">2024-10-16T02:15:00Z</dcterms:created>
  <dcterms:modified xsi:type="dcterms:W3CDTF">2025-01-11T00:23:00Z</dcterms:modified>
</cp:coreProperties>
</file>