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80C14" w:rsidRPr="002E172A" w:rsidRDefault="002E172A" w:rsidP="002E172A">
      <w:pPr>
        <w:pStyle w:val="Heading1"/>
        <w:jc w:val="center"/>
      </w:pPr>
      <w:r>
        <w:t>Research Studies in English Language Arts Education</w:t>
      </w:r>
    </w:p>
    <w:p w:rsidR="00680C14" w:rsidRDefault="002E172A" w:rsidP="00680C14">
      <w:pPr>
        <w:pStyle w:val="Heading1"/>
        <w:spacing w:after="120"/>
        <w:jc w:val="center"/>
      </w:pPr>
      <w:r>
        <w:t>Summer</w:t>
      </w:r>
      <w:r w:rsidR="004D0534">
        <w:t xml:space="preserve"> 2015</w:t>
      </w:r>
    </w:p>
    <w:p w:rsidR="002E172A" w:rsidRDefault="00680C14" w:rsidP="00680C14">
      <w:pPr>
        <w:spacing w:after="120"/>
      </w:pPr>
      <w:r>
        <w:rPr>
          <w:b/>
        </w:rPr>
        <w:t>Course</w:t>
      </w:r>
      <w:r w:rsidR="002E172A">
        <w:t>:</w:t>
      </w:r>
      <w:r w:rsidR="002E172A">
        <w:tab/>
      </w:r>
      <w:r w:rsidR="002E172A">
        <w:tab/>
        <w:t>CTSE 7510</w:t>
      </w:r>
      <w:r>
        <w:t xml:space="preserve">, </w:t>
      </w:r>
      <w:r w:rsidR="002E172A">
        <w:t>Research Studies in ELA Education</w:t>
      </w:r>
    </w:p>
    <w:p w:rsidR="00767507" w:rsidRDefault="00767507" w:rsidP="00767507">
      <w:pPr>
        <w:spacing w:after="120"/>
        <w:ind w:left="2160"/>
      </w:pPr>
      <w:r>
        <w:t>Haley Center 2423, 1:00-3:50pm</w:t>
      </w:r>
      <w:r w:rsidR="00680C14">
        <w:t xml:space="preserve"> </w:t>
      </w:r>
      <w:r>
        <w:t xml:space="preserve">Tuesdays &amp; </w:t>
      </w:r>
      <w:r w:rsidR="005A4EB9">
        <w:t>Thursdays</w:t>
      </w:r>
    </w:p>
    <w:p w:rsidR="00680C14" w:rsidRDefault="00767507" w:rsidP="00767507">
      <w:pPr>
        <w:spacing w:after="120"/>
        <w:ind w:left="2160"/>
      </w:pPr>
      <w:r>
        <w:t>NOTE: Tuesday meetings will be face-to-face;  Thursday meetings will be online</w:t>
      </w:r>
    </w:p>
    <w:p w:rsidR="00680C14" w:rsidRPr="002D6516" w:rsidRDefault="00680C14" w:rsidP="00680C14">
      <w:pPr>
        <w:spacing w:after="120"/>
      </w:pPr>
      <w:r>
        <w:rPr>
          <w:b/>
        </w:rPr>
        <w:t>Instructor</w:t>
      </w:r>
      <w:r>
        <w:t xml:space="preserve">: </w:t>
      </w:r>
      <w:r>
        <w:tab/>
      </w:r>
      <w:r>
        <w:tab/>
        <w:t>Brandon Sams, Assistant Professor of English Education</w:t>
      </w:r>
    </w:p>
    <w:p w:rsidR="00680C14" w:rsidRDefault="00680C14" w:rsidP="00680C14">
      <w:pPr>
        <w:spacing w:after="120"/>
      </w:pPr>
      <w:r>
        <w:rPr>
          <w:b/>
        </w:rPr>
        <w:t>Office</w:t>
      </w:r>
      <w:r>
        <w:t xml:space="preserve">: </w:t>
      </w:r>
      <w:r>
        <w:tab/>
      </w:r>
      <w:r>
        <w:tab/>
        <w:t>5052 Haley Center</w:t>
      </w:r>
    </w:p>
    <w:p w:rsidR="00680C14" w:rsidRPr="00F635A0" w:rsidRDefault="00680C14" w:rsidP="00680C14">
      <w:pPr>
        <w:spacing w:after="120"/>
        <w:ind w:left="720" w:hanging="720"/>
      </w:pPr>
      <w:r>
        <w:rPr>
          <w:b/>
        </w:rPr>
        <w:t>Phone</w:t>
      </w:r>
      <w:r>
        <w:t xml:space="preserve">: </w:t>
      </w:r>
      <w:r>
        <w:tab/>
      </w:r>
      <w:r>
        <w:tab/>
        <w:t>844-8286 (office); 615-828-4541 (cell)</w:t>
      </w:r>
    </w:p>
    <w:p w:rsidR="00680C14" w:rsidRDefault="00680C14" w:rsidP="00680C14">
      <w:pPr>
        <w:spacing w:after="120"/>
      </w:pPr>
      <w:r>
        <w:rPr>
          <w:b/>
        </w:rPr>
        <w:t>Email address</w:t>
      </w:r>
      <w:r>
        <w:t xml:space="preserve">: </w:t>
      </w:r>
      <w:r>
        <w:tab/>
      </w:r>
      <w:hyperlink r:id="rId7" w:history="1">
        <w:r w:rsidRPr="00A747B5">
          <w:rPr>
            <w:rStyle w:val="Hyperlink"/>
          </w:rPr>
          <w:t>bls0023@auburn.edu</w:t>
        </w:r>
      </w:hyperlink>
      <w:r>
        <w:t xml:space="preserve"> </w:t>
      </w:r>
    </w:p>
    <w:p w:rsidR="00680C14" w:rsidRDefault="00680C14" w:rsidP="00680C14">
      <w:pPr>
        <w:spacing w:after="120"/>
      </w:pPr>
      <w:r>
        <w:tab/>
      </w:r>
      <w:r>
        <w:tab/>
      </w:r>
      <w:r>
        <w:tab/>
      </w:r>
      <w:hyperlink r:id="rId8" w:history="1">
        <w:r>
          <w:rPr>
            <w:rStyle w:val="Hyperlink"/>
          </w:rPr>
          <w:t>b</w:t>
        </w:r>
        <w:r w:rsidRPr="00D96447">
          <w:rPr>
            <w:rStyle w:val="Hyperlink"/>
          </w:rPr>
          <w:t>randon.l.sams@gmail.com</w:t>
        </w:r>
      </w:hyperlink>
      <w:r w:rsidR="002E172A">
        <w:t xml:space="preserve"> (</w:t>
      </w:r>
      <w:r w:rsidR="005A4EB9">
        <w:t>in case AU email is down</w:t>
      </w:r>
      <w:r>
        <w:t>)</w:t>
      </w:r>
    </w:p>
    <w:p w:rsidR="00680C14" w:rsidRDefault="00680C14" w:rsidP="00680C14">
      <w:pPr>
        <w:spacing w:after="120"/>
        <w:ind w:left="2160"/>
      </w:pPr>
      <w:r>
        <w:t xml:space="preserve">Email is the best way to contact me. I will do my best to respond within 24 hours. </w:t>
      </w:r>
    </w:p>
    <w:p w:rsidR="004D0534" w:rsidRDefault="00680C14" w:rsidP="00767507">
      <w:pPr>
        <w:spacing w:after="240"/>
        <w:ind w:left="2160" w:hanging="2160"/>
        <w:rPr>
          <w:b/>
        </w:rPr>
      </w:pPr>
      <w:r>
        <w:rPr>
          <w:b/>
        </w:rPr>
        <w:t>Office hours</w:t>
      </w:r>
      <w:r>
        <w:t xml:space="preserve">:  </w:t>
      </w:r>
      <w:r>
        <w:tab/>
        <w:t xml:space="preserve">** </w:t>
      </w:r>
      <w:r w:rsidR="00145DC3">
        <w:rPr>
          <w:b/>
        </w:rPr>
        <w:t xml:space="preserve">Mondays 1-3. </w:t>
      </w:r>
      <w:r w:rsidR="000521F7">
        <w:t>Other hours by appointment</w:t>
      </w:r>
      <w:r>
        <w:t xml:space="preserve">. </w:t>
      </w:r>
      <w:r w:rsidR="00767507">
        <w:t>Virtual appointments possible</w:t>
      </w:r>
      <w:r w:rsidR="002E172A">
        <w:t>.</w:t>
      </w:r>
    </w:p>
    <w:p w:rsidR="00155EEE" w:rsidRDefault="00155EEE" w:rsidP="00155EEE">
      <w:pPr>
        <w:spacing w:after="240"/>
        <w:jc w:val="both"/>
        <w:rPr>
          <w:b/>
        </w:rPr>
      </w:pPr>
      <w:r>
        <w:rPr>
          <w:b/>
        </w:rPr>
        <w:t>Course Objectives:</w:t>
      </w:r>
    </w:p>
    <w:p w:rsidR="00155EEE" w:rsidRDefault="00155EEE" w:rsidP="00155EEE">
      <w:pPr>
        <w:spacing w:after="240"/>
        <w:rPr>
          <w:b/>
        </w:rPr>
      </w:pPr>
      <w:r>
        <w:t>This class will introduce you to key lines of in</w:t>
      </w:r>
      <w:r w:rsidR="00767507">
        <w:t xml:space="preserve">quiry in ELA </w:t>
      </w:r>
      <w:r>
        <w:t>and lite</w:t>
      </w:r>
      <w:r w:rsidR="00E71919">
        <w:t xml:space="preserve">racy research. </w:t>
      </w:r>
      <w:r w:rsidR="00767507">
        <w:t>My goals, expressed informally here, are for you to become famliar with major research organs/publications in the ELA field; learn to read, apply, and evaluate research; generate a research question/problem of interest that you will pursue independently in this course; reflect on how reading and digesting research can help you design curriculum and orchestrate instructional space to meet the needs of diverse students. During several of our class sessions, y</w:t>
      </w:r>
      <w:r w:rsidR="00E71919">
        <w:t>ou will have a chance t</w:t>
      </w:r>
      <w:r w:rsidR="00767507">
        <w:t>o meet and dialogue with</w:t>
      </w:r>
      <w:r w:rsidR="00E71919">
        <w:t xml:space="preserve"> ELA researchers working at institutions of higher learning across the country.</w:t>
      </w:r>
      <w:r w:rsidR="00767507">
        <w:t xml:space="preserve">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rsidR="00E81A71" w:rsidRPr="002E172A" w:rsidRDefault="002E172A" w:rsidP="002E172A">
      <w:pPr>
        <w:spacing w:after="240"/>
        <w:ind w:left="2160" w:hanging="2160"/>
        <w:rPr>
          <w:b/>
        </w:rPr>
      </w:pPr>
      <w:r>
        <w:rPr>
          <w:b/>
        </w:rPr>
        <w:t>Readings:</w:t>
      </w:r>
      <w:r w:rsidR="00680C14">
        <w:rPr>
          <w:b/>
        </w:rPr>
        <w:t xml:space="preserve"> </w:t>
      </w:r>
      <w:r w:rsidR="00E81A71">
        <w:tab/>
      </w:r>
    </w:p>
    <w:p w:rsidR="00680C14" w:rsidRDefault="002E172A" w:rsidP="00680C14">
      <w:r>
        <w:t>A</w:t>
      </w:r>
      <w:r w:rsidR="00680C14">
        <w:t>rticles</w:t>
      </w:r>
      <w:r w:rsidR="00155EEE">
        <w:t xml:space="preserve"> as</w:t>
      </w:r>
      <w:r w:rsidR="000521F7">
        <w:t xml:space="preserve"> pdf files</w:t>
      </w:r>
      <w:r w:rsidR="00680C14">
        <w:t xml:space="preserve"> </w:t>
      </w:r>
      <w:r>
        <w:t xml:space="preserve">are </w:t>
      </w:r>
      <w:r w:rsidR="00680C14">
        <w:t>available on Canvas. Under th</w:t>
      </w:r>
      <w:r w:rsidR="00965B9E">
        <w:t>e “files” sidebar, you will find</w:t>
      </w:r>
      <w:r w:rsidR="00680C14">
        <w:t xml:space="preserve"> folders that correspond to class days &amp; topics. Readings will be inside the folder. For electronic readings, please bring </w:t>
      </w:r>
      <w:r>
        <w:t>to class (physically or on laptop or ipad)</w:t>
      </w:r>
      <w:r w:rsidR="00680C14">
        <w:t xml:space="preserve"> </w:t>
      </w:r>
      <w:r w:rsidR="00147154">
        <w:t xml:space="preserve">– do not try to read from a smartphone. </w:t>
      </w:r>
    </w:p>
    <w:p w:rsidR="00680C14" w:rsidRDefault="00680C14" w:rsidP="00680C14">
      <w:pPr>
        <w:rPr>
          <w:b/>
        </w:rPr>
      </w:pPr>
    </w:p>
    <w:p w:rsidR="00680C14" w:rsidRDefault="00680C14" w:rsidP="00680C14">
      <w:pPr>
        <w:pStyle w:val="Heading1"/>
      </w:pPr>
      <w:r>
        <w:t>************************************************************************</w:t>
      </w:r>
    </w:p>
    <w:p w:rsidR="00680C14" w:rsidRDefault="00680C14" w:rsidP="00680C14">
      <w:pPr>
        <w:pStyle w:val="Heading1"/>
        <w:spacing w:after="120"/>
      </w:pPr>
      <w:r>
        <w:t>Expectations &amp; Policies:</w:t>
      </w:r>
    </w:p>
    <w:p w:rsidR="00680C14" w:rsidRDefault="00680C14" w:rsidP="00680C14">
      <w:pPr>
        <w:spacing w:after="240"/>
      </w:pPr>
      <w:r>
        <w:t>I expect students to attend all scheduled class meetings, arrive on time and not leave early, come prepared, and contribute by participating in discussions and activities.</w:t>
      </w:r>
    </w:p>
    <w:p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9" w:history="1">
        <w:r w:rsidRPr="00D96447">
          <w:rPr>
            <w:rStyle w:val="Hyperlink"/>
          </w:rPr>
          <w:t>www.auburn.edu/studentpolicies</w:t>
        </w:r>
      </w:hyperlink>
      <w:r>
        <w:t xml:space="preserve">. </w:t>
      </w:r>
    </w:p>
    <w:p w:rsidR="00680C14" w:rsidRDefault="00680C14" w:rsidP="00B879D0">
      <w:pPr>
        <w:spacing w:after="120"/>
      </w:pPr>
      <w:r>
        <w:tab/>
      </w:r>
      <w:r w:rsidR="00B879D0">
        <w:t xml:space="preserve">You are allowed </w:t>
      </w:r>
      <w:r w:rsidR="00B879D0">
        <w:rPr>
          <w:i/>
        </w:rPr>
        <w:t xml:space="preserve">one </w:t>
      </w:r>
      <w:r w:rsidR="00B879D0">
        <w:t xml:space="preserve">unexcused absence during our course without penalty. More than one unexcused absence will result in a loss of participation points and lower your final course grade. </w:t>
      </w:r>
    </w:p>
    <w:p w:rsidR="00680C14" w:rsidRDefault="00680C14" w:rsidP="00680C14">
      <w:pPr>
        <w:spacing w:after="120"/>
      </w:pPr>
      <w:r>
        <w:rPr>
          <w:b/>
        </w:rPr>
        <w:tab/>
        <w:t>Tardies</w:t>
      </w:r>
      <w:r>
        <w:t xml:space="preserve">. Make every effort to be on time for class in Haley. Coming in late, no matter how quiet you try to be, will be a disruption. </w:t>
      </w:r>
    </w:p>
    <w:p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rsidR="00680C14" w:rsidRDefault="00680C14" w:rsidP="00B879D0">
      <w:pPr>
        <w:spacing w:after="120"/>
        <w:ind w:firstLine="720"/>
      </w:pPr>
      <w:r>
        <w:rPr>
          <w:b/>
        </w:rPr>
        <w:t>Note</w:t>
      </w:r>
      <w:r>
        <w:t xml:space="preserve">: Full credit will not be given for work missed due to an unexcused absence. </w:t>
      </w:r>
    </w:p>
    <w:p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rsidR="00680C14" w:rsidRDefault="00680C14" w:rsidP="00680C14">
      <w:pPr>
        <w:spacing w:after="240"/>
      </w:pPr>
      <w:r>
        <w:tab/>
      </w:r>
      <w:r>
        <w:rPr>
          <w:b/>
        </w:rPr>
        <w:t>University rules</w:t>
      </w:r>
      <w:r>
        <w:t>. I abide by all university rules, including those concerning academic honesty and harassment/discrimination.</w:t>
      </w:r>
    </w:p>
    <w:p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rsidR="00680C14" w:rsidRDefault="00680C14" w:rsidP="00680C14">
      <w:pPr>
        <w:pStyle w:val="Heading1"/>
        <w:spacing w:after="120"/>
      </w:pPr>
      <w:r>
        <w:t>Contingency statement</w:t>
      </w:r>
    </w:p>
    <w:p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rsidR="00680C14" w:rsidRPr="008D27F5" w:rsidRDefault="00680C14" w:rsidP="00680C14">
      <w:pPr>
        <w:spacing w:after="240"/>
      </w:pPr>
      <w:r>
        <w:t>************************************************************************</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513785" w:rsidRDefault="00513785"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Face-to-Face Participation: 15</w:t>
      </w:r>
      <w:r w:rsidR="00680C14" w:rsidRPr="001B3EAA">
        <w:rPr>
          <w:rFonts w:ascii="Times New Roman" w:hAnsi="Times New Roman"/>
        </w:rPr>
        <w:t>%</w:t>
      </w:r>
    </w:p>
    <w:p w:rsidR="00680C14" w:rsidRPr="001B3EAA" w:rsidRDefault="00513785"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Online/Virtual Writing &amp; Participation: 25%</w:t>
      </w:r>
    </w:p>
    <w:p w:rsidR="00680C14"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Discussion Leader</w:t>
      </w:r>
      <w:r w:rsidR="00FE240B" w:rsidRPr="001B3EAA">
        <w:rPr>
          <w:rFonts w:ascii="Times New Roman" w:hAnsi="Times New Roman"/>
        </w:rPr>
        <w:t>ship</w:t>
      </w:r>
      <w:r w:rsidR="00513785">
        <w:rPr>
          <w:rFonts w:ascii="Times New Roman" w:hAnsi="Times New Roman"/>
        </w:rPr>
        <w:t>: 10</w:t>
      </w:r>
      <w:r w:rsidR="00680C14" w:rsidRPr="001B3EAA">
        <w:rPr>
          <w:rFonts w:ascii="Times New Roman" w:hAnsi="Times New Roman"/>
        </w:rPr>
        <w:t>%</w:t>
      </w:r>
    </w:p>
    <w:p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Annotated Bibliography</w:t>
      </w:r>
      <w:r w:rsidR="00FE240B" w:rsidRPr="001B3EAA">
        <w:rPr>
          <w:rFonts w:ascii="Times New Roman" w:hAnsi="Times New Roman"/>
        </w:rPr>
        <w:t>: 25</w:t>
      </w:r>
      <w:r w:rsidR="003E218E" w:rsidRPr="001B3EAA">
        <w:rPr>
          <w:rFonts w:ascii="Times New Roman" w:hAnsi="Times New Roman"/>
        </w:rPr>
        <w:t>%</w:t>
      </w:r>
    </w:p>
    <w:p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Synthesis Paper</w:t>
      </w:r>
      <w:r w:rsidR="00FE240B" w:rsidRPr="001B3EAA">
        <w:rPr>
          <w:rFonts w:ascii="Times New Roman" w:hAnsi="Times New Roman"/>
        </w:rPr>
        <w:t xml:space="preserve"> &amp; Presentation: 25%</w:t>
      </w:r>
      <w:r w:rsidR="00BA0841" w:rsidRPr="001B3EAA">
        <w:rPr>
          <w:rFonts w:ascii="Times New Roman" w:hAnsi="Times New Roman"/>
        </w:rPr>
        <w:tab/>
      </w:r>
    </w:p>
    <w:p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rsidR="00680C14" w:rsidRPr="008B4656" w:rsidRDefault="00513785"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 xml:space="preserve">Face-to-Face </w:t>
      </w:r>
      <w:r w:rsidR="00680C14">
        <w:rPr>
          <w:rFonts w:ascii="Times New Roman" w:hAnsi="Times New Roman"/>
          <w:b/>
          <w:u w:val="single"/>
        </w:rPr>
        <w:t>Participation</w:t>
      </w:r>
      <w:r>
        <w:rPr>
          <w:rFonts w:ascii="Times New Roman" w:hAnsi="Times New Roman"/>
          <w:b/>
          <w:u w:val="single"/>
        </w:rPr>
        <w:t xml:space="preserve"> and Online Writing</w:t>
      </w:r>
      <w:r w:rsidR="00680C14">
        <w:rPr>
          <w:rFonts w:ascii="Times New Roman" w:hAnsi="Times New Roman"/>
          <w:b/>
          <w:u w:val="single"/>
        </w:rPr>
        <w:t>:</w:t>
      </w:r>
      <w:r>
        <w:rPr>
          <w:rFonts w:ascii="Times New Roman" w:hAnsi="Times New Roman"/>
          <w:b/>
        </w:rPr>
        <w:t xml:space="preserve"> 40</w:t>
      </w:r>
      <w:r w:rsidR="00680C14" w:rsidRPr="00801BCF">
        <w:rPr>
          <w:rFonts w:ascii="Times New Roman" w:hAnsi="Times New Roman"/>
          <w:b/>
        </w:rPr>
        <w:t>%</w:t>
      </w:r>
    </w:p>
    <w:p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Participation is ongoing and the most important component of the course. Participation consists of careful reading of assigned texts; expressing (online and face-to-face) 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our online class meetings, I will ask you to contribute 300-500 words for weekly posts and regularly respond to colleagues; your tasks will vary according to our course schedule and readings. During the week, I will update discussion forums and announcements to keep you informed about upcoming activities. </w:t>
      </w:r>
    </w:p>
    <w:p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A251B8" w:rsidRPr="00801BCF"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Discussion Leader</w:t>
      </w:r>
      <w:r w:rsidR="00FE240B">
        <w:rPr>
          <w:rFonts w:ascii="Times New Roman" w:hAnsi="Times New Roman"/>
          <w:b/>
          <w:u w:val="single"/>
        </w:rPr>
        <w:t>ship</w:t>
      </w:r>
      <w:r w:rsidR="00A251B8" w:rsidRPr="00801BCF">
        <w:rPr>
          <w:rFonts w:ascii="Times New Roman" w:hAnsi="Times New Roman"/>
          <w:b/>
          <w:u w:val="single"/>
        </w:rPr>
        <w:t>:</w:t>
      </w:r>
      <w:r w:rsidR="00A251B8">
        <w:rPr>
          <w:rFonts w:ascii="Times New Roman" w:hAnsi="Times New Roman"/>
        </w:rPr>
        <w:t xml:space="preserve"> </w:t>
      </w:r>
      <w:r w:rsidR="00513785">
        <w:rPr>
          <w:rFonts w:ascii="Times New Roman" w:hAnsi="Times New Roman"/>
          <w:b/>
        </w:rPr>
        <w:t>10</w:t>
      </w:r>
      <w:r w:rsidR="00A251B8" w:rsidRPr="00801BCF">
        <w:rPr>
          <w:rFonts w:ascii="Times New Roman" w:hAnsi="Times New Roman"/>
          <w:b/>
        </w:rPr>
        <w:t>%</w:t>
      </w:r>
    </w:p>
    <w:p w:rsidR="002D2C61" w:rsidRDefault="002D2C6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FE240B" w:rsidRDefault="00513785"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Once</w:t>
      </w:r>
      <w:r w:rsidR="00E24DC6">
        <w:rPr>
          <w:rFonts w:ascii="Times New Roman" w:hAnsi="Times New Roman"/>
        </w:rPr>
        <w:t xml:space="preserve"> during the course</w:t>
      </w:r>
      <w:r w:rsidR="002D2C61">
        <w:rPr>
          <w:rFonts w:ascii="Times New Roman" w:hAnsi="Times New Roman"/>
        </w:rPr>
        <w:t>, you will be responsible for leading discussion over an assigned article. Your</w:t>
      </w:r>
      <w:r w:rsidR="00FE240B">
        <w:rPr>
          <w:rFonts w:ascii="Times New Roman" w:hAnsi="Times New Roman"/>
        </w:rPr>
        <w:t xml:space="preserve"> task will include distributing a written </w:t>
      </w:r>
      <w:r w:rsidR="002D2C61">
        <w:rPr>
          <w:rFonts w:ascii="Times New Roman" w:hAnsi="Times New Roman"/>
        </w:rPr>
        <w:t>overview</w:t>
      </w:r>
      <w:r w:rsidR="00FE240B">
        <w:rPr>
          <w:rFonts w:ascii="Times New Roman" w:hAnsi="Times New Roman"/>
        </w:rPr>
        <w:t xml:space="preserve"> and critique</w:t>
      </w:r>
      <w:r w:rsidR="002D2C61">
        <w:rPr>
          <w:rFonts w:ascii="Times New Roman" w:hAnsi="Times New Roman"/>
        </w:rPr>
        <w:t xml:space="preserve"> of the resear</w:t>
      </w:r>
      <w:r w:rsidR="00FE240B">
        <w:rPr>
          <w:rFonts w:ascii="Times New Roman" w:hAnsi="Times New Roman"/>
        </w:rPr>
        <w:t>ch problem/question, research methodology, f</w:t>
      </w:r>
      <w:r w:rsidR="006F0F08">
        <w:rPr>
          <w:rFonts w:ascii="Times New Roman" w:hAnsi="Times New Roman"/>
        </w:rPr>
        <w:t xml:space="preserve">indings, and concluding remarks. </w:t>
      </w:r>
      <w:r w:rsidR="00FE240B">
        <w:rPr>
          <w:rFonts w:ascii="Times New Roman" w:hAnsi="Times New Roman"/>
        </w:rPr>
        <w:t xml:space="preserve">A separate assignment handout will be provided on Canvas to guide your thinking.  </w:t>
      </w:r>
    </w:p>
    <w:p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E24DC6"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Annotated Bibiography:</w:t>
      </w:r>
      <w:r w:rsidR="001B3EAA">
        <w:rPr>
          <w:rFonts w:ascii="Times New Roman" w:hAnsi="Times New Roman"/>
          <w:b/>
        </w:rPr>
        <w:t xml:space="preserve"> 25</w:t>
      </w:r>
      <w:r>
        <w:rPr>
          <w:rFonts w:ascii="Times New Roman" w:hAnsi="Times New Roman"/>
          <w:b/>
        </w:rPr>
        <w:t>%</w:t>
      </w: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Your annotated bibliography will be submitted and shared in stages</w:t>
      </w:r>
      <w:r w:rsidR="00333C2B">
        <w:rPr>
          <w:rFonts w:ascii="Times New Roman" w:hAnsi="Times New Roman"/>
        </w:rPr>
        <w:t xml:space="preserve"> (see course schedule)</w:t>
      </w:r>
      <w:r>
        <w:rPr>
          <w:rFonts w:ascii="Times New Roman" w:hAnsi="Times New Roman"/>
        </w:rPr>
        <w:t>. As a final product, an annoted bibliography brings together your reading and evaluation of articles on a particular research problem/question</w:t>
      </w:r>
      <w:r w:rsidR="00A2273F">
        <w:rPr>
          <w:rFonts w:ascii="Times New Roman" w:hAnsi="Times New Roman"/>
        </w:rPr>
        <w:t>. Y</w:t>
      </w:r>
      <w:r>
        <w:rPr>
          <w:rFonts w:ascii="Times New Roman" w:hAnsi="Times New Roman"/>
        </w:rPr>
        <w:t>ou will be require</w:t>
      </w:r>
      <w:r w:rsidR="00333C2B">
        <w:rPr>
          <w:rFonts w:ascii="Times New Roman" w:hAnsi="Times New Roman"/>
        </w:rPr>
        <w:t xml:space="preserve">d to summarize and evaluate 10-12 </w:t>
      </w:r>
      <w:r>
        <w:rPr>
          <w:rFonts w:ascii="Times New Roman" w:hAnsi="Times New Roman"/>
        </w:rPr>
        <w:t xml:space="preserve">research articles that address your problem/question. We will discuss this assignment in detail during class. </w:t>
      </w: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Consult the Purdue Online Writing Lab for</w:t>
      </w:r>
      <w:r w:rsidR="00A2273F">
        <w:rPr>
          <w:rFonts w:ascii="Times New Roman" w:hAnsi="Times New Roman"/>
        </w:rPr>
        <w:t xml:space="preserve"> genre information and writing guidelines.</w:t>
      </w: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 </w:t>
      </w:r>
      <w:hyperlink r:id="rId10" w:history="1">
        <w:r w:rsidRPr="00C73292">
          <w:rPr>
            <w:rStyle w:val="Hyperlink"/>
            <w:rFonts w:ascii="Times New Roman" w:hAnsi="Times New Roman"/>
          </w:rPr>
          <w:t>https://owl.english.purdue.edu/owl/resource/614/01/</w:t>
        </w:r>
      </w:hyperlink>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t>Stages of the Annotated Bibliography Assignment Include:</w:t>
      </w:r>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E71919" w:rsidRP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5208A4">
        <w:rPr>
          <w:rFonts w:ascii="Times New Roman" w:hAnsi="Times New Roman"/>
        </w:rPr>
        <w:t xml:space="preserve">Research interest overview </w:t>
      </w:r>
      <w:r w:rsidR="008901C6">
        <w:rPr>
          <w:rFonts w:ascii="Times New Roman" w:hAnsi="Times New Roman"/>
          <w:b/>
        </w:rPr>
        <w:t>(June 16</w:t>
      </w:r>
      <w:r w:rsidR="008901C6">
        <w:rPr>
          <w:rFonts w:ascii="Times New Roman" w:hAnsi="Times New Roman"/>
          <w:b/>
          <w:vertAlign w:val="superscript"/>
        </w:rPr>
        <w:t>th</w:t>
      </w:r>
      <w:r>
        <w:rPr>
          <w:rFonts w:ascii="Times New Roman" w:hAnsi="Times New Roman"/>
          <w:b/>
        </w:rPr>
        <w:t>)</w:t>
      </w:r>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rPr>
        <w:tab/>
      </w:r>
      <w:r>
        <w:rPr>
          <w:rFonts w:ascii="Times New Roman" w:hAnsi="Times New Roman"/>
        </w:rPr>
        <w:tab/>
        <w:t xml:space="preserve">Target Research Question + Rationale Statement + 5 Articles/Abstracts </w:t>
      </w:r>
      <w:r w:rsidR="008901C6">
        <w:rPr>
          <w:rFonts w:ascii="Times New Roman" w:hAnsi="Times New Roman"/>
          <w:b/>
        </w:rPr>
        <w:t>(June 18</w:t>
      </w:r>
      <w:r w:rsidR="00C32206" w:rsidRPr="00C32206">
        <w:rPr>
          <w:rFonts w:ascii="Times New Roman" w:hAnsi="Times New Roman"/>
          <w:b/>
          <w:vertAlign w:val="superscript"/>
        </w:rPr>
        <w:t>th</w:t>
      </w:r>
      <w:r>
        <w:rPr>
          <w:rFonts w:ascii="Times New Roman" w:hAnsi="Times New Roman"/>
          <w:b/>
        </w:rPr>
        <w:t>)</w:t>
      </w:r>
    </w:p>
    <w:p w:rsidR="00A251B8" w:rsidRPr="00C32206"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723796">
        <w:rPr>
          <w:rFonts w:ascii="Times New Roman" w:hAnsi="Times New Roman"/>
        </w:rPr>
        <w:t>Final Annotated Bibliography</w:t>
      </w:r>
      <w:r w:rsidR="00C32206">
        <w:rPr>
          <w:rFonts w:ascii="Times New Roman" w:hAnsi="Times New Roman"/>
        </w:rPr>
        <w:t xml:space="preserve"> </w:t>
      </w:r>
      <w:r w:rsidR="008901C6">
        <w:rPr>
          <w:rFonts w:ascii="Times New Roman" w:hAnsi="Times New Roman"/>
          <w:b/>
        </w:rPr>
        <w:t>(July 16</w:t>
      </w:r>
      <w:r w:rsidR="00C32206" w:rsidRPr="00C32206">
        <w:rPr>
          <w:rFonts w:ascii="Times New Roman" w:hAnsi="Times New Roman"/>
          <w:b/>
          <w:vertAlign w:val="superscript"/>
        </w:rPr>
        <w:t>th</w:t>
      </w:r>
      <w:r w:rsidR="00C32206">
        <w:rPr>
          <w:rFonts w:ascii="Times New Roman" w:hAnsi="Times New Roman"/>
          <w:b/>
        </w:rPr>
        <w:t>)</w:t>
      </w:r>
    </w:p>
    <w:p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rsidR="00C35228" w:rsidRDefault="00C35228"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Synthesis Paper</w:t>
      </w:r>
      <w:r w:rsidR="00E24DC6">
        <w:rPr>
          <w:rFonts w:ascii="Times New Roman" w:hAnsi="Times New Roman"/>
          <w:b/>
          <w:u w:val="single"/>
        </w:rPr>
        <w:t xml:space="preserve"> </w:t>
      </w:r>
      <w:r w:rsidR="005208A4">
        <w:rPr>
          <w:rFonts w:ascii="Times New Roman" w:hAnsi="Times New Roman"/>
          <w:b/>
          <w:u w:val="single"/>
        </w:rPr>
        <w:t xml:space="preserve">(Review of Research) </w:t>
      </w:r>
      <w:r w:rsidR="00E24DC6">
        <w:rPr>
          <w:rFonts w:ascii="Times New Roman" w:hAnsi="Times New Roman"/>
          <w:b/>
          <w:u w:val="single"/>
        </w:rPr>
        <w:t>&amp; Presentation</w:t>
      </w:r>
      <w:r>
        <w:rPr>
          <w:rFonts w:ascii="Times New Roman" w:hAnsi="Times New Roman"/>
          <w:b/>
          <w:u w:val="single"/>
        </w:rPr>
        <w:t>:</w:t>
      </w:r>
      <w:r w:rsidR="001B3EAA">
        <w:rPr>
          <w:rFonts w:ascii="Times New Roman" w:hAnsi="Times New Roman"/>
          <w:b/>
        </w:rPr>
        <w:t xml:space="preserve"> 25</w:t>
      </w:r>
      <w:r>
        <w:rPr>
          <w:rFonts w:ascii="Times New Roman" w:hAnsi="Times New Roman"/>
          <w:b/>
        </w:rPr>
        <w:t>%</w:t>
      </w:r>
    </w:p>
    <w:p w:rsid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875C59" w:rsidRP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synthesis paper</w:t>
      </w:r>
      <w:r w:rsidR="008901C6">
        <w:rPr>
          <w:rFonts w:ascii="Times New Roman" w:hAnsi="Times New Roman"/>
        </w:rPr>
        <w:t xml:space="preserve"> (review of research)</w:t>
      </w:r>
      <w:r>
        <w:rPr>
          <w:rFonts w:ascii="Times New Roman" w:hAnsi="Times New Roman"/>
        </w:rPr>
        <w:t xml:space="preserve"> presents an overview and evaluation of your research problem/issue; and presents a rationale for further inquiry and action. As a result of your research and synthesis writing,</w:t>
      </w:r>
      <w:r w:rsidR="008901C6">
        <w:rPr>
          <w:rFonts w:ascii="Times New Roman" w:hAnsi="Times New Roman"/>
        </w:rPr>
        <w:t xml:space="preserve"> you should</w:t>
      </w:r>
      <w:r w:rsidR="00AF327E">
        <w:rPr>
          <w:rFonts w:ascii="Times New Roman" w:hAnsi="Times New Roman"/>
        </w:rPr>
        <w:t xml:space="preserve"> pose a research question (emerging from and building on your initial question and research) that can be pursued in another course or in your own </w:t>
      </w:r>
      <w:r w:rsidR="00A2273F">
        <w:rPr>
          <w:rFonts w:ascii="Times New Roman" w:hAnsi="Times New Roman"/>
        </w:rPr>
        <w:t>research/</w:t>
      </w:r>
      <w:r w:rsidR="00AF327E">
        <w:rPr>
          <w:rFonts w:ascii="Times New Roman" w:hAnsi="Times New Roman"/>
        </w:rPr>
        <w:t xml:space="preserve">teaching. We will discuss the synthesis paper throughout the term. </w:t>
      </w:r>
      <w:r w:rsidR="00E661C9">
        <w:rPr>
          <w:rFonts w:ascii="Times New Roman" w:hAnsi="Times New Roman"/>
        </w:rPr>
        <w:t>8-10 pages in length.</w:t>
      </w:r>
    </w:p>
    <w:p w:rsidR="0007613A" w:rsidRDefault="0007613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333C2B"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8901C6">
        <w:rPr>
          <w:rFonts w:ascii="Times New Roman" w:hAnsi="Times New Roman"/>
          <w:b/>
        </w:rPr>
        <w:t>Presentation: Due July 23</w:t>
      </w:r>
      <w:r w:rsidR="008901C6">
        <w:rPr>
          <w:rFonts w:ascii="Times New Roman" w:hAnsi="Times New Roman"/>
          <w:b/>
          <w:vertAlign w:val="superscript"/>
        </w:rPr>
        <w:t>rd</w:t>
      </w:r>
      <w:r w:rsidR="0007613A">
        <w:rPr>
          <w:rFonts w:ascii="Times New Roman" w:hAnsi="Times New Roman"/>
          <w:b/>
        </w:rPr>
        <w:t xml:space="preserve"> </w:t>
      </w:r>
    </w:p>
    <w:p w:rsidR="00C35228"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07613A">
        <w:rPr>
          <w:rFonts w:ascii="Times New Roman" w:hAnsi="Times New Roman"/>
          <w:b/>
        </w:rPr>
        <w:t>Paper: Due</w:t>
      </w:r>
      <w:r w:rsidR="008901C6">
        <w:rPr>
          <w:rFonts w:ascii="Times New Roman" w:hAnsi="Times New Roman"/>
          <w:b/>
        </w:rPr>
        <w:t xml:space="preserve"> July 29</w:t>
      </w:r>
      <w:r w:rsidR="00875C59" w:rsidRPr="00C32206">
        <w:rPr>
          <w:rFonts w:ascii="Times New Roman" w:hAnsi="Times New Roman"/>
          <w:b/>
          <w:vertAlign w:val="superscript"/>
        </w:rPr>
        <w:t>th</w:t>
      </w:r>
      <w:r w:rsidR="00C32206">
        <w:rPr>
          <w:rFonts w:ascii="Times New Roman" w:hAnsi="Times New Roman"/>
          <w:b/>
        </w:rPr>
        <w:t xml:space="preserve"> </w:t>
      </w:r>
    </w:p>
    <w:p w:rsidR="00680C14" w:rsidRPr="00FB670D"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8918A6"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rsidR="008918A6" w:rsidRPr="00455AB5"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rsidR="008918A6" w:rsidRDefault="008918A6" w:rsidP="008918A6">
      <w:pPr>
        <w:rPr>
          <w:b/>
        </w:rPr>
      </w:pPr>
    </w:p>
    <w:tbl>
      <w:tblPr>
        <w:tblStyle w:val="TableGrid"/>
        <w:tblW w:w="0" w:type="auto"/>
        <w:tblLook w:val="00A0"/>
      </w:tblPr>
      <w:tblGrid>
        <w:gridCol w:w="1188"/>
        <w:gridCol w:w="2556"/>
        <w:gridCol w:w="2556"/>
        <w:gridCol w:w="2556"/>
      </w:tblGrid>
      <w:tr w:rsidR="008918A6">
        <w:tc>
          <w:tcPr>
            <w:tcW w:w="1188" w:type="dxa"/>
          </w:tcPr>
          <w:p w:rsidR="008918A6" w:rsidRPr="002C68EB" w:rsidRDefault="008918A6" w:rsidP="00E4666D">
            <w:pPr>
              <w:rPr>
                <w:b/>
                <w:sz w:val="22"/>
              </w:rPr>
            </w:pPr>
            <w:r w:rsidRPr="002C68EB">
              <w:rPr>
                <w:b/>
                <w:sz w:val="22"/>
              </w:rPr>
              <w:t>Date</w:t>
            </w:r>
          </w:p>
        </w:tc>
        <w:tc>
          <w:tcPr>
            <w:tcW w:w="2556" w:type="dxa"/>
          </w:tcPr>
          <w:p w:rsidR="008918A6" w:rsidRPr="002C68EB" w:rsidRDefault="008918A6" w:rsidP="00E4666D">
            <w:pPr>
              <w:rPr>
                <w:b/>
                <w:sz w:val="22"/>
              </w:rPr>
            </w:pPr>
            <w:r w:rsidRPr="002C68EB">
              <w:rPr>
                <w:b/>
                <w:sz w:val="22"/>
              </w:rPr>
              <w:t>Topic</w:t>
            </w:r>
          </w:p>
        </w:tc>
        <w:tc>
          <w:tcPr>
            <w:tcW w:w="2556" w:type="dxa"/>
          </w:tcPr>
          <w:p w:rsidR="008918A6" w:rsidRPr="002C68EB" w:rsidRDefault="008918A6" w:rsidP="00E4666D">
            <w:pPr>
              <w:rPr>
                <w:b/>
                <w:sz w:val="22"/>
              </w:rPr>
            </w:pPr>
            <w:r w:rsidRPr="002C68EB">
              <w:rPr>
                <w:b/>
                <w:sz w:val="22"/>
              </w:rPr>
              <w:t>Readings Due</w:t>
            </w:r>
          </w:p>
        </w:tc>
        <w:tc>
          <w:tcPr>
            <w:tcW w:w="2556" w:type="dxa"/>
          </w:tcPr>
          <w:p w:rsidR="008918A6" w:rsidRPr="002C68EB" w:rsidRDefault="008918A6" w:rsidP="00E4666D">
            <w:pPr>
              <w:rPr>
                <w:b/>
                <w:sz w:val="22"/>
              </w:rPr>
            </w:pPr>
            <w:r w:rsidRPr="002C68EB">
              <w:rPr>
                <w:b/>
                <w:sz w:val="22"/>
              </w:rPr>
              <w:t>Assignments Due</w:t>
            </w:r>
          </w:p>
        </w:tc>
      </w:tr>
      <w:tr w:rsidR="008918A6">
        <w:tc>
          <w:tcPr>
            <w:tcW w:w="1188" w:type="dxa"/>
          </w:tcPr>
          <w:p w:rsidR="008918A6" w:rsidRPr="002C68EB" w:rsidRDefault="008918A6" w:rsidP="00E4666D">
            <w:pPr>
              <w:rPr>
                <w:sz w:val="22"/>
              </w:rPr>
            </w:pPr>
            <w:r>
              <w:rPr>
                <w:sz w:val="22"/>
              </w:rPr>
              <w:t>05/26 (T)</w:t>
            </w:r>
          </w:p>
        </w:tc>
        <w:tc>
          <w:tcPr>
            <w:tcW w:w="2556" w:type="dxa"/>
          </w:tcPr>
          <w:p w:rsidR="00E24061" w:rsidRPr="00E24061" w:rsidRDefault="00E24061" w:rsidP="00E4666D">
            <w:pPr>
              <w:rPr>
                <w:b/>
                <w:sz w:val="22"/>
              </w:rPr>
            </w:pPr>
            <w:r>
              <w:rPr>
                <w:b/>
                <w:sz w:val="22"/>
              </w:rPr>
              <w:t>F2F</w:t>
            </w:r>
          </w:p>
          <w:p w:rsidR="00E24061" w:rsidRDefault="00E24061" w:rsidP="00E4666D">
            <w:pPr>
              <w:rPr>
                <w:sz w:val="22"/>
              </w:rPr>
            </w:pPr>
          </w:p>
          <w:p w:rsidR="008918A6" w:rsidRPr="002C68EB" w:rsidRDefault="008918A6" w:rsidP="00E4666D">
            <w:pPr>
              <w:rPr>
                <w:sz w:val="22"/>
              </w:rPr>
            </w:pPr>
            <w:r w:rsidRPr="002C68EB">
              <w:rPr>
                <w:sz w:val="22"/>
              </w:rPr>
              <w:t>Introduction</w:t>
            </w:r>
            <w:r>
              <w:rPr>
                <w:sz w:val="22"/>
              </w:rPr>
              <w:t>s</w:t>
            </w:r>
          </w:p>
          <w:p w:rsidR="008918A6" w:rsidRDefault="008918A6" w:rsidP="00E4666D">
            <w:pPr>
              <w:rPr>
                <w:sz w:val="22"/>
              </w:rPr>
            </w:pPr>
          </w:p>
          <w:p w:rsidR="008918A6" w:rsidRDefault="008918A6" w:rsidP="00E4666D">
            <w:pPr>
              <w:rPr>
                <w:sz w:val="22"/>
              </w:rPr>
            </w:pPr>
            <w:r>
              <w:rPr>
                <w:sz w:val="22"/>
              </w:rPr>
              <w:t>The Question of “Good” Research</w:t>
            </w:r>
          </w:p>
          <w:p w:rsidR="008918A6" w:rsidRPr="002C68EB" w:rsidRDefault="008918A6" w:rsidP="00E4666D">
            <w:pPr>
              <w:rPr>
                <w:sz w:val="22"/>
              </w:rPr>
            </w:pPr>
          </w:p>
        </w:tc>
        <w:tc>
          <w:tcPr>
            <w:tcW w:w="2556" w:type="dxa"/>
          </w:tcPr>
          <w:p w:rsidR="008918A6" w:rsidRDefault="008918A6" w:rsidP="00E4666D">
            <w:pPr>
              <w:rPr>
                <w:sz w:val="22"/>
              </w:rPr>
            </w:pPr>
            <w:r>
              <w:rPr>
                <w:sz w:val="22"/>
              </w:rPr>
              <w:t>Hostetler, “What is “Good” Education Research?”</w:t>
            </w:r>
          </w:p>
          <w:p w:rsidR="008918A6" w:rsidRDefault="008918A6" w:rsidP="00E4666D">
            <w:pPr>
              <w:rPr>
                <w:sz w:val="22"/>
              </w:rPr>
            </w:pPr>
          </w:p>
          <w:p w:rsidR="008918A6" w:rsidRDefault="008918A6" w:rsidP="00E4666D">
            <w:pPr>
              <w:rPr>
                <w:sz w:val="22"/>
              </w:rPr>
            </w:pPr>
            <w:r>
              <w:rPr>
                <w:sz w:val="22"/>
              </w:rPr>
              <w:t>Ortiz et al., “Teacher Research on Boys’ Literacy in On</w:t>
            </w:r>
            <w:bookmarkStart w:id="0" w:name="_GoBack"/>
            <w:bookmarkEnd w:id="0"/>
            <w:r>
              <w:rPr>
                <w:sz w:val="22"/>
              </w:rPr>
              <w:t>e Elementary School”</w:t>
            </w:r>
          </w:p>
          <w:p w:rsidR="008918A6" w:rsidRPr="002C68EB" w:rsidRDefault="008918A6" w:rsidP="00E4666D">
            <w:pPr>
              <w:rPr>
                <w:sz w:val="22"/>
              </w:rPr>
            </w:pPr>
          </w:p>
        </w:tc>
        <w:tc>
          <w:tcPr>
            <w:tcW w:w="2556" w:type="dxa"/>
          </w:tcPr>
          <w:p w:rsidR="008918A6" w:rsidRPr="002C68EB" w:rsidRDefault="008918A6" w:rsidP="00E4666D">
            <w:pPr>
              <w:rPr>
                <w:sz w:val="22"/>
              </w:rPr>
            </w:pPr>
          </w:p>
        </w:tc>
      </w:tr>
      <w:tr w:rsidR="008918A6">
        <w:tc>
          <w:tcPr>
            <w:tcW w:w="1188" w:type="dxa"/>
          </w:tcPr>
          <w:p w:rsidR="008918A6" w:rsidRPr="002C68EB" w:rsidRDefault="008918A6" w:rsidP="00E4666D">
            <w:pPr>
              <w:rPr>
                <w:sz w:val="22"/>
              </w:rPr>
            </w:pPr>
            <w:r>
              <w:rPr>
                <w:sz w:val="22"/>
              </w:rPr>
              <w:t>05/28 (R</w:t>
            </w:r>
            <w:r w:rsidRPr="002C68EB">
              <w:rPr>
                <w:sz w:val="22"/>
              </w:rPr>
              <w:t>)</w:t>
            </w:r>
          </w:p>
        </w:tc>
        <w:tc>
          <w:tcPr>
            <w:tcW w:w="2556" w:type="dxa"/>
          </w:tcPr>
          <w:p w:rsidR="00E24061" w:rsidRPr="00E24061" w:rsidRDefault="00E24061" w:rsidP="00E4666D">
            <w:pPr>
              <w:rPr>
                <w:b/>
                <w:sz w:val="22"/>
              </w:rPr>
            </w:pPr>
            <w:r>
              <w:rPr>
                <w:b/>
                <w:sz w:val="22"/>
              </w:rPr>
              <w:t>Online</w:t>
            </w:r>
          </w:p>
          <w:p w:rsidR="00E24061" w:rsidRDefault="00E24061" w:rsidP="00E4666D">
            <w:pPr>
              <w:rPr>
                <w:sz w:val="22"/>
              </w:rPr>
            </w:pPr>
          </w:p>
          <w:p w:rsidR="008918A6" w:rsidRDefault="008918A6" w:rsidP="00E4666D">
            <w:pPr>
              <w:rPr>
                <w:sz w:val="22"/>
              </w:rPr>
            </w:pPr>
            <w:r>
              <w:rPr>
                <w:sz w:val="22"/>
              </w:rPr>
              <w:t>Introduction to Research Issues in ELA</w:t>
            </w:r>
          </w:p>
          <w:p w:rsidR="008918A6" w:rsidRDefault="008918A6" w:rsidP="00E4666D">
            <w:pPr>
              <w:rPr>
                <w:sz w:val="22"/>
              </w:rPr>
            </w:pPr>
          </w:p>
          <w:p w:rsidR="008918A6" w:rsidRPr="002C68EB" w:rsidRDefault="008918A6" w:rsidP="00E4666D">
            <w:pPr>
              <w:rPr>
                <w:sz w:val="22"/>
              </w:rPr>
            </w:pPr>
            <w:r>
              <w:rPr>
                <w:sz w:val="22"/>
              </w:rPr>
              <w:t>Research on Classroom Practice</w:t>
            </w:r>
          </w:p>
        </w:tc>
        <w:tc>
          <w:tcPr>
            <w:tcW w:w="2556" w:type="dxa"/>
          </w:tcPr>
          <w:p w:rsidR="008918A6" w:rsidRDefault="008918A6" w:rsidP="00E4666D">
            <w:pPr>
              <w:rPr>
                <w:sz w:val="22"/>
              </w:rPr>
            </w:pPr>
          </w:p>
          <w:p w:rsidR="008918A6" w:rsidRDefault="008918A6" w:rsidP="00E4666D">
            <w:pPr>
              <w:rPr>
                <w:sz w:val="22"/>
              </w:rPr>
            </w:pPr>
            <w:r>
              <w:rPr>
                <w:sz w:val="22"/>
              </w:rPr>
              <w:t>Horsburgh, “Evaluation of Qualitiatve Research”</w:t>
            </w:r>
          </w:p>
          <w:p w:rsidR="008918A6" w:rsidRDefault="008918A6" w:rsidP="00E4666D">
            <w:pPr>
              <w:rPr>
                <w:sz w:val="22"/>
              </w:rPr>
            </w:pPr>
          </w:p>
          <w:p w:rsidR="008918A6" w:rsidRDefault="008918A6" w:rsidP="00E4666D">
            <w:pPr>
              <w:rPr>
                <w:sz w:val="22"/>
              </w:rPr>
            </w:pPr>
            <w:r>
              <w:rPr>
                <w:sz w:val="22"/>
              </w:rPr>
              <w:t>Williamson, “Enacting High Leverage Practices in English Methods: The Case of Discussion”</w:t>
            </w:r>
          </w:p>
          <w:p w:rsidR="008918A6" w:rsidRDefault="008918A6" w:rsidP="00E4666D">
            <w:pPr>
              <w:rPr>
                <w:sz w:val="22"/>
              </w:rPr>
            </w:pPr>
          </w:p>
          <w:p w:rsidR="008918A6" w:rsidRDefault="008918A6" w:rsidP="00E4666D">
            <w:pPr>
              <w:rPr>
                <w:sz w:val="22"/>
              </w:rPr>
            </w:pPr>
            <w:r>
              <w:rPr>
                <w:b/>
                <w:sz w:val="22"/>
              </w:rPr>
              <w:t>Recommended</w:t>
            </w:r>
            <w:r>
              <w:rPr>
                <w:sz w:val="22"/>
              </w:rPr>
              <w:t xml:space="preserve">: </w:t>
            </w:r>
          </w:p>
          <w:p w:rsidR="008918A6" w:rsidRPr="00C647EE" w:rsidRDefault="0007727E" w:rsidP="0007727E">
            <w:pPr>
              <w:tabs>
                <w:tab w:val="left" w:pos="396"/>
                <w:tab w:val="left" w:pos="576"/>
              </w:tabs>
              <w:rPr>
                <w:sz w:val="22"/>
              </w:rPr>
            </w:pPr>
            <w:r>
              <w:rPr>
                <w:sz w:val="22"/>
              </w:rPr>
              <w:t>Brass &amp; Burns, “Research in Secondary English, 1912-2011”</w:t>
            </w:r>
          </w:p>
          <w:p w:rsidR="008918A6" w:rsidRPr="002C68EB" w:rsidRDefault="008918A6" w:rsidP="00E4666D">
            <w:pPr>
              <w:rPr>
                <w:sz w:val="22"/>
              </w:rPr>
            </w:pPr>
          </w:p>
        </w:tc>
        <w:tc>
          <w:tcPr>
            <w:tcW w:w="2556" w:type="dxa"/>
          </w:tcPr>
          <w:p w:rsidR="008918A6" w:rsidRPr="002C68EB" w:rsidRDefault="00DE6233" w:rsidP="00E4666D">
            <w:pPr>
              <w:rPr>
                <w:sz w:val="22"/>
              </w:rPr>
            </w:pPr>
            <w:r>
              <w:rPr>
                <w:sz w:val="22"/>
              </w:rPr>
              <w:t>Asynchronous Writing and Posting</w:t>
            </w:r>
          </w:p>
        </w:tc>
      </w:tr>
      <w:tr w:rsidR="008918A6">
        <w:tc>
          <w:tcPr>
            <w:tcW w:w="1188" w:type="dxa"/>
          </w:tcPr>
          <w:p w:rsidR="008918A6" w:rsidRPr="002C68EB" w:rsidRDefault="008918A6" w:rsidP="00E4666D">
            <w:pPr>
              <w:rPr>
                <w:sz w:val="22"/>
              </w:rPr>
            </w:pPr>
            <w:r>
              <w:rPr>
                <w:sz w:val="22"/>
              </w:rPr>
              <w:t>06/02 (T</w:t>
            </w:r>
            <w:r w:rsidRPr="002C68EB">
              <w:rPr>
                <w:sz w:val="22"/>
              </w:rPr>
              <w:t>)</w:t>
            </w:r>
          </w:p>
        </w:tc>
        <w:tc>
          <w:tcPr>
            <w:tcW w:w="2556" w:type="dxa"/>
          </w:tcPr>
          <w:p w:rsidR="00E24061" w:rsidRPr="00E24061" w:rsidRDefault="00E24061" w:rsidP="00E4666D">
            <w:pPr>
              <w:rPr>
                <w:b/>
                <w:sz w:val="22"/>
              </w:rPr>
            </w:pPr>
            <w:r>
              <w:rPr>
                <w:b/>
                <w:sz w:val="22"/>
              </w:rPr>
              <w:t>F2F</w:t>
            </w:r>
          </w:p>
          <w:p w:rsidR="00E24061" w:rsidRDefault="00E24061" w:rsidP="00E4666D">
            <w:pPr>
              <w:rPr>
                <w:sz w:val="22"/>
              </w:rPr>
            </w:pPr>
          </w:p>
          <w:p w:rsidR="008918A6" w:rsidRDefault="008918A6" w:rsidP="00E4666D">
            <w:pPr>
              <w:rPr>
                <w:sz w:val="22"/>
              </w:rPr>
            </w:pPr>
            <w:r>
              <w:rPr>
                <w:sz w:val="22"/>
              </w:rPr>
              <w:t>Disciplinary Literacies</w:t>
            </w: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Pr="002C68EB" w:rsidRDefault="008918A6" w:rsidP="00E4666D">
            <w:pPr>
              <w:rPr>
                <w:sz w:val="22"/>
              </w:rPr>
            </w:pPr>
          </w:p>
        </w:tc>
        <w:tc>
          <w:tcPr>
            <w:tcW w:w="2556" w:type="dxa"/>
          </w:tcPr>
          <w:p w:rsidR="008918A6" w:rsidRDefault="008918A6" w:rsidP="00E4666D">
            <w:pPr>
              <w:rPr>
                <w:sz w:val="22"/>
              </w:rPr>
            </w:pPr>
            <w:r>
              <w:rPr>
                <w:sz w:val="22"/>
              </w:rPr>
              <w:t>Shanahan &amp; Shanahan, “Teaching Disciplinary Literacy to Adolescents”</w:t>
            </w:r>
          </w:p>
          <w:p w:rsidR="008918A6" w:rsidRDefault="008918A6" w:rsidP="00E4666D">
            <w:pPr>
              <w:rPr>
                <w:sz w:val="22"/>
              </w:rPr>
            </w:pPr>
          </w:p>
          <w:p w:rsidR="008918A6" w:rsidRDefault="008918A6" w:rsidP="00E4666D">
            <w:pPr>
              <w:rPr>
                <w:sz w:val="22"/>
              </w:rPr>
            </w:pPr>
            <w:r>
              <w:rPr>
                <w:sz w:val="22"/>
              </w:rPr>
              <w:t>Rainey &amp; Moje, “Teaching Students to Read, Write, and Think within ELA and Across the Disciplines”</w:t>
            </w:r>
          </w:p>
          <w:p w:rsidR="008918A6" w:rsidRDefault="008918A6" w:rsidP="00E4666D">
            <w:pPr>
              <w:rPr>
                <w:sz w:val="22"/>
              </w:rPr>
            </w:pPr>
          </w:p>
          <w:p w:rsidR="00145DC3" w:rsidRDefault="008918A6" w:rsidP="00E4666D">
            <w:pPr>
              <w:rPr>
                <w:sz w:val="22"/>
              </w:rPr>
            </w:pPr>
            <w:r>
              <w:rPr>
                <w:sz w:val="22"/>
              </w:rPr>
              <w:t>Park, “Preservice English Teachers’ Perspectives on Disciplinary Literacy”</w:t>
            </w:r>
          </w:p>
          <w:p w:rsidR="00145DC3" w:rsidRDefault="00145DC3" w:rsidP="00E4666D">
            <w:pPr>
              <w:rPr>
                <w:sz w:val="22"/>
              </w:rPr>
            </w:pPr>
          </w:p>
          <w:p w:rsidR="008918A6" w:rsidRPr="00145DC3" w:rsidRDefault="00145DC3" w:rsidP="00E4666D">
            <w:pPr>
              <w:rPr>
                <w:sz w:val="22"/>
              </w:rPr>
            </w:pPr>
            <w:r>
              <w:rPr>
                <w:b/>
                <w:sz w:val="22"/>
              </w:rPr>
              <w:t xml:space="preserve">Recommended: </w:t>
            </w:r>
            <w:r>
              <w:rPr>
                <w:sz w:val="22"/>
              </w:rPr>
              <w:t>Moje, “Foregrounding the Disciplines in Secondary Literacy Teaching and Learning”</w:t>
            </w:r>
          </w:p>
          <w:p w:rsidR="008918A6" w:rsidRDefault="008918A6" w:rsidP="00E4666D">
            <w:pPr>
              <w:rPr>
                <w:sz w:val="22"/>
              </w:rPr>
            </w:pPr>
          </w:p>
          <w:p w:rsidR="008918A6" w:rsidRPr="002C68EB" w:rsidRDefault="008918A6" w:rsidP="00E4666D">
            <w:pPr>
              <w:rPr>
                <w:sz w:val="22"/>
              </w:rPr>
            </w:pPr>
          </w:p>
        </w:tc>
        <w:tc>
          <w:tcPr>
            <w:tcW w:w="2556" w:type="dxa"/>
          </w:tcPr>
          <w:p w:rsidR="008918A6" w:rsidRPr="002C68EB" w:rsidRDefault="008918A6" w:rsidP="00E4666D">
            <w:pPr>
              <w:rPr>
                <w:sz w:val="22"/>
              </w:rPr>
            </w:pPr>
          </w:p>
        </w:tc>
      </w:tr>
      <w:tr w:rsidR="008918A6">
        <w:tc>
          <w:tcPr>
            <w:tcW w:w="1188" w:type="dxa"/>
          </w:tcPr>
          <w:p w:rsidR="008918A6" w:rsidRPr="002C68EB" w:rsidRDefault="008918A6" w:rsidP="00E4666D">
            <w:pPr>
              <w:rPr>
                <w:sz w:val="22"/>
              </w:rPr>
            </w:pPr>
            <w:r>
              <w:rPr>
                <w:sz w:val="22"/>
              </w:rPr>
              <w:t>06/04 (R</w:t>
            </w:r>
            <w:r w:rsidRPr="002C68EB">
              <w:rPr>
                <w:sz w:val="22"/>
              </w:rPr>
              <w:t>)</w:t>
            </w:r>
          </w:p>
        </w:tc>
        <w:tc>
          <w:tcPr>
            <w:tcW w:w="2556" w:type="dxa"/>
          </w:tcPr>
          <w:p w:rsidR="008918A6" w:rsidRPr="00E24061" w:rsidRDefault="00E24061" w:rsidP="00E4666D">
            <w:pPr>
              <w:rPr>
                <w:b/>
                <w:sz w:val="22"/>
              </w:rPr>
            </w:pPr>
            <w:r>
              <w:rPr>
                <w:b/>
                <w:sz w:val="22"/>
              </w:rPr>
              <w:t>Online</w:t>
            </w:r>
          </w:p>
          <w:p w:rsidR="008918A6" w:rsidRDefault="008918A6" w:rsidP="00E4666D">
            <w:pPr>
              <w:rPr>
                <w:sz w:val="22"/>
              </w:rPr>
            </w:pPr>
          </w:p>
          <w:p w:rsidR="00145DC3" w:rsidRDefault="00145DC3" w:rsidP="00E4666D">
            <w:pPr>
              <w:rPr>
                <w:sz w:val="22"/>
              </w:rPr>
            </w:pPr>
            <w:r>
              <w:rPr>
                <w:sz w:val="22"/>
              </w:rPr>
              <w:t>Ways of Writing Research</w:t>
            </w:r>
          </w:p>
          <w:p w:rsidR="00145DC3" w:rsidRDefault="00145DC3" w:rsidP="00E4666D">
            <w:pPr>
              <w:rPr>
                <w:sz w:val="22"/>
              </w:rPr>
            </w:pPr>
          </w:p>
          <w:p w:rsidR="008918A6" w:rsidRDefault="008918A6" w:rsidP="00E4666D">
            <w:pPr>
              <w:rPr>
                <w:sz w:val="22"/>
              </w:rPr>
            </w:pPr>
            <w:r>
              <w:rPr>
                <w:sz w:val="22"/>
              </w:rPr>
              <w:t>Literacy Across Contexts</w:t>
            </w:r>
          </w:p>
          <w:p w:rsidR="008918A6" w:rsidRDefault="008918A6" w:rsidP="00E4666D">
            <w:pPr>
              <w:rPr>
                <w:sz w:val="22"/>
              </w:rPr>
            </w:pPr>
          </w:p>
          <w:p w:rsidR="008918A6" w:rsidRDefault="008918A6" w:rsidP="00E4666D">
            <w:pPr>
              <w:rPr>
                <w:sz w:val="22"/>
              </w:rPr>
            </w:pPr>
            <w:r>
              <w:rPr>
                <w:sz w:val="22"/>
              </w:rPr>
              <w:t>Literacy Development</w:t>
            </w:r>
          </w:p>
          <w:p w:rsidR="008918A6" w:rsidRPr="002C68EB" w:rsidRDefault="008918A6" w:rsidP="00E4666D">
            <w:pPr>
              <w:rPr>
                <w:sz w:val="22"/>
              </w:rPr>
            </w:pPr>
          </w:p>
        </w:tc>
        <w:tc>
          <w:tcPr>
            <w:tcW w:w="2556" w:type="dxa"/>
          </w:tcPr>
          <w:p w:rsidR="008918A6" w:rsidRDefault="008918A6" w:rsidP="00E4666D">
            <w:pPr>
              <w:rPr>
                <w:sz w:val="22"/>
              </w:rPr>
            </w:pPr>
            <w:r w:rsidRPr="00145DC3">
              <w:rPr>
                <w:sz w:val="22"/>
              </w:rPr>
              <w:t>Barone, “A Return to the Gold Standard?”</w:t>
            </w:r>
          </w:p>
          <w:p w:rsidR="008918A6" w:rsidRDefault="008918A6" w:rsidP="00E4666D">
            <w:pPr>
              <w:rPr>
                <w:sz w:val="22"/>
              </w:rPr>
            </w:pPr>
          </w:p>
          <w:p w:rsidR="008918A6" w:rsidRDefault="008918A6" w:rsidP="00E4666D">
            <w:pPr>
              <w:rPr>
                <w:sz w:val="22"/>
              </w:rPr>
            </w:pPr>
            <w:r>
              <w:rPr>
                <w:sz w:val="22"/>
              </w:rPr>
              <w:t>Roozen, “Mapping the Interplay of Curricular and Extracurricular Literate Activities”</w:t>
            </w:r>
          </w:p>
          <w:p w:rsidR="008918A6" w:rsidRPr="002C68EB" w:rsidRDefault="008918A6" w:rsidP="00E4666D">
            <w:pPr>
              <w:rPr>
                <w:sz w:val="22"/>
              </w:rPr>
            </w:pPr>
          </w:p>
        </w:tc>
        <w:tc>
          <w:tcPr>
            <w:tcW w:w="2556" w:type="dxa"/>
          </w:tcPr>
          <w:p w:rsidR="008918A6" w:rsidRPr="00E71F8D" w:rsidRDefault="00DE6233" w:rsidP="00E4666D">
            <w:pPr>
              <w:rPr>
                <w:b/>
                <w:sz w:val="22"/>
              </w:rPr>
            </w:pPr>
            <w:r>
              <w:rPr>
                <w:sz w:val="22"/>
              </w:rPr>
              <w:t>Asynchronous Writing and Posting</w:t>
            </w:r>
          </w:p>
        </w:tc>
      </w:tr>
      <w:tr w:rsidR="008918A6">
        <w:tc>
          <w:tcPr>
            <w:tcW w:w="1188" w:type="dxa"/>
          </w:tcPr>
          <w:p w:rsidR="008918A6" w:rsidRPr="00E103A2" w:rsidRDefault="008918A6" w:rsidP="00E4666D">
            <w:pPr>
              <w:rPr>
                <w:sz w:val="22"/>
              </w:rPr>
            </w:pPr>
            <w:r>
              <w:rPr>
                <w:sz w:val="22"/>
              </w:rPr>
              <w:t>06/09 (T</w:t>
            </w:r>
            <w:r w:rsidRPr="00E103A2">
              <w:rPr>
                <w:sz w:val="22"/>
              </w:rPr>
              <w:t>)</w:t>
            </w:r>
          </w:p>
        </w:tc>
        <w:tc>
          <w:tcPr>
            <w:tcW w:w="2556" w:type="dxa"/>
          </w:tcPr>
          <w:p w:rsidR="00E24061" w:rsidRPr="00E24061" w:rsidRDefault="00E24061" w:rsidP="00E4666D">
            <w:pPr>
              <w:rPr>
                <w:b/>
                <w:sz w:val="22"/>
              </w:rPr>
            </w:pPr>
            <w:r>
              <w:rPr>
                <w:b/>
                <w:sz w:val="22"/>
              </w:rPr>
              <w:t>F2F</w:t>
            </w:r>
          </w:p>
          <w:p w:rsidR="00E24061" w:rsidRDefault="00E24061" w:rsidP="00E4666D">
            <w:pPr>
              <w:rPr>
                <w:sz w:val="22"/>
              </w:rPr>
            </w:pPr>
          </w:p>
          <w:p w:rsidR="008918A6" w:rsidRDefault="008918A6" w:rsidP="00E4666D">
            <w:pPr>
              <w:rPr>
                <w:sz w:val="22"/>
              </w:rPr>
            </w:pPr>
            <w:r>
              <w:rPr>
                <w:sz w:val="22"/>
              </w:rPr>
              <w:t>Whiteness Studies</w:t>
            </w:r>
          </w:p>
          <w:p w:rsidR="008918A6" w:rsidRDefault="008918A6" w:rsidP="00E4666D">
            <w:pPr>
              <w:rPr>
                <w:sz w:val="22"/>
              </w:rPr>
            </w:pPr>
          </w:p>
          <w:p w:rsidR="008918A6" w:rsidRDefault="008918A6" w:rsidP="00E4666D">
            <w:pPr>
              <w:rPr>
                <w:sz w:val="22"/>
              </w:rPr>
            </w:pPr>
            <w:r>
              <w:rPr>
                <w:sz w:val="22"/>
              </w:rPr>
              <w:t>Race, Identity, Literacy</w:t>
            </w:r>
          </w:p>
          <w:p w:rsidR="008918A6" w:rsidRDefault="008918A6" w:rsidP="00E4666D">
            <w:pPr>
              <w:rPr>
                <w:sz w:val="22"/>
              </w:rPr>
            </w:pPr>
          </w:p>
          <w:p w:rsidR="008918A6" w:rsidRDefault="00145DC3" w:rsidP="00E4666D">
            <w:pPr>
              <w:rPr>
                <w:sz w:val="22"/>
              </w:rPr>
            </w:pPr>
            <w:r>
              <w:rPr>
                <w:sz w:val="22"/>
              </w:rPr>
              <w:t>Race (In)Visibile Discourse</w:t>
            </w:r>
          </w:p>
          <w:p w:rsidR="00FD318C" w:rsidRDefault="00FD318C" w:rsidP="00E4666D">
            <w:pPr>
              <w:rPr>
                <w:sz w:val="22"/>
              </w:rPr>
            </w:pPr>
          </w:p>
          <w:p w:rsidR="00FD318C" w:rsidRDefault="00FD318C" w:rsidP="00FD318C">
            <w:pPr>
              <w:rPr>
                <w:i/>
                <w:sz w:val="22"/>
              </w:rPr>
            </w:pPr>
            <w:r w:rsidRPr="009C3146">
              <w:rPr>
                <w:i/>
                <w:sz w:val="22"/>
              </w:rPr>
              <w:t>Guest: James Jupp, Georgia Southern University</w:t>
            </w:r>
          </w:p>
          <w:p w:rsidR="008918A6" w:rsidRPr="00E103A2" w:rsidRDefault="008918A6" w:rsidP="00E4666D">
            <w:pPr>
              <w:rPr>
                <w:sz w:val="22"/>
              </w:rPr>
            </w:pPr>
          </w:p>
        </w:tc>
        <w:tc>
          <w:tcPr>
            <w:tcW w:w="2556" w:type="dxa"/>
          </w:tcPr>
          <w:p w:rsidR="008918A6" w:rsidRDefault="008918A6" w:rsidP="00E4666D">
            <w:pPr>
              <w:rPr>
                <w:sz w:val="22"/>
              </w:rPr>
            </w:pPr>
            <w:r>
              <w:rPr>
                <w:sz w:val="22"/>
              </w:rPr>
              <w:t xml:space="preserve">Jupp &amp; Slattery, </w:t>
            </w:r>
          </w:p>
          <w:p w:rsidR="008918A6" w:rsidRDefault="008918A6" w:rsidP="00E4666D">
            <w:pPr>
              <w:rPr>
                <w:sz w:val="22"/>
              </w:rPr>
            </w:pPr>
            <w:r>
              <w:rPr>
                <w:sz w:val="22"/>
              </w:rPr>
              <w:t>“Becoming Teachers of Inner-City Students”</w:t>
            </w:r>
          </w:p>
          <w:p w:rsidR="008918A6" w:rsidRDefault="008918A6" w:rsidP="00E4666D">
            <w:pPr>
              <w:rPr>
                <w:sz w:val="22"/>
              </w:rPr>
            </w:pPr>
          </w:p>
          <w:p w:rsidR="00F07AA7" w:rsidRDefault="008918A6" w:rsidP="00E4666D">
            <w:pPr>
              <w:rPr>
                <w:sz w:val="22"/>
              </w:rPr>
            </w:pPr>
            <w:r>
              <w:rPr>
                <w:sz w:val="22"/>
              </w:rPr>
              <w:t>**Trainor, “Understanding White Talk about Race”</w:t>
            </w:r>
          </w:p>
          <w:p w:rsidR="00F07AA7" w:rsidRDefault="00F07AA7" w:rsidP="00E4666D">
            <w:pPr>
              <w:rPr>
                <w:sz w:val="22"/>
              </w:rPr>
            </w:pPr>
          </w:p>
          <w:p w:rsidR="008918A6" w:rsidRDefault="00F07AA7" w:rsidP="00E4666D">
            <w:pPr>
              <w:rPr>
                <w:sz w:val="22"/>
              </w:rPr>
            </w:pPr>
            <w:r>
              <w:rPr>
                <w:sz w:val="22"/>
              </w:rPr>
              <w:t>Borsheim-Black, “It’s Pretty Much White”</w:t>
            </w:r>
          </w:p>
          <w:p w:rsidR="00F07AA7" w:rsidRDefault="00F07AA7" w:rsidP="00E4666D">
            <w:pPr>
              <w:rPr>
                <w:i/>
                <w:sz w:val="22"/>
              </w:rPr>
            </w:pPr>
          </w:p>
          <w:p w:rsidR="00F07AA7" w:rsidRDefault="00F07AA7" w:rsidP="00F07AA7">
            <w:pPr>
              <w:rPr>
                <w:sz w:val="22"/>
              </w:rPr>
            </w:pPr>
            <w:r>
              <w:rPr>
                <w:b/>
                <w:sz w:val="22"/>
              </w:rPr>
              <w:t xml:space="preserve">Recommended: </w:t>
            </w:r>
            <w:r>
              <w:rPr>
                <w:sz w:val="22"/>
              </w:rPr>
              <w:t>Trainor, “The Emotioned Power of Racism”</w:t>
            </w:r>
          </w:p>
          <w:p w:rsidR="008918A6" w:rsidRPr="00F07AA7" w:rsidRDefault="008918A6" w:rsidP="00E4666D">
            <w:pPr>
              <w:rPr>
                <w:b/>
                <w:sz w:val="22"/>
              </w:rPr>
            </w:pPr>
          </w:p>
          <w:p w:rsidR="008918A6" w:rsidRPr="00E103A2" w:rsidRDefault="008918A6" w:rsidP="00E4666D">
            <w:pPr>
              <w:rPr>
                <w:sz w:val="22"/>
              </w:rPr>
            </w:pPr>
          </w:p>
        </w:tc>
        <w:tc>
          <w:tcPr>
            <w:tcW w:w="2556" w:type="dxa"/>
          </w:tcPr>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Pr="002C68EB" w:rsidRDefault="008918A6" w:rsidP="00E4666D">
            <w:pPr>
              <w:rPr>
                <w:sz w:val="22"/>
              </w:rPr>
            </w:pPr>
          </w:p>
        </w:tc>
      </w:tr>
      <w:tr w:rsidR="008918A6">
        <w:tc>
          <w:tcPr>
            <w:tcW w:w="1188" w:type="dxa"/>
          </w:tcPr>
          <w:p w:rsidR="008918A6" w:rsidRPr="002C68EB" w:rsidRDefault="008918A6" w:rsidP="00E4666D">
            <w:pPr>
              <w:rPr>
                <w:sz w:val="22"/>
              </w:rPr>
            </w:pPr>
            <w:r>
              <w:rPr>
                <w:sz w:val="22"/>
              </w:rPr>
              <w:t>06/11 (R)</w:t>
            </w:r>
          </w:p>
        </w:tc>
        <w:tc>
          <w:tcPr>
            <w:tcW w:w="2556" w:type="dxa"/>
          </w:tcPr>
          <w:p w:rsidR="00E24061" w:rsidRPr="00E24061" w:rsidRDefault="00E24061" w:rsidP="00E4666D">
            <w:pPr>
              <w:rPr>
                <w:b/>
                <w:sz w:val="22"/>
              </w:rPr>
            </w:pPr>
            <w:r>
              <w:rPr>
                <w:b/>
                <w:sz w:val="22"/>
              </w:rPr>
              <w:t>Online</w:t>
            </w:r>
          </w:p>
          <w:p w:rsidR="00E24061" w:rsidRDefault="00E24061" w:rsidP="00E4666D">
            <w:pPr>
              <w:rPr>
                <w:sz w:val="22"/>
              </w:rPr>
            </w:pPr>
          </w:p>
          <w:p w:rsidR="008918A6" w:rsidRDefault="008918A6" w:rsidP="00E4666D">
            <w:pPr>
              <w:rPr>
                <w:sz w:val="22"/>
              </w:rPr>
            </w:pPr>
            <w:r>
              <w:rPr>
                <w:sz w:val="22"/>
              </w:rPr>
              <w:t>Social Positioning in Literacy Performances</w:t>
            </w:r>
          </w:p>
          <w:p w:rsidR="008918A6" w:rsidRDefault="008918A6" w:rsidP="00E4666D">
            <w:pPr>
              <w:rPr>
                <w:sz w:val="22"/>
              </w:rPr>
            </w:pPr>
          </w:p>
          <w:p w:rsidR="008918A6" w:rsidRPr="002C68EB" w:rsidRDefault="008918A6" w:rsidP="00E4666D">
            <w:pPr>
              <w:rPr>
                <w:sz w:val="22"/>
              </w:rPr>
            </w:pPr>
          </w:p>
        </w:tc>
        <w:tc>
          <w:tcPr>
            <w:tcW w:w="2556" w:type="dxa"/>
          </w:tcPr>
          <w:p w:rsidR="00F07AA7" w:rsidRDefault="00FD318C" w:rsidP="00E4666D">
            <w:pPr>
              <w:rPr>
                <w:color w:val="000000" w:themeColor="text1"/>
                <w:sz w:val="22"/>
              </w:rPr>
            </w:pPr>
            <w:r>
              <w:rPr>
                <w:color w:val="000000" w:themeColor="text1"/>
                <w:sz w:val="22"/>
              </w:rPr>
              <w:t>Moje &amp; Luke, “Literacy and Identity: Examining the Metaphors in History and Contemporary Research”</w:t>
            </w:r>
          </w:p>
          <w:p w:rsidR="00F07AA7" w:rsidRDefault="00F07AA7" w:rsidP="00E4666D">
            <w:pPr>
              <w:rPr>
                <w:color w:val="000000" w:themeColor="text1"/>
                <w:sz w:val="22"/>
              </w:rPr>
            </w:pPr>
          </w:p>
          <w:p w:rsidR="008918A6" w:rsidRDefault="008918A6" w:rsidP="00E4666D">
            <w:pPr>
              <w:rPr>
                <w:color w:val="000000" w:themeColor="text1"/>
                <w:sz w:val="22"/>
              </w:rPr>
            </w:pPr>
            <w:r>
              <w:rPr>
                <w:color w:val="000000" w:themeColor="text1"/>
                <w:sz w:val="22"/>
              </w:rPr>
              <w:t>Thein et al., “Exploring the Significance of Social Class Identity Performance in the English Classroom”</w:t>
            </w:r>
          </w:p>
          <w:p w:rsidR="00F07AA7" w:rsidRDefault="00F07AA7" w:rsidP="00E4666D">
            <w:pPr>
              <w:rPr>
                <w:sz w:val="22"/>
              </w:rPr>
            </w:pPr>
          </w:p>
          <w:p w:rsidR="00F07AA7" w:rsidRPr="00F07AA7" w:rsidRDefault="00F07AA7" w:rsidP="00E4666D">
            <w:pPr>
              <w:rPr>
                <w:b/>
                <w:sz w:val="22"/>
              </w:rPr>
            </w:pPr>
            <w:r w:rsidRPr="00F07AA7">
              <w:rPr>
                <w:b/>
                <w:sz w:val="22"/>
              </w:rPr>
              <w:t xml:space="preserve">Recommended: </w:t>
            </w:r>
          </w:p>
          <w:p w:rsidR="008918A6" w:rsidRDefault="008918A6" w:rsidP="00E4666D">
            <w:pPr>
              <w:rPr>
                <w:sz w:val="22"/>
              </w:rPr>
            </w:pPr>
            <w:r>
              <w:rPr>
                <w:sz w:val="22"/>
              </w:rPr>
              <w:t>Johnson, “Performing and Positioning the White Teacher in a High School English Class”</w:t>
            </w:r>
          </w:p>
          <w:p w:rsidR="008918A6" w:rsidRPr="002C68EB" w:rsidRDefault="008918A6" w:rsidP="00E4666D">
            <w:pPr>
              <w:rPr>
                <w:sz w:val="22"/>
              </w:rPr>
            </w:pPr>
          </w:p>
        </w:tc>
        <w:tc>
          <w:tcPr>
            <w:tcW w:w="2556" w:type="dxa"/>
          </w:tcPr>
          <w:p w:rsidR="008918A6" w:rsidRDefault="00DE6233" w:rsidP="00E4666D">
            <w:pPr>
              <w:rPr>
                <w:sz w:val="22"/>
              </w:rPr>
            </w:pPr>
            <w:r>
              <w:rPr>
                <w:sz w:val="22"/>
              </w:rPr>
              <w:t>Asynchronous Writing and Posting</w:t>
            </w:r>
          </w:p>
          <w:p w:rsidR="008918A6" w:rsidRDefault="008918A6" w:rsidP="00E4666D">
            <w:pPr>
              <w:rPr>
                <w:sz w:val="22"/>
              </w:rPr>
            </w:pPr>
          </w:p>
          <w:p w:rsidR="008918A6" w:rsidRPr="002C68EB" w:rsidRDefault="008918A6" w:rsidP="00E4666D">
            <w:pPr>
              <w:rPr>
                <w:sz w:val="22"/>
              </w:rPr>
            </w:pPr>
          </w:p>
        </w:tc>
      </w:tr>
      <w:tr w:rsidR="008918A6">
        <w:tc>
          <w:tcPr>
            <w:tcW w:w="1188" w:type="dxa"/>
          </w:tcPr>
          <w:p w:rsidR="008918A6" w:rsidRPr="002C68EB" w:rsidRDefault="008918A6" w:rsidP="00E4666D">
            <w:pPr>
              <w:rPr>
                <w:sz w:val="22"/>
              </w:rPr>
            </w:pPr>
            <w:r>
              <w:rPr>
                <w:sz w:val="22"/>
              </w:rPr>
              <w:t>06/16 (T</w:t>
            </w:r>
            <w:r w:rsidRPr="002C68EB">
              <w:rPr>
                <w:sz w:val="22"/>
              </w:rPr>
              <w:t>)</w:t>
            </w:r>
          </w:p>
        </w:tc>
        <w:tc>
          <w:tcPr>
            <w:tcW w:w="2556" w:type="dxa"/>
          </w:tcPr>
          <w:p w:rsidR="00E24061" w:rsidRPr="00E24061" w:rsidRDefault="00E24061" w:rsidP="00E4666D">
            <w:pPr>
              <w:rPr>
                <w:b/>
                <w:sz w:val="22"/>
              </w:rPr>
            </w:pPr>
            <w:r>
              <w:rPr>
                <w:b/>
                <w:sz w:val="22"/>
              </w:rPr>
              <w:t>F2F</w:t>
            </w:r>
          </w:p>
          <w:p w:rsidR="00E24061" w:rsidRDefault="00E24061" w:rsidP="00E4666D">
            <w:pPr>
              <w:rPr>
                <w:sz w:val="22"/>
              </w:rPr>
            </w:pPr>
          </w:p>
          <w:p w:rsidR="008918A6" w:rsidRDefault="00FD318C" w:rsidP="00E4666D">
            <w:pPr>
              <w:rPr>
                <w:sz w:val="22"/>
              </w:rPr>
            </w:pPr>
            <w:r>
              <w:rPr>
                <w:sz w:val="22"/>
              </w:rPr>
              <w:t>Arts-Influenced Research Practice</w:t>
            </w:r>
          </w:p>
          <w:p w:rsidR="008918A6" w:rsidRDefault="008918A6" w:rsidP="00E4666D">
            <w:pPr>
              <w:rPr>
                <w:sz w:val="22"/>
              </w:rPr>
            </w:pPr>
          </w:p>
          <w:p w:rsidR="008918A6" w:rsidRPr="00FD318C" w:rsidRDefault="00FD318C" w:rsidP="00E4666D">
            <w:pPr>
              <w:rPr>
                <w:i/>
                <w:sz w:val="22"/>
              </w:rPr>
            </w:pPr>
            <w:r w:rsidRPr="00FD318C">
              <w:rPr>
                <w:i/>
                <w:sz w:val="22"/>
              </w:rPr>
              <w:t>Guest: Sally Meehan</w:t>
            </w:r>
            <w:r>
              <w:rPr>
                <w:sz w:val="22"/>
              </w:rPr>
              <w:t xml:space="preserve">, </w:t>
            </w:r>
            <w:r>
              <w:rPr>
                <w:i/>
                <w:sz w:val="22"/>
              </w:rPr>
              <w:t>University of North Carolina-Chapel Hill</w:t>
            </w:r>
          </w:p>
          <w:p w:rsidR="008918A6" w:rsidRPr="002C68EB" w:rsidRDefault="008918A6" w:rsidP="00E4666D">
            <w:pPr>
              <w:rPr>
                <w:sz w:val="22"/>
              </w:rPr>
            </w:pPr>
          </w:p>
        </w:tc>
        <w:tc>
          <w:tcPr>
            <w:tcW w:w="2556" w:type="dxa"/>
          </w:tcPr>
          <w:p w:rsidR="008918A6" w:rsidRDefault="008901C6" w:rsidP="00E4666D">
            <w:pPr>
              <w:rPr>
                <w:color w:val="000000" w:themeColor="text1"/>
                <w:sz w:val="22"/>
              </w:rPr>
            </w:pPr>
            <w:r>
              <w:rPr>
                <w:color w:val="000000" w:themeColor="text1"/>
                <w:sz w:val="22"/>
              </w:rPr>
              <w:t>TBD</w:t>
            </w:r>
          </w:p>
          <w:p w:rsidR="00FD318C" w:rsidRDefault="00FD318C" w:rsidP="00E4666D">
            <w:pPr>
              <w:rPr>
                <w:color w:val="000000" w:themeColor="text1"/>
                <w:sz w:val="22"/>
              </w:rPr>
            </w:pPr>
          </w:p>
          <w:p w:rsidR="00FD318C" w:rsidRDefault="00FD318C" w:rsidP="00E4666D">
            <w:pPr>
              <w:rPr>
                <w:color w:val="000000" w:themeColor="text1"/>
                <w:sz w:val="22"/>
              </w:rPr>
            </w:pPr>
          </w:p>
          <w:p w:rsidR="00FD318C" w:rsidRDefault="00FD318C" w:rsidP="00E4666D">
            <w:pPr>
              <w:rPr>
                <w:color w:val="000000" w:themeColor="text1"/>
                <w:sz w:val="22"/>
              </w:rPr>
            </w:pPr>
          </w:p>
          <w:p w:rsidR="00FD318C" w:rsidRDefault="00FD318C" w:rsidP="00E4666D">
            <w:pPr>
              <w:rPr>
                <w:color w:val="000000" w:themeColor="text1"/>
                <w:sz w:val="22"/>
              </w:rPr>
            </w:pPr>
          </w:p>
          <w:p w:rsidR="00FD318C" w:rsidRDefault="00FD318C" w:rsidP="00E4666D">
            <w:pPr>
              <w:rPr>
                <w:color w:val="000000" w:themeColor="text1"/>
                <w:sz w:val="22"/>
              </w:rPr>
            </w:pPr>
          </w:p>
          <w:p w:rsidR="008918A6" w:rsidRPr="00E103A2" w:rsidRDefault="008918A6" w:rsidP="00E4666D">
            <w:pPr>
              <w:rPr>
                <w:color w:val="000000" w:themeColor="text1"/>
                <w:sz w:val="22"/>
              </w:rPr>
            </w:pPr>
          </w:p>
        </w:tc>
        <w:tc>
          <w:tcPr>
            <w:tcW w:w="2556" w:type="dxa"/>
          </w:tcPr>
          <w:p w:rsidR="008918A6" w:rsidRPr="008901C6" w:rsidRDefault="008901C6" w:rsidP="00E4666D">
            <w:pPr>
              <w:rPr>
                <w:b/>
                <w:sz w:val="22"/>
              </w:rPr>
            </w:pPr>
            <w:r>
              <w:rPr>
                <w:b/>
                <w:sz w:val="22"/>
              </w:rPr>
              <w:t>DUE: Research Interest Talk</w:t>
            </w:r>
          </w:p>
        </w:tc>
      </w:tr>
      <w:tr w:rsidR="008918A6">
        <w:tc>
          <w:tcPr>
            <w:tcW w:w="1188" w:type="dxa"/>
          </w:tcPr>
          <w:p w:rsidR="008918A6" w:rsidRPr="002C68EB" w:rsidRDefault="008918A6" w:rsidP="00E4666D">
            <w:pPr>
              <w:rPr>
                <w:sz w:val="22"/>
              </w:rPr>
            </w:pPr>
            <w:r>
              <w:rPr>
                <w:sz w:val="22"/>
              </w:rPr>
              <w:t>06/18 (R)</w:t>
            </w:r>
          </w:p>
        </w:tc>
        <w:tc>
          <w:tcPr>
            <w:tcW w:w="2556" w:type="dxa"/>
          </w:tcPr>
          <w:p w:rsidR="008901C6" w:rsidRDefault="008901C6" w:rsidP="00E4666D">
            <w:pPr>
              <w:rPr>
                <w:sz w:val="22"/>
              </w:rPr>
            </w:pPr>
            <w:r w:rsidRPr="008901C6">
              <w:rPr>
                <w:b/>
                <w:bCs/>
                <w:sz w:val="22"/>
              </w:rPr>
              <w:t>Online</w:t>
            </w:r>
          </w:p>
          <w:p w:rsidR="00E24061" w:rsidRDefault="00E24061" w:rsidP="00E4666D">
            <w:pPr>
              <w:rPr>
                <w:sz w:val="22"/>
              </w:rPr>
            </w:pPr>
          </w:p>
          <w:p w:rsidR="008918A6" w:rsidRPr="009C3146" w:rsidRDefault="00DE6233" w:rsidP="00E4666D">
            <w:pPr>
              <w:rPr>
                <w:sz w:val="22"/>
              </w:rPr>
            </w:pPr>
            <w:r>
              <w:rPr>
                <w:sz w:val="22"/>
              </w:rPr>
              <w:t>Research Writing and Workshop</w:t>
            </w:r>
          </w:p>
          <w:p w:rsidR="008918A6" w:rsidRDefault="008918A6" w:rsidP="00E4666D">
            <w:pPr>
              <w:rPr>
                <w:i/>
                <w:sz w:val="22"/>
              </w:rPr>
            </w:pPr>
          </w:p>
          <w:p w:rsidR="008918A6" w:rsidRPr="006B700A" w:rsidRDefault="008918A6" w:rsidP="00E4666D">
            <w:pPr>
              <w:rPr>
                <w:i/>
                <w:sz w:val="22"/>
              </w:rPr>
            </w:pPr>
          </w:p>
        </w:tc>
        <w:tc>
          <w:tcPr>
            <w:tcW w:w="2556" w:type="dxa"/>
          </w:tcPr>
          <w:p w:rsidR="008918A6" w:rsidRPr="00F73913" w:rsidRDefault="004E07D2" w:rsidP="00E4666D">
            <w:pPr>
              <w:rPr>
                <w:sz w:val="22"/>
              </w:rPr>
            </w:pPr>
            <w:r>
              <w:rPr>
                <w:sz w:val="22"/>
              </w:rPr>
              <w:t>No Reading</w:t>
            </w:r>
          </w:p>
          <w:p w:rsidR="008918A6" w:rsidRPr="0034425B" w:rsidRDefault="008918A6" w:rsidP="00E4666D">
            <w:pPr>
              <w:rPr>
                <w:sz w:val="22"/>
              </w:rPr>
            </w:pPr>
          </w:p>
        </w:tc>
        <w:tc>
          <w:tcPr>
            <w:tcW w:w="2556" w:type="dxa"/>
          </w:tcPr>
          <w:p w:rsidR="008918A6" w:rsidRDefault="008918A6" w:rsidP="00E4666D">
            <w:pPr>
              <w:rPr>
                <w:b/>
                <w:sz w:val="22"/>
              </w:rPr>
            </w:pPr>
            <w:r>
              <w:rPr>
                <w:b/>
                <w:sz w:val="22"/>
              </w:rPr>
              <w:t xml:space="preserve">DUE: Target Research Issue/Question Due </w:t>
            </w:r>
          </w:p>
          <w:p w:rsidR="008918A6" w:rsidRDefault="008918A6" w:rsidP="00E4666D">
            <w:pPr>
              <w:rPr>
                <w:b/>
                <w:sz w:val="22"/>
              </w:rPr>
            </w:pPr>
            <w:r>
              <w:rPr>
                <w:b/>
                <w:sz w:val="22"/>
              </w:rPr>
              <w:t>(Rationale Statement + 5 Selected Articles with Abstracts)</w:t>
            </w:r>
          </w:p>
          <w:p w:rsidR="008918A6" w:rsidRPr="00775825" w:rsidRDefault="008918A6" w:rsidP="00E4666D">
            <w:pPr>
              <w:rPr>
                <w:b/>
                <w:sz w:val="22"/>
              </w:rPr>
            </w:pPr>
          </w:p>
        </w:tc>
      </w:tr>
      <w:tr w:rsidR="008918A6">
        <w:tc>
          <w:tcPr>
            <w:tcW w:w="1188" w:type="dxa"/>
          </w:tcPr>
          <w:p w:rsidR="008918A6" w:rsidRPr="002C68EB" w:rsidRDefault="008918A6" w:rsidP="00E4666D">
            <w:pPr>
              <w:rPr>
                <w:sz w:val="22"/>
              </w:rPr>
            </w:pPr>
            <w:r>
              <w:rPr>
                <w:sz w:val="22"/>
              </w:rPr>
              <w:t>06/23 (T)</w:t>
            </w:r>
          </w:p>
        </w:tc>
        <w:tc>
          <w:tcPr>
            <w:tcW w:w="2556" w:type="dxa"/>
          </w:tcPr>
          <w:p w:rsidR="00E24061" w:rsidRPr="00E24061" w:rsidRDefault="00E24061" w:rsidP="00E4666D">
            <w:pPr>
              <w:rPr>
                <w:b/>
                <w:sz w:val="22"/>
              </w:rPr>
            </w:pPr>
            <w:r w:rsidRPr="00E24061">
              <w:rPr>
                <w:b/>
                <w:sz w:val="22"/>
              </w:rPr>
              <w:t>Online</w:t>
            </w:r>
          </w:p>
          <w:p w:rsidR="00E24061" w:rsidRDefault="00E24061" w:rsidP="00E4666D">
            <w:pPr>
              <w:rPr>
                <w:sz w:val="22"/>
              </w:rPr>
            </w:pPr>
          </w:p>
          <w:p w:rsidR="008918A6" w:rsidRDefault="00FD318C" w:rsidP="00E4666D">
            <w:pPr>
              <w:rPr>
                <w:sz w:val="22"/>
              </w:rPr>
            </w:pPr>
            <w:r>
              <w:rPr>
                <w:sz w:val="22"/>
              </w:rPr>
              <w:t>Classroom Discourse</w:t>
            </w: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Pr="002C68EB" w:rsidRDefault="008918A6" w:rsidP="00E4666D">
            <w:pPr>
              <w:rPr>
                <w:sz w:val="22"/>
              </w:rPr>
            </w:pPr>
          </w:p>
        </w:tc>
        <w:tc>
          <w:tcPr>
            <w:tcW w:w="2556" w:type="dxa"/>
          </w:tcPr>
          <w:p w:rsidR="002B38B9" w:rsidRDefault="002B38B9" w:rsidP="002B38B9">
            <w:pPr>
              <w:rPr>
                <w:sz w:val="22"/>
              </w:rPr>
            </w:pPr>
            <w:r>
              <w:rPr>
                <w:sz w:val="22"/>
              </w:rPr>
              <w:t>Nystrand &amp; Gamoran, “Instructional Discourse, Student Engagement, and Literature Achievement”</w:t>
            </w:r>
          </w:p>
          <w:p w:rsidR="002B38B9" w:rsidRDefault="002B38B9" w:rsidP="00E4666D">
            <w:pPr>
              <w:rPr>
                <w:sz w:val="22"/>
              </w:rPr>
            </w:pPr>
          </w:p>
          <w:p w:rsidR="008918A6" w:rsidRPr="002B38B9" w:rsidRDefault="002B38B9" w:rsidP="00E4666D">
            <w:pPr>
              <w:rPr>
                <w:sz w:val="22"/>
              </w:rPr>
            </w:pPr>
            <w:r>
              <w:rPr>
                <w:sz w:val="22"/>
              </w:rPr>
              <w:t>Nystrand et al, “Questions in Time”</w:t>
            </w:r>
          </w:p>
        </w:tc>
        <w:tc>
          <w:tcPr>
            <w:tcW w:w="2556" w:type="dxa"/>
          </w:tcPr>
          <w:p w:rsidR="008918A6" w:rsidRPr="00E71F8D" w:rsidRDefault="00DE6233" w:rsidP="00E4666D">
            <w:pPr>
              <w:rPr>
                <w:b/>
                <w:sz w:val="22"/>
              </w:rPr>
            </w:pPr>
            <w:r>
              <w:rPr>
                <w:sz w:val="22"/>
              </w:rPr>
              <w:t>Asynchronous Writing and Posting</w:t>
            </w:r>
          </w:p>
        </w:tc>
      </w:tr>
      <w:tr w:rsidR="008918A6">
        <w:tc>
          <w:tcPr>
            <w:tcW w:w="1188" w:type="dxa"/>
          </w:tcPr>
          <w:p w:rsidR="008918A6" w:rsidRPr="002C68EB" w:rsidRDefault="008918A6" w:rsidP="00E4666D">
            <w:pPr>
              <w:rPr>
                <w:sz w:val="22"/>
              </w:rPr>
            </w:pPr>
            <w:r>
              <w:rPr>
                <w:sz w:val="22"/>
              </w:rPr>
              <w:t>06/25 (R</w:t>
            </w:r>
            <w:r w:rsidRPr="002C68EB">
              <w:rPr>
                <w:sz w:val="22"/>
              </w:rPr>
              <w:t>)</w:t>
            </w:r>
          </w:p>
        </w:tc>
        <w:tc>
          <w:tcPr>
            <w:tcW w:w="2556" w:type="dxa"/>
          </w:tcPr>
          <w:p w:rsidR="00E24061" w:rsidRPr="00E24061" w:rsidRDefault="00E24061" w:rsidP="00E4666D">
            <w:pPr>
              <w:rPr>
                <w:b/>
                <w:sz w:val="22"/>
              </w:rPr>
            </w:pPr>
            <w:r>
              <w:rPr>
                <w:b/>
                <w:sz w:val="22"/>
              </w:rPr>
              <w:t>Online</w:t>
            </w:r>
          </w:p>
          <w:p w:rsidR="00E24061" w:rsidRDefault="00E24061" w:rsidP="00E4666D">
            <w:pPr>
              <w:rPr>
                <w:sz w:val="22"/>
              </w:rPr>
            </w:pPr>
          </w:p>
          <w:p w:rsidR="008918A6" w:rsidRDefault="00FD318C" w:rsidP="00E4666D">
            <w:pPr>
              <w:rPr>
                <w:sz w:val="22"/>
              </w:rPr>
            </w:pPr>
            <w:r>
              <w:rPr>
                <w:sz w:val="22"/>
              </w:rPr>
              <w:t>Classroom Discourse</w:t>
            </w: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Pr="002C68EB" w:rsidRDefault="008918A6" w:rsidP="00E4666D">
            <w:pPr>
              <w:rPr>
                <w:sz w:val="22"/>
              </w:rPr>
            </w:pPr>
          </w:p>
        </w:tc>
        <w:tc>
          <w:tcPr>
            <w:tcW w:w="2556" w:type="dxa"/>
          </w:tcPr>
          <w:p w:rsidR="002B38B9" w:rsidRDefault="00840022" w:rsidP="00E4666D">
            <w:pPr>
              <w:rPr>
                <w:sz w:val="22"/>
              </w:rPr>
            </w:pPr>
            <w:r>
              <w:rPr>
                <w:sz w:val="22"/>
              </w:rPr>
              <w:t xml:space="preserve">Nystrand, </w:t>
            </w:r>
            <w:r w:rsidR="002B38B9">
              <w:rPr>
                <w:sz w:val="22"/>
              </w:rPr>
              <w:t>“Research on the Role of Classroom Discourse As it Affects Reading Comprehension”</w:t>
            </w:r>
          </w:p>
          <w:p w:rsidR="002B38B9" w:rsidRDefault="002B38B9" w:rsidP="00E4666D">
            <w:pPr>
              <w:rPr>
                <w:sz w:val="22"/>
              </w:rPr>
            </w:pPr>
          </w:p>
          <w:p w:rsidR="008918A6" w:rsidRPr="002B38B9" w:rsidRDefault="002B38B9" w:rsidP="00E4666D">
            <w:pPr>
              <w:rPr>
                <w:sz w:val="22"/>
              </w:rPr>
            </w:pPr>
            <w:r>
              <w:rPr>
                <w:sz w:val="22"/>
              </w:rPr>
              <w:t>Leander, “Silencing in Classroom Interaction”</w:t>
            </w:r>
          </w:p>
        </w:tc>
        <w:tc>
          <w:tcPr>
            <w:tcW w:w="2556" w:type="dxa"/>
          </w:tcPr>
          <w:p w:rsidR="008918A6" w:rsidRPr="00837016" w:rsidRDefault="00DE6233" w:rsidP="00E4666D">
            <w:pPr>
              <w:rPr>
                <w:b/>
                <w:sz w:val="22"/>
              </w:rPr>
            </w:pPr>
            <w:r>
              <w:rPr>
                <w:sz w:val="22"/>
              </w:rPr>
              <w:t>Asynchronous Writing and Posting</w:t>
            </w:r>
          </w:p>
        </w:tc>
      </w:tr>
      <w:tr w:rsidR="008918A6">
        <w:tc>
          <w:tcPr>
            <w:tcW w:w="1188" w:type="dxa"/>
          </w:tcPr>
          <w:p w:rsidR="008918A6" w:rsidRPr="002C68EB" w:rsidRDefault="008918A6" w:rsidP="00E4666D">
            <w:pPr>
              <w:rPr>
                <w:sz w:val="22"/>
              </w:rPr>
            </w:pPr>
            <w:r>
              <w:rPr>
                <w:sz w:val="22"/>
              </w:rPr>
              <w:t>06/30 (T</w:t>
            </w:r>
            <w:r w:rsidRPr="002C68EB">
              <w:rPr>
                <w:sz w:val="22"/>
              </w:rPr>
              <w:t>)</w:t>
            </w:r>
          </w:p>
        </w:tc>
        <w:tc>
          <w:tcPr>
            <w:tcW w:w="2556" w:type="dxa"/>
          </w:tcPr>
          <w:p w:rsidR="00E24061" w:rsidRPr="00E24061" w:rsidRDefault="00E24061" w:rsidP="00E4666D">
            <w:pPr>
              <w:rPr>
                <w:b/>
                <w:sz w:val="22"/>
              </w:rPr>
            </w:pPr>
            <w:r>
              <w:rPr>
                <w:b/>
                <w:sz w:val="22"/>
              </w:rPr>
              <w:t>F2F</w:t>
            </w:r>
          </w:p>
          <w:p w:rsidR="00E24061" w:rsidRDefault="00E24061" w:rsidP="00E4666D">
            <w:pPr>
              <w:rPr>
                <w:sz w:val="22"/>
              </w:rPr>
            </w:pPr>
          </w:p>
          <w:p w:rsidR="008918A6" w:rsidRDefault="008918A6" w:rsidP="00E4666D">
            <w:pPr>
              <w:rPr>
                <w:sz w:val="22"/>
              </w:rPr>
            </w:pPr>
            <w:r>
              <w:rPr>
                <w:sz w:val="22"/>
              </w:rPr>
              <w:t>Struggling Readers</w:t>
            </w:r>
          </w:p>
          <w:p w:rsidR="00A41155" w:rsidRDefault="00A41155" w:rsidP="00E4666D">
            <w:pPr>
              <w:rPr>
                <w:sz w:val="22"/>
              </w:rPr>
            </w:pPr>
          </w:p>
          <w:p w:rsidR="008918A6" w:rsidRDefault="00A41155" w:rsidP="00E4666D">
            <w:pPr>
              <w:rPr>
                <w:sz w:val="22"/>
              </w:rPr>
            </w:pPr>
            <w:r>
              <w:rPr>
                <w:sz w:val="22"/>
              </w:rPr>
              <w:t>Identity and Academic Performance</w:t>
            </w:r>
          </w:p>
          <w:p w:rsidR="00840022" w:rsidRDefault="00840022" w:rsidP="00E4666D">
            <w:pPr>
              <w:rPr>
                <w:sz w:val="22"/>
              </w:rPr>
            </w:pPr>
          </w:p>
          <w:p w:rsidR="008918A6" w:rsidRPr="00840022" w:rsidRDefault="00840022" w:rsidP="00E4666D">
            <w:pPr>
              <w:rPr>
                <w:i/>
                <w:sz w:val="22"/>
              </w:rPr>
            </w:pPr>
            <w:r>
              <w:rPr>
                <w:i/>
                <w:sz w:val="22"/>
              </w:rPr>
              <w:t>Guest: Latasha Warner, Auburn University</w:t>
            </w:r>
          </w:p>
        </w:tc>
        <w:tc>
          <w:tcPr>
            <w:tcW w:w="2556" w:type="dxa"/>
          </w:tcPr>
          <w:p w:rsidR="00840022" w:rsidRDefault="00E661C9" w:rsidP="00E4666D">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 xml:space="preserve">** </w:t>
            </w:r>
            <w:r w:rsidR="00840022">
              <w:rPr>
                <w:rFonts w:ascii="Times New Roman" w:eastAsiaTheme="minorHAnsi" w:hAnsi="Times New Roman" w:cstheme="minorBidi"/>
                <w:noProof w:val="0"/>
                <w:sz w:val="22"/>
                <w:szCs w:val="27"/>
              </w:rPr>
              <w:t>Dressman, Wilder, Connor, “Theories of Failure and the Failure of Theories”</w:t>
            </w:r>
          </w:p>
          <w:p w:rsidR="008918A6" w:rsidRDefault="008918A6" w:rsidP="00E4666D">
            <w:pPr>
              <w:rPr>
                <w:rFonts w:ascii="Times New Roman" w:eastAsiaTheme="minorHAnsi" w:hAnsi="Times New Roman" w:cstheme="minorBidi"/>
                <w:noProof w:val="0"/>
                <w:sz w:val="22"/>
                <w:szCs w:val="27"/>
              </w:rPr>
            </w:pPr>
          </w:p>
          <w:p w:rsidR="008918A6" w:rsidRPr="00CD60AE" w:rsidRDefault="008918A6" w:rsidP="00E4666D">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Hall, “Struggling Reader, Struggling Teacher”</w:t>
            </w:r>
            <w:r w:rsidRPr="00CD60AE">
              <w:rPr>
                <w:rFonts w:ascii="Times New Roman" w:eastAsiaTheme="minorHAnsi" w:hAnsi="Times New Roman" w:cstheme="minorBidi"/>
                <w:noProof w:val="0"/>
                <w:sz w:val="22"/>
                <w:szCs w:val="27"/>
              </w:rPr>
              <w:t xml:space="preserve"> </w:t>
            </w:r>
          </w:p>
          <w:p w:rsidR="008918A6" w:rsidRDefault="008918A6" w:rsidP="00E4666D">
            <w:pPr>
              <w:rPr>
                <w:sz w:val="22"/>
              </w:rPr>
            </w:pPr>
          </w:p>
          <w:p w:rsidR="00840022" w:rsidRDefault="008918A6" w:rsidP="00840022">
            <w:pPr>
              <w:rPr>
                <w:rFonts w:ascii="Times New Roman" w:eastAsiaTheme="minorHAnsi" w:hAnsi="Times New Roman" w:cstheme="minorBidi"/>
                <w:noProof w:val="0"/>
                <w:sz w:val="22"/>
                <w:szCs w:val="27"/>
              </w:rPr>
            </w:pPr>
            <w:r>
              <w:rPr>
                <w:sz w:val="22"/>
              </w:rPr>
              <w:t>Hall, “</w:t>
            </w:r>
            <w:r w:rsidR="00840022">
              <w:rPr>
                <w:rFonts w:ascii="Times New Roman" w:eastAsiaTheme="minorHAnsi" w:hAnsi="Times New Roman" w:cstheme="minorBidi"/>
                <w:noProof w:val="0"/>
                <w:sz w:val="22"/>
                <w:szCs w:val="27"/>
              </w:rPr>
              <w:t>The Role of Reading Identities and Reading Abilities in Students’ Discussions about Texts and Comprehension Strategies”</w:t>
            </w:r>
          </w:p>
          <w:p w:rsidR="008918A6" w:rsidRPr="001B3C6C" w:rsidRDefault="008918A6" w:rsidP="00E4666D">
            <w:pPr>
              <w:rPr>
                <w:sz w:val="22"/>
              </w:rPr>
            </w:pPr>
          </w:p>
        </w:tc>
        <w:tc>
          <w:tcPr>
            <w:tcW w:w="2556" w:type="dxa"/>
          </w:tcPr>
          <w:p w:rsidR="008918A6" w:rsidRPr="00EB67E9" w:rsidRDefault="008918A6" w:rsidP="00E4666D">
            <w:pPr>
              <w:rPr>
                <w:b/>
                <w:sz w:val="22"/>
              </w:rPr>
            </w:pPr>
          </w:p>
        </w:tc>
      </w:tr>
      <w:tr w:rsidR="008918A6">
        <w:tc>
          <w:tcPr>
            <w:tcW w:w="1188" w:type="dxa"/>
          </w:tcPr>
          <w:p w:rsidR="008918A6" w:rsidRPr="006940AB" w:rsidRDefault="008918A6" w:rsidP="00E4666D">
            <w:pPr>
              <w:rPr>
                <w:sz w:val="22"/>
              </w:rPr>
            </w:pPr>
            <w:r w:rsidRPr="006940AB">
              <w:rPr>
                <w:sz w:val="22"/>
              </w:rPr>
              <w:t>07/02 (R)</w:t>
            </w:r>
          </w:p>
        </w:tc>
        <w:tc>
          <w:tcPr>
            <w:tcW w:w="2556" w:type="dxa"/>
          </w:tcPr>
          <w:p w:rsidR="002A67EC" w:rsidRPr="006940AB" w:rsidRDefault="00E24061" w:rsidP="00E4666D">
            <w:pPr>
              <w:rPr>
                <w:b/>
                <w:sz w:val="22"/>
              </w:rPr>
            </w:pPr>
            <w:r w:rsidRPr="006940AB">
              <w:rPr>
                <w:b/>
                <w:sz w:val="22"/>
              </w:rPr>
              <w:t>Online</w:t>
            </w:r>
          </w:p>
          <w:p w:rsidR="002A67EC" w:rsidRPr="006940AB" w:rsidRDefault="002A67EC" w:rsidP="00E4666D">
            <w:pPr>
              <w:rPr>
                <w:b/>
                <w:sz w:val="22"/>
              </w:rPr>
            </w:pPr>
          </w:p>
          <w:p w:rsidR="004442FE" w:rsidRPr="006940AB" w:rsidRDefault="002A67EC" w:rsidP="00E4666D">
            <w:pPr>
              <w:rPr>
                <w:sz w:val="22"/>
              </w:rPr>
            </w:pPr>
            <w:r w:rsidRPr="006940AB">
              <w:rPr>
                <w:sz w:val="22"/>
              </w:rPr>
              <w:t>Writing Pedagogy</w:t>
            </w:r>
          </w:p>
          <w:p w:rsidR="004442FE" w:rsidRPr="006940AB" w:rsidRDefault="004442FE" w:rsidP="00E4666D">
            <w:pPr>
              <w:rPr>
                <w:b/>
                <w:sz w:val="22"/>
              </w:rPr>
            </w:pPr>
          </w:p>
          <w:p w:rsidR="008918A6" w:rsidRPr="006940AB" w:rsidRDefault="008918A6" w:rsidP="00E4666D">
            <w:pPr>
              <w:rPr>
                <w:sz w:val="22"/>
              </w:rPr>
            </w:pPr>
          </w:p>
        </w:tc>
        <w:tc>
          <w:tcPr>
            <w:tcW w:w="2556" w:type="dxa"/>
          </w:tcPr>
          <w:p w:rsidR="004442FE" w:rsidRPr="006940AB" w:rsidRDefault="004442FE" w:rsidP="004442FE">
            <w:pPr>
              <w:rPr>
                <w:sz w:val="22"/>
              </w:rPr>
            </w:pPr>
            <w:r w:rsidRPr="006940AB">
              <w:rPr>
                <w:sz w:val="22"/>
              </w:rPr>
              <w:t>Hillocks, “The Focus on Form versus Content in Teaching Writing”</w:t>
            </w:r>
          </w:p>
          <w:p w:rsidR="004442FE" w:rsidRPr="006940AB" w:rsidRDefault="004442FE" w:rsidP="004442FE">
            <w:pPr>
              <w:rPr>
                <w:sz w:val="22"/>
              </w:rPr>
            </w:pPr>
          </w:p>
          <w:p w:rsidR="004442FE" w:rsidRPr="006940AB" w:rsidRDefault="0002172A" w:rsidP="004442FE">
            <w:pPr>
              <w:rPr>
                <w:sz w:val="22"/>
              </w:rPr>
            </w:pPr>
            <w:r w:rsidRPr="006940AB">
              <w:rPr>
                <w:sz w:val="22"/>
              </w:rPr>
              <w:t>Johnson</w:t>
            </w:r>
            <w:r w:rsidR="004442FE" w:rsidRPr="006940AB">
              <w:rPr>
                <w:sz w:val="22"/>
              </w:rPr>
              <w:t xml:space="preserve"> et al., “Learning to Teach the Five Paragraph Theme”</w:t>
            </w:r>
          </w:p>
          <w:p w:rsidR="004442FE" w:rsidRPr="006940AB" w:rsidRDefault="004442FE" w:rsidP="004442FE">
            <w:pPr>
              <w:rPr>
                <w:sz w:val="22"/>
              </w:rPr>
            </w:pPr>
          </w:p>
          <w:p w:rsidR="004442FE" w:rsidRPr="006940AB" w:rsidRDefault="004442FE" w:rsidP="004442FE">
            <w:pPr>
              <w:rPr>
                <w:sz w:val="22"/>
              </w:rPr>
            </w:pPr>
            <w:r w:rsidRPr="006940AB">
              <w:rPr>
                <w:sz w:val="22"/>
              </w:rPr>
              <w:t>Tremmel, “What to Make of the Five-Paragraph Theme”</w:t>
            </w:r>
          </w:p>
          <w:p w:rsidR="008918A6" w:rsidRPr="006940AB" w:rsidRDefault="008918A6" w:rsidP="00E4666D">
            <w:pPr>
              <w:rPr>
                <w:i/>
                <w:sz w:val="22"/>
              </w:rPr>
            </w:pPr>
          </w:p>
        </w:tc>
        <w:tc>
          <w:tcPr>
            <w:tcW w:w="2556" w:type="dxa"/>
          </w:tcPr>
          <w:p w:rsidR="008918A6" w:rsidRPr="00837016" w:rsidRDefault="00DE6233" w:rsidP="00E4666D">
            <w:pPr>
              <w:rPr>
                <w:b/>
                <w:sz w:val="22"/>
              </w:rPr>
            </w:pPr>
            <w:r w:rsidRPr="006940AB">
              <w:rPr>
                <w:sz w:val="22"/>
              </w:rPr>
              <w:t>Asynchronous Writing and Posting</w:t>
            </w:r>
          </w:p>
        </w:tc>
      </w:tr>
      <w:tr w:rsidR="008918A6">
        <w:tc>
          <w:tcPr>
            <w:tcW w:w="1188" w:type="dxa"/>
          </w:tcPr>
          <w:p w:rsidR="008918A6" w:rsidRPr="002C68EB" w:rsidRDefault="008918A6" w:rsidP="00E4666D">
            <w:pPr>
              <w:rPr>
                <w:sz w:val="22"/>
              </w:rPr>
            </w:pPr>
            <w:r>
              <w:rPr>
                <w:sz w:val="22"/>
              </w:rPr>
              <w:t>07/07 (T</w:t>
            </w:r>
            <w:r w:rsidRPr="002C68EB">
              <w:rPr>
                <w:sz w:val="22"/>
              </w:rPr>
              <w:t>)</w:t>
            </w:r>
          </w:p>
        </w:tc>
        <w:tc>
          <w:tcPr>
            <w:tcW w:w="2556" w:type="dxa"/>
          </w:tcPr>
          <w:p w:rsidR="00756340" w:rsidRDefault="00E24061" w:rsidP="00E4666D">
            <w:pPr>
              <w:rPr>
                <w:b/>
                <w:sz w:val="22"/>
              </w:rPr>
            </w:pPr>
            <w:r>
              <w:rPr>
                <w:b/>
                <w:sz w:val="22"/>
              </w:rPr>
              <w:t>F2F</w:t>
            </w:r>
          </w:p>
          <w:p w:rsidR="00756340" w:rsidRDefault="00756340" w:rsidP="00E4666D">
            <w:pPr>
              <w:rPr>
                <w:b/>
                <w:sz w:val="22"/>
              </w:rPr>
            </w:pPr>
          </w:p>
          <w:p w:rsidR="008918A6" w:rsidRPr="00756340" w:rsidRDefault="00756340" w:rsidP="00E4666D">
            <w:pPr>
              <w:rPr>
                <w:sz w:val="22"/>
              </w:rPr>
            </w:pPr>
            <w:r>
              <w:rPr>
                <w:sz w:val="22"/>
              </w:rPr>
              <w:t>Argument Writing</w:t>
            </w:r>
          </w:p>
          <w:p w:rsidR="00E24061" w:rsidRDefault="00E24061" w:rsidP="00E4666D">
            <w:pPr>
              <w:rPr>
                <w:sz w:val="22"/>
              </w:rPr>
            </w:pPr>
          </w:p>
          <w:p w:rsidR="00E24061" w:rsidRDefault="00E24061" w:rsidP="00E4666D">
            <w:pPr>
              <w:rPr>
                <w:sz w:val="22"/>
              </w:rPr>
            </w:pPr>
          </w:p>
          <w:p w:rsidR="00E24061" w:rsidRDefault="00E24061" w:rsidP="00E4666D">
            <w:pPr>
              <w:rPr>
                <w:sz w:val="22"/>
              </w:rPr>
            </w:pPr>
          </w:p>
          <w:p w:rsidR="008918A6" w:rsidRDefault="008918A6" w:rsidP="00E4666D">
            <w:pPr>
              <w:rPr>
                <w:sz w:val="22"/>
              </w:rPr>
            </w:pPr>
          </w:p>
          <w:p w:rsidR="008918A6" w:rsidRPr="002C68EB" w:rsidRDefault="008918A6" w:rsidP="00E4666D">
            <w:pPr>
              <w:rPr>
                <w:sz w:val="22"/>
              </w:rPr>
            </w:pPr>
          </w:p>
        </w:tc>
        <w:tc>
          <w:tcPr>
            <w:tcW w:w="2556" w:type="dxa"/>
          </w:tcPr>
          <w:p w:rsidR="00AA645A" w:rsidRDefault="00AA645A" w:rsidP="00E4666D">
            <w:pPr>
              <w:rPr>
                <w:sz w:val="22"/>
              </w:rPr>
            </w:pPr>
            <w:r>
              <w:rPr>
                <w:sz w:val="22"/>
              </w:rPr>
              <w:t>Newell et al., “High School English Language Arts Teachers’ Argumentative Epistemologies for Teaching Writing”</w:t>
            </w:r>
          </w:p>
          <w:p w:rsidR="00AA645A" w:rsidRDefault="00AA645A" w:rsidP="00E4666D">
            <w:pPr>
              <w:rPr>
                <w:sz w:val="22"/>
              </w:rPr>
            </w:pPr>
          </w:p>
          <w:p w:rsidR="002A67EC" w:rsidRDefault="002A67EC" w:rsidP="00E4666D">
            <w:pPr>
              <w:rPr>
                <w:sz w:val="22"/>
              </w:rPr>
            </w:pPr>
            <w:r>
              <w:rPr>
                <w:sz w:val="22"/>
              </w:rPr>
              <w:t>Andrews et al., “Teaching argument writing to 7- to 14-year olds”</w:t>
            </w:r>
          </w:p>
          <w:p w:rsidR="008918A6" w:rsidRDefault="008918A6" w:rsidP="00E4666D">
            <w:pPr>
              <w:rPr>
                <w:sz w:val="22"/>
              </w:rPr>
            </w:pPr>
          </w:p>
          <w:p w:rsidR="004442FE" w:rsidRDefault="00E661C9" w:rsidP="004442FE">
            <w:pPr>
              <w:rPr>
                <w:sz w:val="22"/>
              </w:rPr>
            </w:pPr>
            <w:r>
              <w:rPr>
                <w:sz w:val="22"/>
              </w:rPr>
              <w:t>**</w:t>
            </w:r>
            <w:r w:rsidR="004442FE">
              <w:rPr>
                <w:sz w:val="22"/>
              </w:rPr>
              <w:t>Smagorinsky et al., “Bullshitting in Academic Writing”</w:t>
            </w:r>
          </w:p>
          <w:p w:rsidR="008918A6" w:rsidRPr="004442FE" w:rsidRDefault="008918A6" w:rsidP="00E4666D">
            <w:pPr>
              <w:rPr>
                <w:sz w:val="22"/>
              </w:rPr>
            </w:pPr>
          </w:p>
        </w:tc>
        <w:tc>
          <w:tcPr>
            <w:tcW w:w="2556" w:type="dxa"/>
          </w:tcPr>
          <w:p w:rsidR="008918A6" w:rsidRPr="001F0202" w:rsidRDefault="008918A6" w:rsidP="00E4666D">
            <w:pPr>
              <w:rPr>
                <w:b/>
                <w:sz w:val="22"/>
              </w:rPr>
            </w:pPr>
          </w:p>
        </w:tc>
      </w:tr>
      <w:tr w:rsidR="008918A6">
        <w:tc>
          <w:tcPr>
            <w:tcW w:w="1188" w:type="dxa"/>
          </w:tcPr>
          <w:p w:rsidR="008918A6" w:rsidRPr="002C68EB" w:rsidRDefault="008918A6" w:rsidP="00E4666D">
            <w:pPr>
              <w:rPr>
                <w:sz w:val="22"/>
              </w:rPr>
            </w:pPr>
            <w:r>
              <w:rPr>
                <w:sz w:val="22"/>
              </w:rPr>
              <w:t>07/09 (R</w:t>
            </w:r>
            <w:r w:rsidRPr="002C68EB">
              <w:rPr>
                <w:sz w:val="22"/>
              </w:rPr>
              <w:t>)</w:t>
            </w:r>
          </w:p>
        </w:tc>
        <w:tc>
          <w:tcPr>
            <w:tcW w:w="2556" w:type="dxa"/>
          </w:tcPr>
          <w:p w:rsidR="0035166E" w:rsidRDefault="00E24061" w:rsidP="00130492">
            <w:pPr>
              <w:rPr>
                <w:b/>
                <w:sz w:val="22"/>
              </w:rPr>
            </w:pPr>
            <w:r>
              <w:rPr>
                <w:b/>
                <w:sz w:val="22"/>
              </w:rPr>
              <w:t>Online</w:t>
            </w:r>
          </w:p>
          <w:p w:rsidR="00E24061" w:rsidRPr="00E24061" w:rsidRDefault="00E24061" w:rsidP="00130492">
            <w:pPr>
              <w:rPr>
                <w:b/>
                <w:sz w:val="22"/>
              </w:rPr>
            </w:pPr>
          </w:p>
          <w:p w:rsidR="00130492" w:rsidRDefault="00130492" w:rsidP="00130492">
            <w:pPr>
              <w:rPr>
                <w:sz w:val="22"/>
              </w:rPr>
            </w:pPr>
            <w:r>
              <w:rPr>
                <w:sz w:val="22"/>
              </w:rPr>
              <w:t>Affect, Love, Resistance</w:t>
            </w:r>
          </w:p>
          <w:p w:rsidR="00130492" w:rsidRDefault="00130492" w:rsidP="00130492">
            <w:pPr>
              <w:rPr>
                <w:sz w:val="22"/>
              </w:rPr>
            </w:pPr>
            <w:r>
              <w:rPr>
                <w:sz w:val="22"/>
              </w:rPr>
              <w:t>(Unbearable Knowledge)</w:t>
            </w:r>
          </w:p>
          <w:p w:rsidR="00130492" w:rsidRDefault="00130492" w:rsidP="00130492">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Pr="002C68EB" w:rsidRDefault="008918A6" w:rsidP="00E4666D">
            <w:pPr>
              <w:rPr>
                <w:sz w:val="22"/>
              </w:rPr>
            </w:pPr>
          </w:p>
        </w:tc>
        <w:tc>
          <w:tcPr>
            <w:tcW w:w="2556" w:type="dxa"/>
          </w:tcPr>
          <w:p w:rsidR="00130492" w:rsidRDefault="00130492" w:rsidP="00130492">
            <w:pPr>
              <w:rPr>
                <w:sz w:val="22"/>
              </w:rPr>
            </w:pPr>
            <w:r>
              <w:rPr>
                <w:sz w:val="22"/>
              </w:rPr>
              <w:t>Enriquez, “Embodiments of ‘Struggle’”</w:t>
            </w:r>
          </w:p>
          <w:p w:rsidR="00130492" w:rsidRDefault="00130492" w:rsidP="00130492">
            <w:pPr>
              <w:rPr>
                <w:sz w:val="22"/>
              </w:rPr>
            </w:pPr>
          </w:p>
          <w:p w:rsidR="00130492" w:rsidRDefault="00130492" w:rsidP="00130492">
            <w:pPr>
              <w:rPr>
                <w:sz w:val="22"/>
              </w:rPr>
            </w:pPr>
            <w:r>
              <w:rPr>
                <w:sz w:val="22"/>
              </w:rPr>
              <w:t>Boldt, “Resistance, Loss, and Love in Learning to Read”</w:t>
            </w:r>
          </w:p>
          <w:p w:rsidR="00130492" w:rsidRDefault="00130492" w:rsidP="00130492">
            <w:pPr>
              <w:rPr>
                <w:sz w:val="22"/>
              </w:rPr>
            </w:pPr>
          </w:p>
          <w:p w:rsidR="008918A6" w:rsidRDefault="008901C6" w:rsidP="00E4666D">
            <w:pPr>
              <w:rPr>
                <w:sz w:val="22"/>
              </w:rPr>
            </w:pPr>
            <w:r>
              <w:rPr>
                <w:sz w:val="22"/>
              </w:rPr>
              <w:t>Thein et al., “Examining Emotional Rules in the English Classroom”</w:t>
            </w:r>
          </w:p>
          <w:p w:rsidR="008918A6" w:rsidRPr="004B37D9" w:rsidRDefault="008918A6" w:rsidP="00E4666D">
            <w:pPr>
              <w:rPr>
                <w:sz w:val="22"/>
              </w:rPr>
            </w:pPr>
          </w:p>
        </w:tc>
        <w:tc>
          <w:tcPr>
            <w:tcW w:w="2556" w:type="dxa"/>
          </w:tcPr>
          <w:p w:rsidR="008918A6" w:rsidRPr="00837016" w:rsidRDefault="00DE6233" w:rsidP="00E4666D">
            <w:pPr>
              <w:rPr>
                <w:b/>
                <w:sz w:val="22"/>
              </w:rPr>
            </w:pPr>
            <w:r>
              <w:rPr>
                <w:sz w:val="22"/>
              </w:rPr>
              <w:t>Asynchronous Writing and Posting</w:t>
            </w:r>
          </w:p>
        </w:tc>
      </w:tr>
      <w:tr w:rsidR="008918A6">
        <w:tc>
          <w:tcPr>
            <w:tcW w:w="1188" w:type="dxa"/>
          </w:tcPr>
          <w:p w:rsidR="008918A6" w:rsidRPr="002C68EB" w:rsidRDefault="008918A6" w:rsidP="00E4666D">
            <w:pPr>
              <w:rPr>
                <w:sz w:val="22"/>
              </w:rPr>
            </w:pPr>
            <w:r>
              <w:rPr>
                <w:sz w:val="22"/>
              </w:rPr>
              <w:t>07/14 (T</w:t>
            </w:r>
            <w:r w:rsidRPr="002C68EB">
              <w:rPr>
                <w:sz w:val="22"/>
              </w:rPr>
              <w:t>)</w:t>
            </w:r>
          </w:p>
        </w:tc>
        <w:tc>
          <w:tcPr>
            <w:tcW w:w="2556" w:type="dxa"/>
          </w:tcPr>
          <w:p w:rsidR="00E24061" w:rsidRDefault="00E24061" w:rsidP="00E4666D">
            <w:pPr>
              <w:rPr>
                <w:b/>
                <w:sz w:val="22"/>
              </w:rPr>
            </w:pPr>
            <w:r w:rsidRPr="00E24061">
              <w:rPr>
                <w:b/>
                <w:sz w:val="22"/>
              </w:rPr>
              <w:t>F2F</w:t>
            </w:r>
          </w:p>
          <w:p w:rsidR="00E24061" w:rsidRPr="00E24061" w:rsidRDefault="00E24061" w:rsidP="00E4666D">
            <w:pPr>
              <w:rPr>
                <w:b/>
                <w:sz w:val="22"/>
              </w:rPr>
            </w:pPr>
          </w:p>
          <w:p w:rsidR="008918A6" w:rsidRDefault="008918A6" w:rsidP="00E4666D">
            <w:pPr>
              <w:rPr>
                <w:sz w:val="22"/>
              </w:rPr>
            </w:pPr>
            <w:r>
              <w:rPr>
                <w:sz w:val="22"/>
              </w:rPr>
              <w:t>Critical Literacy</w:t>
            </w:r>
          </w:p>
          <w:p w:rsidR="008918A6" w:rsidRDefault="008918A6" w:rsidP="00E4666D">
            <w:pPr>
              <w:rPr>
                <w:sz w:val="22"/>
              </w:rPr>
            </w:pPr>
          </w:p>
          <w:p w:rsidR="008918A6" w:rsidRDefault="008918A6" w:rsidP="00E4666D">
            <w:pPr>
              <w:rPr>
                <w:sz w:val="22"/>
              </w:rPr>
            </w:pPr>
            <w:r>
              <w:rPr>
                <w:sz w:val="22"/>
              </w:rPr>
              <w:t>Pedagogies of Place</w:t>
            </w:r>
          </w:p>
          <w:p w:rsidR="008918A6" w:rsidRDefault="008918A6" w:rsidP="00E4666D">
            <w:pPr>
              <w:rPr>
                <w:sz w:val="22"/>
              </w:rPr>
            </w:pPr>
          </w:p>
          <w:p w:rsidR="008918A6" w:rsidRDefault="008918A6" w:rsidP="00E4666D">
            <w:pPr>
              <w:rPr>
                <w:sz w:val="22"/>
              </w:rPr>
            </w:pPr>
            <w:r>
              <w:rPr>
                <w:sz w:val="22"/>
              </w:rPr>
              <w:t>Ecojustice Education</w:t>
            </w:r>
          </w:p>
          <w:p w:rsidR="008918A6" w:rsidRDefault="008918A6" w:rsidP="00E4666D">
            <w:pPr>
              <w:rPr>
                <w:sz w:val="22"/>
              </w:rPr>
            </w:pPr>
          </w:p>
          <w:p w:rsidR="008918A6" w:rsidRPr="00864F5C" w:rsidRDefault="008918A6" w:rsidP="00E4666D">
            <w:pPr>
              <w:rPr>
                <w:sz w:val="22"/>
              </w:rPr>
            </w:pPr>
            <w:r>
              <w:rPr>
                <w:sz w:val="22"/>
              </w:rPr>
              <w:t>Ecocriticism</w:t>
            </w:r>
          </w:p>
          <w:p w:rsidR="008918A6" w:rsidRDefault="008918A6" w:rsidP="00E4666D">
            <w:pPr>
              <w:rPr>
                <w:sz w:val="22"/>
              </w:rPr>
            </w:pPr>
          </w:p>
          <w:p w:rsidR="008918A6" w:rsidRDefault="008918A6" w:rsidP="00E4666D">
            <w:pPr>
              <w:rPr>
                <w:sz w:val="22"/>
              </w:rPr>
            </w:pPr>
          </w:p>
          <w:p w:rsidR="008918A6" w:rsidRDefault="005A1CE1" w:rsidP="00E4666D">
            <w:pPr>
              <w:rPr>
                <w:sz w:val="22"/>
              </w:rPr>
            </w:pPr>
            <w:r>
              <w:rPr>
                <w:i/>
                <w:sz w:val="22"/>
              </w:rPr>
              <w:t>Guest: Scott Morrison, Elon University</w:t>
            </w:r>
          </w:p>
          <w:p w:rsidR="008918A6" w:rsidRDefault="008918A6" w:rsidP="00E4666D">
            <w:pPr>
              <w:rPr>
                <w:sz w:val="22"/>
              </w:rPr>
            </w:pPr>
          </w:p>
          <w:p w:rsidR="008918A6" w:rsidRPr="002C68EB" w:rsidRDefault="008918A6" w:rsidP="00E4666D">
            <w:pPr>
              <w:rPr>
                <w:sz w:val="22"/>
              </w:rPr>
            </w:pPr>
          </w:p>
        </w:tc>
        <w:tc>
          <w:tcPr>
            <w:tcW w:w="2556" w:type="dxa"/>
          </w:tcPr>
          <w:p w:rsidR="008918A6" w:rsidRDefault="008918A6" w:rsidP="00E4666D">
            <w:pPr>
              <w:rPr>
                <w:sz w:val="22"/>
              </w:rPr>
            </w:pPr>
            <w:r>
              <w:rPr>
                <w:sz w:val="22"/>
              </w:rPr>
              <w:t>**Gruenewald, “A Critical Pedagogy of Place”</w:t>
            </w:r>
          </w:p>
          <w:p w:rsidR="008918A6" w:rsidRDefault="008918A6" w:rsidP="00E4666D">
            <w:pPr>
              <w:rPr>
                <w:sz w:val="22"/>
              </w:rPr>
            </w:pPr>
          </w:p>
          <w:p w:rsidR="005A1CE1" w:rsidRDefault="005A1CE1" w:rsidP="00E4666D">
            <w:pPr>
              <w:rPr>
                <w:sz w:val="22"/>
              </w:rPr>
            </w:pPr>
            <w:r>
              <w:rPr>
                <w:sz w:val="22"/>
              </w:rPr>
              <w:t>Esposito, “Where to Begin? Using Place-Based Writing to Connect Students with their Local Communities”</w:t>
            </w:r>
          </w:p>
          <w:p w:rsidR="005A1CE1" w:rsidRDefault="005A1CE1" w:rsidP="00E4666D">
            <w:pPr>
              <w:rPr>
                <w:sz w:val="22"/>
              </w:rPr>
            </w:pPr>
          </w:p>
          <w:p w:rsidR="005A1CE1" w:rsidRDefault="005A1CE1" w:rsidP="00E4666D">
            <w:pPr>
              <w:rPr>
                <w:sz w:val="22"/>
              </w:rPr>
            </w:pPr>
            <w:r>
              <w:rPr>
                <w:sz w:val="22"/>
              </w:rPr>
              <w:t>Bruce, “Green(ing) English: Voices Howling in the Wilderness?”</w:t>
            </w:r>
          </w:p>
          <w:p w:rsidR="008918A6" w:rsidRDefault="008918A6" w:rsidP="00E4666D">
            <w:pPr>
              <w:rPr>
                <w:sz w:val="22"/>
              </w:rPr>
            </w:pPr>
          </w:p>
          <w:p w:rsidR="008918A6" w:rsidRDefault="008918A6" w:rsidP="00E4666D">
            <w:pPr>
              <w:rPr>
                <w:sz w:val="22"/>
              </w:rPr>
            </w:pPr>
            <w:r>
              <w:rPr>
                <w:sz w:val="22"/>
              </w:rPr>
              <w:t>Smith &amp; Sobel, “Bring it Home”</w:t>
            </w:r>
          </w:p>
          <w:p w:rsidR="008918A6" w:rsidRPr="00C35B95" w:rsidRDefault="008918A6" w:rsidP="00E4666D">
            <w:pPr>
              <w:rPr>
                <w:sz w:val="22"/>
              </w:rPr>
            </w:pPr>
          </w:p>
        </w:tc>
        <w:tc>
          <w:tcPr>
            <w:tcW w:w="2556" w:type="dxa"/>
          </w:tcPr>
          <w:p w:rsidR="008918A6" w:rsidRPr="002C68EB" w:rsidRDefault="008918A6" w:rsidP="00E4666D">
            <w:pPr>
              <w:rPr>
                <w:sz w:val="22"/>
              </w:rPr>
            </w:pPr>
          </w:p>
        </w:tc>
      </w:tr>
      <w:tr w:rsidR="008918A6">
        <w:tc>
          <w:tcPr>
            <w:tcW w:w="1188" w:type="dxa"/>
          </w:tcPr>
          <w:p w:rsidR="008918A6" w:rsidRPr="002C68EB" w:rsidRDefault="008918A6" w:rsidP="00E4666D">
            <w:pPr>
              <w:rPr>
                <w:sz w:val="22"/>
              </w:rPr>
            </w:pPr>
            <w:r>
              <w:rPr>
                <w:sz w:val="22"/>
              </w:rPr>
              <w:t>07/16 (R</w:t>
            </w:r>
            <w:r w:rsidRPr="002C68EB">
              <w:rPr>
                <w:sz w:val="22"/>
              </w:rPr>
              <w:t>)</w:t>
            </w:r>
          </w:p>
        </w:tc>
        <w:tc>
          <w:tcPr>
            <w:tcW w:w="2556" w:type="dxa"/>
          </w:tcPr>
          <w:p w:rsidR="008901C6" w:rsidRPr="00E24061" w:rsidRDefault="00E24061" w:rsidP="00E4666D">
            <w:pPr>
              <w:rPr>
                <w:b/>
                <w:sz w:val="22"/>
              </w:rPr>
            </w:pPr>
            <w:r w:rsidRPr="00E24061">
              <w:rPr>
                <w:b/>
                <w:sz w:val="22"/>
              </w:rPr>
              <w:t>ONLINE</w:t>
            </w:r>
          </w:p>
          <w:p w:rsidR="008918A6" w:rsidRPr="002C68EB" w:rsidRDefault="00EA120F" w:rsidP="00E4666D">
            <w:pPr>
              <w:rPr>
                <w:sz w:val="22"/>
              </w:rPr>
            </w:pPr>
            <w:r>
              <w:rPr>
                <w:sz w:val="22"/>
              </w:rPr>
              <w:t>Participatory &amp; Youth Cultures</w:t>
            </w:r>
          </w:p>
        </w:tc>
        <w:tc>
          <w:tcPr>
            <w:tcW w:w="2556" w:type="dxa"/>
          </w:tcPr>
          <w:p w:rsidR="008918A6" w:rsidRDefault="008918A6" w:rsidP="00E4666D">
            <w:pPr>
              <w:rPr>
                <w:sz w:val="22"/>
              </w:rPr>
            </w:pPr>
            <w:r>
              <w:rPr>
                <w:sz w:val="22"/>
              </w:rPr>
              <w:t>Moje, ‘“To Be Part of the Story”: Literacy Practices of Gansta Adolescents’</w:t>
            </w:r>
          </w:p>
          <w:p w:rsidR="008918A6" w:rsidRDefault="008918A6" w:rsidP="00E4666D">
            <w:pPr>
              <w:rPr>
                <w:sz w:val="22"/>
              </w:rPr>
            </w:pPr>
          </w:p>
          <w:p w:rsidR="00EA120F" w:rsidRDefault="00EA120F" w:rsidP="00E4666D">
            <w:pPr>
              <w:rPr>
                <w:sz w:val="22"/>
              </w:rPr>
            </w:pPr>
            <w:r>
              <w:rPr>
                <w:sz w:val="22"/>
              </w:rPr>
              <w:t>Alexander, “Gaming, Student Literacies, and the Composition Classroom”</w:t>
            </w:r>
          </w:p>
          <w:p w:rsidR="00EA120F" w:rsidRDefault="00EA120F" w:rsidP="00E4666D">
            <w:pPr>
              <w:rPr>
                <w:sz w:val="22"/>
              </w:rPr>
            </w:pPr>
          </w:p>
          <w:p w:rsidR="00EA120F" w:rsidRDefault="00CB6E88" w:rsidP="00E4666D">
            <w:pPr>
              <w:rPr>
                <w:sz w:val="22"/>
              </w:rPr>
            </w:pPr>
            <w:r>
              <w:rPr>
                <w:sz w:val="22"/>
              </w:rPr>
              <w:t>Curwood et al., “Writing in the Wild”</w:t>
            </w:r>
          </w:p>
          <w:p w:rsidR="008918A6" w:rsidRPr="002C68EB" w:rsidRDefault="008918A6" w:rsidP="00E4666D">
            <w:pPr>
              <w:rPr>
                <w:sz w:val="22"/>
              </w:rPr>
            </w:pPr>
          </w:p>
        </w:tc>
        <w:tc>
          <w:tcPr>
            <w:tcW w:w="2556" w:type="dxa"/>
          </w:tcPr>
          <w:p w:rsidR="00E4666D" w:rsidRPr="00E71F8D" w:rsidRDefault="00DE6233" w:rsidP="00E4666D">
            <w:pPr>
              <w:rPr>
                <w:b/>
                <w:sz w:val="22"/>
              </w:rPr>
            </w:pPr>
            <w:r>
              <w:rPr>
                <w:b/>
                <w:sz w:val="22"/>
              </w:rPr>
              <w:t xml:space="preserve">Due: Annotated Bibliographies </w:t>
            </w:r>
          </w:p>
          <w:p w:rsidR="00DE6233" w:rsidRDefault="00DE6233" w:rsidP="00E4666D">
            <w:pPr>
              <w:rPr>
                <w:b/>
                <w:sz w:val="22"/>
              </w:rPr>
            </w:pPr>
          </w:p>
          <w:p w:rsidR="008918A6" w:rsidRPr="00611550" w:rsidRDefault="00DE6233" w:rsidP="00E4666D">
            <w:pPr>
              <w:rPr>
                <w:b/>
                <w:sz w:val="22"/>
              </w:rPr>
            </w:pPr>
            <w:r>
              <w:rPr>
                <w:sz w:val="22"/>
              </w:rPr>
              <w:t>Asynchronous Writing and Posting</w:t>
            </w:r>
          </w:p>
        </w:tc>
      </w:tr>
      <w:tr w:rsidR="008918A6">
        <w:tc>
          <w:tcPr>
            <w:tcW w:w="1188" w:type="dxa"/>
          </w:tcPr>
          <w:p w:rsidR="008918A6" w:rsidRDefault="008918A6" w:rsidP="00E4666D">
            <w:pPr>
              <w:rPr>
                <w:sz w:val="22"/>
              </w:rPr>
            </w:pPr>
            <w:r>
              <w:rPr>
                <w:sz w:val="22"/>
              </w:rPr>
              <w:t>07/21 (T)</w:t>
            </w:r>
          </w:p>
          <w:p w:rsidR="008918A6" w:rsidRDefault="008918A6" w:rsidP="00E4666D">
            <w:pPr>
              <w:rPr>
                <w:sz w:val="22"/>
              </w:rPr>
            </w:pPr>
          </w:p>
          <w:p w:rsidR="008918A6" w:rsidRDefault="008918A6" w:rsidP="00E4666D">
            <w:pPr>
              <w:rPr>
                <w:sz w:val="22"/>
              </w:rPr>
            </w:pPr>
          </w:p>
        </w:tc>
        <w:tc>
          <w:tcPr>
            <w:tcW w:w="2556" w:type="dxa"/>
          </w:tcPr>
          <w:p w:rsidR="008918A6" w:rsidRPr="008901C6" w:rsidRDefault="008901C6" w:rsidP="00E4666D">
            <w:pPr>
              <w:rPr>
                <w:b/>
                <w:sz w:val="22"/>
              </w:rPr>
            </w:pPr>
            <w:r>
              <w:rPr>
                <w:b/>
                <w:sz w:val="22"/>
              </w:rPr>
              <w:t>No Class</w:t>
            </w:r>
          </w:p>
        </w:tc>
        <w:tc>
          <w:tcPr>
            <w:tcW w:w="2556" w:type="dxa"/>
          </w:tcPr>
          <w:p w:rsidR="008918A6" w:rsidRDefault="008901C6" w:rsidP="00E4666D">
            <w:pPr>
              <w:rPr>
                <w:sz w:val="22"/>
              </w:rPr>
            </w:pPr>
            <w:r>
              <w:rPr>
                <w:sz w:val="22"/>
              </w:rPr>
              <w:t>None</w:t>
            </w:r>
          </w:p>
        </w:tc>
        <w:tc>
          <w:tcPr>
            <w:tcW w:w="2556" w:type="dxa"/>
          </w:tcPr>
          <w:p w:rsidR="008918A6" w:rsidRDefault="008918A6" w:rsidP="00E4666D">
            <w:pPr>
              <w:rPr>
                <w:b/>
                <w:sz w:val="22"/>
              </w:rPr>
            </w:pPr>
          </w:p>
        </w:tc>
      </w:tr>
      <w:tr w:rsidR="008918A6">
        <w:tc>
          <w:tcPr>
            <w:tcW w:w="1188" w:type="dxa"/>
          </w:tcPr>
          <w:p w:rsidR="008918A6" w:rsidRDefault="008918A6" w:rsidP="00E4666D">
            <w:pPr>
              <w:rPr>
                <w:sz w:val="22"/>
              </w:rPr>
            </w:pPr>
            <w:r>
              <w:rPr>
                <w:sz w:val="22"/>
              </w:rPr>
              <w:t>07/23 (R)</w:t>
            </w: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p w:rsidR="008918A6" w:rsidRDefault="008918A6" w:rsidP="00E4666D">
            <w:pPr>
              <w:rPr>
                <w:sz w:val="22"/>
              </w:rPr>
            </w:pPr>
          </w:p>
        </w:tc>
        <w:tc>
          <w:tcPr>
            <w:tcW w:w="2556" w:type="dxa"/>
          </w:tcPr>
          <w:p w:rsidR="008901C6" w:rsidRPr="008901C6" w:rsidRDefault="008901C6" w:rsidP="00E4666D">
            <w:pPr>
              <w:rPr>
                <w:b/>
                <w:sz w:val="22"/>
              </w:rPr>
            </w:pPr>
            <w:r w:rsidRPr="008901C6">
              <w:rPr>
                <w:b/>
                <w:sz w:val="22"/>
              </w:rPr>
              <w:t>F2F</w:t>
            </w:r>
          </w:p>
          <w:p w:rsidR="008918A6" w:rsidRDefault="008918A6" w:rsidP="00E4666D">
            <w:pPr>
              <w:rPr>
                <w:sz w:val="22"/>
              </w:rPr>
            </w:pPr>
            <w:r>
              <w:rPr>
                <w:sz w:val="22"/>
              </w:rPr>
              <w:t>Synthesis Paper Presentations</w:t>
            </w:r>
          </w:p>
        </w:tc>
        <w:tc>
          <w:tcPr>
            <w:tcW w:w="2556" w:type="dxa"/>
          </w:tcPr>
          <w:p w:rsidR="008918A6" w:rsidRDefault="008901C6" w:rsidP="00E4666D">
            <w:pPr>
              <w:rPr>
                <w:sz w:val="22"/>
              </w:rPr>
            </w:pPr>
            <w:r>
              <w:rPr>
                <w:sz w:val="22"/>
              </w:rPr>
              <w:t>Presentations in Class</w:t>
            </w:r>
          </w:p>
        </w:tc>
        <w:tc>
          <w:tcPr>
            <w:tcW w:w="2556" w:type="dxa"/>
          </w:tcPr>
          <w:p w:rsidR="00DE6233" w:rsidRDefault="00DE6233" w:rsidP="00E4666D">
            <w:pPr>
              <w:rPr>
                <w:b/>
                <w:sz w:val="22"/>
              </w:rPr>
            </w:pPr>
            <w:r>
              <w:rPr>
                <w:b/>
                <w:sz w:val="22"/>
              </w:rPr>
              <w:t>DUE: Presenations in Class</w:t>
            </w:r>
          </w:p>
          <w:p w:rsidR="00DE6233" w:rsidRDefault="00DE6233" w:rsidP="00E4666D">
            <w:pPr>
              <w:rPr>
                <w:b/>
                <w:sz w:val="22"/>
              </w:rPr>
            </w:pPr>
          </w:p>
          <w:p w:rsidR="00DE6233" w:rsidRDefault="00DE6233" w:rsidP="00E4666D">
            <w:pPr>
              <w:rPr>
                <w:b/>
                <w:sz w:val="22"/>
              </w:rPr>
            </w:pPr>
          </w:p>
          <w:p w:rsidR="008918A6" w:rsidRDefault="008918A6" w:rsidP="00E4666D">
            <w:pPr>
              <w:rPr>
                <w:b/>
                <w:sz w:val="22"/>
              </w:rPr>
            </w:pPr>
            <w:r>
              <w:rPr>
                <w:b/>
                <w:sz w:val="22"/>
              </w:rPr>
              <w:t>Synthesis Paper Due: July 29</w:t>
            </w:r>
            <w:r w:rsidRPr="00007D2F">
              <w:rPr>
                <w:b/>
                <w:sz w:val="22"/>
                <w:vertAlign w:val="superscript"/>
              </w:rPr>
              <w:t>th</w:t>
            </w:r>
          </w:p>
          <w:p w:rsidR="008918A6" w:rsidRDefault="008918A6" w:rsidP="00E4666D">
            <w:pPr>
              <w:rPr>
                <w:b/>
                <w:sz w:val="22"/>
              </w:rPr>
            </w:pPr>
          </w:p>
        </w:tc>
      </w:tr>
    </w:tbl>
    <w:p w:rsidR="008918A6" w:rsidRDefault="008918A6" w:rsidP="008918A6">
      <w:pPr>
        <w:rPr>
          <w:b/>
        </w:rPr>
      </w:pPr>
    </w:p>
    <w:p w:rsidR="00F65838" w:rsidRDefault="00F65838" w:rsidP="008918A6">
      <w:pPr>
        <w:rPr>
          <w:b/>
        </w:rPr>
      </w:pPr>
    </w:p>
    <w:p w:rsidR="00DE6233" w:rsidRDefault="00DE6233" w:rsidP="008918A6">
      <w:pPr>
        <w:rPr>
          <w:b/>
        </w:rPr>
      </w:pPr>
    </w:p>
    <w:p w:rsidR="008918A6" w:rsidRDefault="008918A6" w:rsidP="008918A6">
      <w:pPr>
        <w:rPr>
          <w:b/>
        </w:rPr>
      </w:pPr>
    </w:p>
    <w:p w:rsidR="008918A6" w:rsidRDefault="008918A6" w:rsidP="008918A6"/>
    <w:p w:rsidR="008918A6" w:rsidRDefault="008918A6" w:rsidP="008918A6"/>
    <w:p w:rsidR="008918A6" w:rsidRDefault="008918A6" w:rsidP="008918A6"/>
    <w:p w:rsidR="000521F7"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pPr>
    </w:p>
    <w:sectPr w:rsidR="000521F7" w:rsidSect="000521F7">
      <w:headerReference w:type="even" r:id="rId11"/>
      <w:headerReference w:type="default" r:id="rId12"/>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40AB" w:rsidRDefault="006940AB">
      <w:r>
        <w:separator/>
      </w:r>
    </w:p>
  </w:endnote>
  <w:endnote w:type="continuationSeparator" w:id="1">
    <w:p w:rsidR="006940AB" w:rsidRDefault="00694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40AB" w:rsidRDefault="006940AB">
      <w:r>
        <w:separator/>
      </w:r>
    </w:p>
  </w:footnote>
  <w:footnote w:type="continuationSeparator" w:id="1">
    <w:p w:rsidR="006940AB" w:rsidRDefault="006940A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40AB" w:rsidRDefault="006940AB" w:rsidP="000521F7">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5318">
      <w:rPr>
        <w:rStyle w:val="PageNumber"/>
      </w:rPr>
      <w:t>1</w:t>
    </w:r>
    <w:r>
      <w:rPr>
        <w:rStyle w:val="PageNumber"/>
      </w:rPr>
      <w:fldChar w:fldCharType="end"/>
    </w:r>
  </w:p>
  <w:p w:rsidR="006940AB" w:rsidRDefault="006940AB" w:rsidP="000521F7">
    <w:pPr>
      <w:pStyle w:val="Header"/>
      <w:ind w:right="360"/>
    </w:pPr>
    <w:r>
      <w:tab/>
    </w:r>
    <w:r>
      <w:tab/>
      <w:t xml:space="preserve">CTSE 7510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680C14"/>
    <w:rsid w:val="00000068"/>
    <w:rsid w:val="00000A08"/>
    <w:rsid w:val="00001F18"/>
    <w:rsid w:val="000063E1"/>
    <w:rsid w:val="00007D2F"/>
    <w:rsid w:val="0002172A"/>
    <w:rsid w:val="000521F7"/>
    <w:rsid w:val="00072788"/>
    <w:rsid w:val="0007613A"/>
    <w:rsid w:val="0007727E"/>
    <w:rsid w:val="000972E1"/>
    <w:rsid w:val="000A2620"/>
    <w:rsid w:val="000E3E8A"/>
    <w:rsid w:val="001010A5"/>
    <w:rsid w:val="00102C30"/>
    <w:rsid w:val="001215FE"/>
    <w:rsid w:val="00125076"/>
    <w:rsid w:val="0012758F"/>
    <w:rsid w:val="00130492"/>
    <w:rsid w:val="00136723"/>
    <w:rsid w:val="00141B79"/>
    <w:rsid w:val="00145DC3"/>
    <w:rsid w:val="001467EF"/>
    <w:rsid w:val="00147154"/>
    <w:rsid w:val="001554AF"/>
    <w:rsid w:val="00155EEE"/>
    <w:rsid w:val="0017161C"/>
    <w:rsid w:val="00172E00"/>
    <w:rsid w:val="00175318"/>
    <w:rsid w:val="0018162C"/>
    <w:rsid w:val="00191826"/>
    <w:rsid w:val="001A65F1"/>
    <w:rsid w:val="001A7FEF"/>
    <w:rsid w:val="001B3C6C"/>
    <w:rsid w:val="001B3EAA"/>
    <w:rsid w:val="001B4BE5"/>
    <w:rsid w:val="001F472D"/>
    <w:rsid w:val="001F5DEB"/>
    <w:rsid w:val="001F7B5A"/>
    <w:rsid w:val="0022164A"/>
    <w:rsid w:val="0023300E"/>
    <w:rsid w:val="00251CE1"/>
    <w:rsid w:val="00257F49"/>
    <w:rsid w:val="00260422"/>
    <w:rsid w:val="00272E35"/>
    <w:rsid w:val="002845A1"/>
    <w:rsid w:val="00291BE1"/>
    <w:rsid w:val="002A5E4E"/>
    <w:rsid w:val="002A67EC"/>
    <w:rsid w:val="002B0F6A"/>
    <w:rsid w:val="002B109E"/>
    <w:rsid w:val="002B38B9"/>
    <w:rsid w:val="002B44DE"/>
    <w:rsid w:val="002B547D"/>
    <w:rsid w:val="002B6088"/>
    <w:rsid w:val="002B61BC"/>
    <w:rsid w:val="002D2C61"/>
    <w:rsid w:val="002D39E6"/>
    <w:rsid w:val="002E172A"/>
    <w:rsid w:val="00300013"/>
    <w:rsid w:val="00316E26"/>
    <w:rsid w:val="00322AB1"/>
    <w:rsid w:val="00333C2B"/>
    <w:rsid w:val="0035166E"/>
    <w:rsid w:val="00376E14"/>
    <w:rsid w:val="0038741C"/>
    <w:rsid w:val="003A4A25"/>
    <w:rsid w:val="003D3993"/>
    <w:rsid w:val="003D7097"/>
    <w:rsid w:val="003E218E"/>
    <w:rsid w:val="003F6AF3"/>
    <w:rsid w:val="0042048B"/>
    <w:rsid w:val="00421778"/>
    <w:rsid w:val="0043221D"/>
    <w:rsid w:val="004442FE"/>
    <w:rsid w:val="00471BC3"/>
    <w:rsid w:val="00490495"/>
    <w:rsid w:val="004923C5"/>
    <w:rsid w:val="00493C7F"/>
    <w:rsid w:val="004A3903"/>
    <w:rsid w:val="004A472B"/>
    <w:rsid w:val="004B37D9"/>
    <w:rsid w:val="004C0D64"/>
    <w:rsid w:val="004D0534"/>
    <w:rsid w:val="004E07D2"/>
    <w:rsid w:val="004E61E8"/>
    <w:rsid w:val="00513785"/>
    <w:rsid w:val="005208A4"/>
    <w:rsid w:val="005311E8"/>
    <w:rsid w:val="00532702"/>
    <w:rsid w:val="005348E4"/>
    <w:rsid w:val="00545A16"/>
    <w:rsid w:val="00555781"/>
    <w:rsid w:val="00564C8F"/>
    <w:rsid w:val="00573175"/>
    <w:rsid w:val="005A1CE1"/>
    <w:rsid w:val="005A4EB9"/>
    <w:rsid w:val="005A7BDE"/>
    <w:rsid w:val="005B6B95"/>
    <w:rsid w:val="005B7881"/>
    <w:rsid w:val="005B7A58"/>
    <w:rsid w:val="005E3D61"/>
    <w:rsid w:val="0060263A"/>
    <w:rsid w:val="00611550"/>
    <w:rsid w:val="006129D0"/>
    <w:rsid w:val="00613C8F"/>
    <w:rsid w:val="0063141B"/>
    <w:rsid w:val="00631DB9"/>
    <w:rsid w:val="00632BA1"/>
    <w:rsid w:val="0064425C"/>
    <w:rsid w:val="00665270"/>
    <w:rsid w:val="00680C14"/>
    <w:rsid w:val="00683D5E"/>
    <w:rsid w:val="006940AB"/>
    <w:rsid w:val="00695E58"/>
    <w:rsid w:val="006B50DE"/>
    <w:rsid w:val="006B700A"/>
    <w:rsid w:val="006D2F9B"/>
    <w:rsid w:val="006E6005"/>
    <w:rsid w:val="006E7726"/>
    <w:rsid w:val="006F0F08"/>
    <w:rsid w:val="00723796"/>
    <w:rsid w:val="00744B48"/>
    <w:rsid w:val="0075107A"/>
    <w:rsid w:val="00752CFB"/>
    <w:rsid w:val="00755026"/>
    <w:rsid w:val="00756340"/>
    <w:rsid w:val="00767507"/>
    <w:rsid w:val="00775825"/>
    <w:rsid w:val="00781971"/>
    <w:rsid w:val="00792F68"/>
    <w:rsid w:val="007A40CE"/>
    <w:rsid w:val="007D7948"/>
    <w:rsid w:val="00805248"/>
    <w:rsid w:val="00813580"/>
    <w:rsid w:val="00827F51"/>
    <w:rsid w:val="008315B3"/>
    <w:rsid w:val="008341A1"/>
    <w:rsid w:val="00837016"/>
    <w:rsid w:val="00840022"/>
    <w:rsid w:val="008557BE"/>
    <w:rsid w:val="00864F5C"/>
    <w:rsid w:val="008651E9"/>
    <w:rsid w:val="008673A3"/>
    <w:rsid w:val="0086799A"/>
    <w:rsid w:val="00873901"/>
    <w:rsid w:val="00875C59"/>
    <w:rsid w:val="008865AA"/>
    <w:rsid w:val="008901C6"/>
    <w:rsid w:val="008918A6"/>
    <w:rsid w:val="008C2EBB"/>
    <w:rsid w:val="008D57B4"/>
    <w:rsid w:val="008E707E"/>
    <w:rsid w:val="0091360D"/>
    <w:rsid w:val="00935B0B"/>
    <w:rsid w:val="00943DCC"/>
    <w:rsid w:val="0094640D"/>
    <w:rsid w:val="00956793"/>
    <w:rsid w:val="00957AEC"/>
    <w:rsid w:val="00965B9E"/>
    <w:rsid w:val="00971B7E"/>
    <w:rsid w:val="009903C6"/>
    <w:rsid w:val="00994BCB"/>
    <w:rsid w:val="00997A0E"/>
    <w:rsid w:val="009A6C40"/>
    <w:rsid w:val="009B22E9"/>
    <w:rsid w:val="009C3146"/>
    <w:rsid w:val="009D1EC4"/>
    <w:rsid w:val="009F3996"/>
    <w:rsid w:val="00A2273F"/>
    <w:rsid w:val="00A251B8"/>
    <w:rsid w:val="00A27284"/>
    <w:rsid w:val="00A41155"/>
    <w:rsid w:val="00A52E57"/>
    <w:rsid w:val="00A75802"/>
    <w:rsid w:val="00A9408D"/>
    <w:rsid w:val="00AA645A"/>
    <w:rsid w:val="00AC3EA1"/>
    <w:rsid w:val="00AD4F40"/>
    <w:rsid w:val="00AF327E"/>
    <w:rsid w:val="00B02CA5"/>
    <w:rsid w:val="00B11E1D"/>
    <w:rsid w:val="00B17BCD"/>
    <w:rsid w:val="00B268F9"/>
    <w:rsid w:val="00B453C8"/>
    <w:rsid w:val="00B55C27"/>
    <w:rsid w:val="00B67AEC"/>
    <w:rsid w:val="00B879D0"/>
    <w:rsid w:val="00B9538C"/>
    <w:rsid w:val="00BA0841"/>
    <w:rsid w:val="00BB30BB"/>
    <w:rsid w:val="00BB480E"/>
    <w:rsid w:val="00BB7856"/>
    <w:rsid w:val="00BD7F21"/>
    <w:rsid w:val="00BF43DA"/>
    <w:rsid w:val="00C002CA"/>
    <w:rsid w:val="00C07620"/>
    <w:rsid w:val="00C10421"/>
    <w:rsid w:val="00C32206"/>
    <w:rsid w:val="00C35228"/>
    <w:rsid w:val="00C35B95"/>
    <w:rsid w:val="00C40D5F"/>
    <w:rsid w:val="00C718AB"/>
    <w:rsid w:val="00C72949"/>
    <w:rsid w:val="00C83712"/>
    <w:rsid w:val="00C90F6E"/>
    <w:rsid w:val="00CA2C35"/>
    <w:rsid w:val="00CA56AE"/>
    <w:rsid w:val="00CB0091"/>
    <w:rsid w:val="00CB6E88"/>
    <w:rsid w:val="00CC1510"/>
    <w:rsid w:val="00CC23ED"/>
    <w:rsid w:val="00CD60AE"/>
    <w:rsid w:val="00CD6EE3"/>
    <w:rsid w:val="00D24AB6"/>
    <w:rsid w:val="00D30EAD"/>
    <w:rsid w:val="00D414AC"/>
    <w:rsid w:val="00D501F7"/>
    <w:rsid w:val="00D54447"/>
    <w:rsid w:val="00D5679D"/>
    <w:rsid w:val="00D65B61"/>
    <w:rsid w:val="00D84E1D"/>
    <w:rsid w:val="00D94F4A"/>
    <w:rsid w:val="00DC11B3"/>
    <w:rsid w:val="00DC2E00"/>
    <w:rsid w:val="00DD5C14"/>
    <w:rsid w:val="00DE6233"/>
    <w:rsid w:val="00E229AE"/>
    <w:rsid w:val="00E24061"/>
    <w:rsid w:val="00E24CAE"/>
    <w:rsid w:val="00E24DC6"/>
    <w:rsid w:val="00E37719"/>
    <w:rsid w:val="00E4666D"/>
    <w:rsid w:val="00E57CD2"/>
    <w:rsid w:val="00E61833"/>
    <w:rsid w:val="00E64C72"/>
    <w:rsid w:val="00E661C9"/>
    <w:rsid w:val="00E71919"/>
    <w:rsid w:val="00E71F8D"/>
    <w:rsid w:val="00E73CDD"/>
    <w:rsid w:val="00E77B2E"/>
    <w:rsid w:val="00E81A71"/>
    <w:rsid w:val="00E8336F"/>
    <w:rsid w:val="00E96E7B"/>
    <w:rsid w:val="00EA120F"/>
    <w:rsid w:val="00ED576F"/>
    <w:rsid w:val="00EF11B7"/>
    <w:rsid w:val="00EF19AF"/>
    <w:rsid w:val="00EF4848"/>
    <w:rsid w:val="00F05F0A"/>
    <w:rsid w:val="00F07AA7"/>
    <w:rsid w:val="00F143B5"/>
    <w:rsid w:val="00F20047"/>
    <w:rsid w:val="00F2106B"/>
    <w:rsid w:val="00F40B7C"/>
    <w:rsid w:val="00F53F06"/>
    <w:rsid w:val="00F65838"/>
    <w:rsid w:val="00F73913"/>
    <w:rsid w:val="00FA5B22"/>
    <w:rsid w:val="00FB00D9"/>
    <w:rsid w:val="00FB63D0"/>
    <w:rsid w:val="00FB76D9"/>
    <w:rsid w:val="00FD318C"/>
    <w:rsid w:val="00FE0E34"/>
    <w:rsid w:val="00FE240B"/>
    <w:rsid w:val="00FE2C98"/>
    <w:rsid w:val="00FF28A8"/>
    <w:rsid w:val="00FF7EFA"/>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yperlink" Target="mailto:Brandon.l.sams@gmail.com" TargetMode="External"/><Relationship Id="rId9" Type="http://schemas.openxmlformats.org/officeDocument/2006/relationships/hyperlink" Target="http://www.auburn.edu/studentpolicies" TargetMode="External"/><Relationship Id="rId10" Type="http://schemas.openxmlformats.org/officeDocument/2006/relationships/hyperlink" Target="https://owl.english.purdue.edu/owl/resource/6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1917</Words>
  <Characters>10354</Characters>
  <Application>Microsoft Macintosh Word</Application>
  <DocSecurity>0</DocSecurity>
  <Lines>132</Lines>
  <Paragraphs>15</Paragraphs>
  <ScaleCrop>false</ScaleCrop>
  <Company>UNC-Chapel Hill</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4</cp:revision>
  <cp:lastPrinted>2015-05-26T17:46:00Z</cp:lastPrinted>
  <dcterms:created xsi:type="dcterms:W3CDTF">2015-05-26T17:26:00Z</dcterms:created>
  <dcterms:modified xsi:type="dcterms:W3CDTF">2015-06-30T19:13:00Z</dcterms:modified>
</cp:coreProperties>
</file>