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7C2F74E" w:rsidR="006E1D9E" w:rsidRPr="006E1D9E" w:rsidRDefault="00A54FD2" w:rsidP="006E1D9E">
      <w:pPr>
        <w:pStyle w:val="Default"/>
        <w:jc w:val="center"/>
        <w:rPr>
          <w:color w:val="003366"/>
          <w:sz w:val="32"/>
          <w:szCs w:val="32"/>
        </w:rPr>
      </w:pPr>
      <w:r>
        <w:rPr>
          <w:color w:val="003366"/>
          <w:sz w:val="32"/>
          <w:szCs w:val="32"/>
        </w:rPr>
        <w:t xml:space="preserve">Dr. </w:t>
      </w:r>
      <w:r w:rsidR="003B4179">
        <w:rPr>
          <w:color w:val="003366"/>
          <w:sz w:val="32"/>
          <w:szCs w:val="32"/>
        </w:rPr>
        <w:t>Aimee Torres</w:t>
      </w:r>
    </w:p>
    <w:p w14:paraId="4EF6E28A" w14:textId="7FF16D14" w:rsidR="006E1D9E" w:rsidRDefault="003B4179" w:rsidP="006E1D9E">
      <w:pPr>
        <w:pStyle w:val="Default"/>
        <w:jc w:val="center"/>
        <w:rPr>
          <w:rStyle w:val="Hyperlink"/>
          <w:color w:val="003366"/>
          <w:sz w:val="32"/>
          <w:szCs w:val="32"/>
        </w:rPr>
      </w:pPr>
      <w:hyperlink r:id="rId9" w:history="1">
        <w:r w:rsidRPr="00B24B7A">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2B9E2CD" w:rsidR="005F4939" w:rsidRDefault="005C1D3F" w:rsidP="0024050D">
      <w:pPr>
        <w:pStyle w:val="Default"/>
        <w:jc w:val="center"/>
        <w:rPr>
          <w:color w:val="003366"/>
          <w:sz w:val="28"/>
          <w:szCs w:val="32"/>
        </w:rPr>
      </w:pPr>
      <w:r>
        <w:rPr>
          <w:color w:val="003366"/>
          <w:sz w:val="28"/>
          <w:szCs w:val="32"/>
        </w:rPr>
        <w:t xml:space="preserve">Tuesday </w:t>
      </w:r>
      <w:r w:rsidR="003B4179">
        <w:rPr>
          <w:color w:val="003366"/>
          <w:sz w:val="28"/>
          <w:szCs w:val="32"/>
        </w:rPr>
        <w:t>2:00</w:t>
      </w:r>
      <w:r>
        <w:rPr>
          <w:color w:val="003366"/>
          <w:sz w:val="28"/>
          <w:szCs w:val="32"/>
        </w:rPr>
        <w:t xml:space="preserve"> </w:t>
      </w:r>
      <w:r w:rsidR="003B4179">
        <w:rPr>
          <w:color w:val="003366"/>
          <w:sz w:val="28"/>
          <w:szCs w:val="32"/>
        </w:rPr>
        <w:t>p</w:t>
      </w:r>
      <w:r w:rsidR="00B03910">
        <w:rPr>
          <w:color w:val="003366"/>
          <w:sz w:val="28"/>
          <w:szCs w:val="32"/>
        </w:rPr>
        <w:t xml:space="preserve">m </w:t>
      </w:r>
      <w:r>
        <w:rPr>
          <w:color w:val="003366"/>
          <w:sz w:val="28"/>
          <w:szCs w:val="32"/>
        </w:rPr>
        <w:t xml:space="preserve">– </w:t>
      </w:r>
      <w:r w:rsidR="003B4179">
        <w:rPr>
          <w:color w:val="003366"/>
          <w:sz w:val="28"/>
          <w:szCs w:val="32"/>
        </w:rPr>
        <w:t>3:00</w:t>
      </w:r>
      <w:r>
        <w:rPr>
          <w:color w:val="003366"/>
          <w:sz w:val="28"/>
          <w:szCs w:val="32"/>
        </w:rPr>
        <w:t xml:space="preserve"> pm</w:t>
      </w:r>
    </w:p>
    <w:p w14:paraId="21562F21" w14:textId="403D13E8" w:rsidR="00B03910" w:rsidRDefault="00B03910" w:rsidP="0024050D">
      <w:pPr>
        <w:pStyle w:val="Default"/>
        <w:jc w:val="center"/>
        <w:rPr>
          <w:color w:val="003366"/>
          <w:sz w:val="28"/>
          <w:szCs w:val="32"/>
        </w:rPr>
      </w:pPr>
      <w:r>
        <w:rPr>
          <w:color w:val="003366"/>
          <w:sz w:val="28"/>
          <w:szCs w:val="32"/>
        </w:rPr>
        <w:t xml:space="preserve">Thursday </w:t>
      </w:r>
      <w:r w:rsidR="003B4179">
        <w:rPr>
          <w:color w:val="003366"/>
          <w:sz w:val="28"/>
          <w:szCs w:val="32"/>
        </w:rPr>
        <w:t>2:00 p</w:t>
      </w:r>
      <w:r>
        <w:rPr>
          <w:color w:val="003366"/>
          <w:sz w:val="28"/>
          <w:szCs w:val="32"/>
        </w:rPr>
        <w:t xml:space="preserve">m – </w:t>
      </w:r>
      <w:r w:rsidR="003B417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4E901BA0" w:rsidR="00762887" w:rsidRDefault="001400D5" w:rsidP="00532670">
            <w:pPr>
              <w:rPr>
                <w:rFonts w:ascii="Arial" w:hAnsi="Arial" w:cs="Arial"/>
                <w:sz w:val="20"/>
                <w:szCs w:val="20"/>
              </w:rPr>
            </w:pPr>
            <w:r>
              <w:rPr>
                <w:rFonts w:ascii="Arial" w:hAnsi="Arial" w:cs="Arial"/>
                <w:sz w:val="20"/>
                <w:szCs w:val="20"/>
              </w:rPr>
              <w:t>Room 2</w:t>
            </w:r>
            <w:r w:rsidR="003B4179">
              <w:rPr>
                <w:rFonts w:ascii="Arial" w:hAnsi="Arial" w:cs="Arial"/>
                <w:sz w:val="20"/>
                <w:szCs w:val="20"/>
              </w:rPr>
              <w:t>424</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3B4179">
              <w:rPr>
                <w:rFonts w:ascii="Arial" w:hAnsi="Arial" w:cs="Arial"/>
                <w:sz w:val="20"/>
                <w:szCs w:val="20"/>
              </w:rPr>
              <w:t>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067A8DB0"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Dr. </w:t>
            </w:r>
            <w:r w:rsidR="003B4179">
              <w:rPr>
                <w:rFonts w:ascii="Arial" w:hAnsi="Arial" w:cs="Arial"/>
                <w:sz w:val="20"/>
                <w:szCs w:val="20"/>
              </w:rPr>
              <w:t>Aimee Torres</w:t>
            </w:r>
          </w:p>
          <w:p w14:paraId="7BA3B1A6" w14:textId="2BE9C17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B417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4480CA69"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Tuesday </w:t>
            </w:r>
            <w:r w:rsidR="003B4179">
              <w:rPr>
                <w:rFonts w:ascii="Arial" w:hAnsi="Arial" w:cs="Arial"/>
                <w:sz w:val="20"/>
                <w:szCs w:val="20"/>
              </w:rPr>
              <w:t>2:00 pm</w:t>
            </w:r>
            <w:r w:rsidR="00EC2AFE">
              <w:rPr>
                <w:rFonts w:ascii="Arial" w:hAnsi="Arial" w:cs="Arial"/>
                <w:sz w:val="20"/>
                <w:szCs w:val="20"/>
              </w:rPr>
              <w:t xml:space="preserve"> </w:t>
            </w:r>
            <w:r w:rsidRPr="00ED7ECD">
              <w:rPr>
                <w:rFonts w:ascii="Arial" w:hAnsi="Arial" w:cs="Arial"/>
                <w:sz w:val="20"/>
                <w:szCs w:val="20"/>
              </w:rPr>
              <w:t xml:space="preserve">– </w:t>
            </w:r>
            <w:r w:rsidR="003B4179">
              <w:rPr>
                <w:rFonts w:ascii="Arial" w:hAnsi="Arial" w:cs="Arial"/>
                <w:sz w:val="20"/>
                <w:szCs w:val="20"/>
              </w:rPr>
              <w:t>3:00</w:t>
            </w:r>
            <w:r w:rsidRPr="00ED7ECD">
              <w:rPr>
                <w:rFonts w:ascii="Arial" w:hAnsi="Arial" w:cs="Arial"/>
                <w:sz w:val="20"/>
                <w:szCs w:val="20"/>
              </w:rPr>
              <w:t xml:space="preserve"> pm</w:t>
            </w:r>
          </w:p>
          <w:p w14:paraId="6A796F6A" w14:textId="60486E4D"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Thursday </w:t>
            </w:r>
            <w:r w:rsidR="003B4179">
              <w:rPr>
                <w:rFonts w:ascii="Arial" w:hAnsi="Arial" w:cs="Arial"/>
                <w:sz w:val="20"/>
                <w:szCs w:val="20"/>
              </w:rPr>
              <w:t>2:00 pm</w:t>
            </w:r>
            <w:r w:rsidRPr="00ED7ECD">
              <w:rPr>
                <w:rFonts w:ascii="Arial" w:hAnsi="Arial" w:cs="Arial"/>
                <w:sz w:val="20"/>
                <w:szCs w:val="20"/>
              </w:rPr>
              <w:t xml:space="preserve"> – </w:t>
            </w:r>
            <w:r w:rsidR="003B4179">
              <w:rPr>
                <w:rFonts w:ascii="Arial" w:hAnsi="Arial" w:cs="Arial"/>
                <w:sz w:val="20"/>
                <w:szCs w:val="20"/>
              </w:rPr>
              <w:t>3:00</w:t>
            </w:r>
            <w:r w:rsidRPr="00ED7ECD">
              <w:rPr>
                <w:rFonts w:ascii="Arial" w:hAnsi="Arial" w:cs="Arial"/>
                <w:sz w:val="20"/>
                <w:szCs w:val="20"/>
              </w:rPr>
              <w:t xml:space="preserve"> pm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Manning, (AUBURN UNIVERSITY) CTCT 3250: MHHE DIRECT ECOMM SIMnet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r w:rsidR="000F25BE">
        <w:rPr>
          <w:rFonts w:ascii="Arial" w:hAnsi="Arial" w:cs="Arial"/>
          <w:sz w:val="20"/>
          <w:szCs w:val="20"/>
        </w:rPr>
        <w:t>SIMnet</w:t>
      </w:r>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sidR="000F25BE">
        <w:rPr>
          <w:rFonts w:ascii="Arial" w:hAnsi="Arial" w:cs="Arial"/>
          <w:sz w:val="20"/>
          <w:szCs w:val="20"/>
        </w:rPr>
        <w:t>SIMnet</w:t>
      </w:r>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129668D1"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042738">
        <w:rPr>
          <w:rFonts w:ascii="Arial" w:hAnsi="Arial" w:cs="Arial"/>
          <w:b/>
          <w:sz w:val="20"/>
          <w:szCs w:val="20"/>
          <w:highlight w:val="yellow"/>
        </w:rPr>
        <w:t>DO3</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r w:rsidR="000F25BE">
              <w:rPr>
                <w:rFonts w:ascii="Arial" w:hAnsi="Arial" w:cs="Arial"/>
                <w:sz w:val="20"/>
              </w:rPr>
              <w:t>SIMnet</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54706141" w:rsidR="002B4A4D" w:rsidRPr="002B4A4D" w:rsidRDefault="00A91E74" w:rsidP="002B4A4D">
            <w:pPr>
              <w:rPr>
                <w:rFonts w:ascii="Arial" w:hAnsi="Arial" w:cs="Arial"/>
                <w:sz w:val="20"/>
              </w:rPr>
            </w:pPr>
            <w:r>
              <w:rPr>
                <w:rFonts w:ascii="Arial" w:hAnsi="Arial" w:cs="Arial"/>
                <w:sz w:val="20"/>
              </w:rPr>
              <w:t>2</w:t>
            </w:r>
            <w:r w:rsidR="002B4A4D">
              <w:rPr>
                <w:rFonts w:ascii="Arial" w:hAnsi="Arial" w:cs="Arial"/>
                <w:sz w:val="20"/>
              </w:rPr>
              <w:t xml:space="preserve">.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701A71DC" w:rsidR="003B2F62" w:rsidRDefault="00A91E74" w:rsidP="003B2F62">
            <w:pPr>
              <w:rPr>
                <w:rFonts w:ascii="Arial" w:hAnsi="Arial" w:cs="Arial"/>
                <w:b/>
                <w:sz w:val="20"/>
              </w:rPr>
            </w:pPr>
            <w:r>
              <w:rPr>
                <w:rFonts w:ascii="Arial" w:hAnsi="Arial" w:cs="Arial"/>
                <w:sz w:val="20"/>
              </w:rPr>
              <w:t>2</w:t>
            </w:r>
            <w:r w:rsidR="00307575">
              <w:rPr>
                <w:rFonts w:ascii="Arial" w:hAnsi="Arial" w:cs="Arial"/>
                <w:sz w:val="20"/>
              </w:rPr>
              <w:t xml:space="preserve">. Group Discussion 2 – </w:t>
            </w:r>
            <w:r w:rsidR="00307575"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lastRenderedPageBreak/>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019144F1"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Due Sunday, November 2</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 xml:space="preserve">Email is the preferred method of communication for this course, as it ensures </w:t>
      </w:r>
      <w:r w:rsidRPr="00CA7186">
        <w:rPr>
          <w:rStyle w:val="1"/>
          <w:sz w:val="20"/>
        </w:rPr>
        <w:lastRenderedPageBreak/>
        <w:t>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w:t>
      </w:r>
      <w:r w:rsidRPr="006E58CB">
        <w:rPr>
          <w:sz w:val="20"/>
        </w:rPr>
        <w:lastRenderedPageBreak/>
        <w:t xml:space="preserve">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738"/>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6752A"/>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B4179"/>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1E74"/>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19891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4</cp:revision>
  <cp:lastPrinted>2021-04-29T19:59:00Z</cp:lastPrinted>
  <dcterms:created xsi:type="dcterms:W3CDTF">2025-08-06T00:02:00Z</dcterms:created>
  <dcterms:modified xsi:type="dcterms:W3CDTF">2025-08-06T00:08:00Z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