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8" w:rsidRPr="00AD6E9A" w:rsidRDefault="00534C2E" w:rsidP="00AD6E9A">
      <w:pPr>
        <w:spacing w:after="60" w:line="240" w:lineRule="auto"/>
        <w:jc w:val="center"/>
        <w:rPr>
          <w:color w:val="2E74B5" w:themeColor="accent1" w:themeShade="BF"/>
          <w:sz w:val="28"/>
          <w:szCs w:val="28"/>
        </w:rPr>
      </w:pPr>
      <w:bookmarkStart w:id="0" w:name="_GoBack"/>
      <w:bookmarkEnd w:id="0"/>
      <w:r w:rsidRPr="00AD6E9A">
        <w:rPr>
          <w:color w:val="2E74B5" w:themeColor="accent1" w:themeShade="BF"/>
          <w:sz w:val="28"/>
          <w:szCs w:val="28"/>
        </w:rPr>
        <w:t>Guidelines for Pro Forma Budget for New Academic Programs</w:t>
      </w:r>
    </w:p>
    <w:p w:rsidR="00534C2E" w:rsidRDefault="00534C2E" w:rsidP="00534C2E">
      <w:pPr>
        <w:spacing w:after="60" w:line="240" w:lineRule="auto"/>
      </w:pPr>
    </w:p>
    <w:p w:rsidR="00534C2E" w:rsidRDefault="00534C2E" w:rsidP="00AD6E9A">
      <w:pPr>
        <w:spacing w:after="120" w:line="240" w:lineRule="auto"/>
      </w:pPr>
      <w:r>
        <w:t>All requests for new academic programs (certificate, online, undergraduate, graduate) must include a pro forma budget.  The guidelines below were developed to establish a common set of assumptions for completing the pro forma budget using the long-term scenario-planning tool. This pro forma budget will also accompany any documentation submitted to the Alabama Commission on Higher Education (ACHE) and/or the AU Board of Trustees.</w:t>
      </w:r>
    </w:p>
    <w:p w:rsidR="00534C2E" w:rsidRDefault="00534C2E" w:rsidP="00AD6E9A">
      <w:pPr>
        <w:spacing w:after="120" w:line="240" w:lineRule="auto"/>
      </w:pPr>
      <w:r>
        <w:t>NOTE: When using the long-term scenario-planning tool, only new students, faculty, space, and expenses should be included:</w:t>
      </w:r>
    </w:p>
    <w:p w:rsidR="00534C2E" w:rsidRPr="00AD6E9A" w:rsidRDefault="00534C2E" w:rsidP="00AD6E9A">
      <w:pPr>
        <w:spacing w:after="120" w:line="240" w:lineRule="auto"/>
        <w:rPr>
          <w:color w:val="2E74B5" w:themeColor="accent1" w:themeShade="BF"/>
        </w:rPr>
      </w:pPr>
      <w:r w:rsidRPr="00AD6E9A">
        <w:rPr>
          <w:color w:val="2E74B5" w:themeColor="accent1" w:themeShade="BF"/>
        </w:rPr>
        <w:t>Revenue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We are going to present total projected expenses and supporting revenues, tied to the budget model. In the scenario-planning tool, select the fiscal year in which the requested program will begin.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We will use your projected enrollment numbers and your projected number of new faculty and graduate assistantships, if any, to populate the scenario-planning tool.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Allocated tuition and state appropriation revenues will be based on the following assumptions: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Enrollment will be split 60% resident and 40% non-resident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Undergraduate and Master’s students in the program will take 30 credit hours per academic/fiscal year. Please disclose the number of credit hours per student per academic/fiscal year for doctoral, online, and certificate programs.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For undergraduate programs, program faculty, on average, will teach one-third of the credit hours taken. For graduate programs, program faculty will teach all of the credit hours taken.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Direct Revenues such as differential tuition/course fees and distance learning fees will be calculated based on your projected enrollment numbers and proposed fee structure, if different from the published AU schedule of tuition and fees.</w:t>
      </w:r>
    </w:p>
    <w:p w:rsidR="00534C2E" w:rsidRPr="00AD6E9A" w:rsidRDefault="00534C2E" w:rsidP="00AD6E9A">
      <w:pPr>
        <w:spacing w:after="120" w:line="240" w:lineRule="auto"/>
        <w:rPr>
          <w:color w:val="2E74B5" w:themeColor="accent1" w:themeShade="BF"/>
        </w:rPr>
      </w:pPr>
      <w:r w:rsidRPr="00AD6E9A">
        <w:rPr>
          <w:color w:val="2E74B5" w:themeColor="accent1" w:themeShade="BF"/>
        </w:rPr>
        <w:t>Expenses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We will make the following assumptions about any new employees: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New faculty will start at a salary equal to the average salary for his or her rank in that department in 2017-18, with a benefit rate equal to the current AU Fixed Fringe Benefit rate.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New non-faculty employees will start at a salary equal to the midpoint of the salary scale published for that job description, with a benefit rate equal to the current AU Fixed Fringe Benefit rate.</w:t>
      </w:r>
    </w:p>
    <w:p w:rsidR="00534C2E" w:rsidRDefault="00534C2E" w:rsidP="00AD6E9A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</w:pPr>
      <w:r>
        <w:t>After Year 1, this person’s salary and benefits will inflate by 3% annually.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Non-personnel expenses should include additional square footage for office/lab space (classroom space is allocated for the Provost); travel; expendable office and lab supplies; and technology.</w:t>
      </w:r>
    </w:p>
    <w:p w:rsidR="00534C2E" w:rsidRDefault="00534C2E" w:rsidP="00AD6E9A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Central Unit Allocations and contribution to the University’s Mission Enhancement Fund will automatically calculate based on the inputs above.</w:t>
      </w:r>
    </w:p>
    <w:p w:rsidR="00534C2E" w:rsidRDefault="00534C2E" w:rsidP="00AD6E9A">
      <w:pPr>
        <w:spacing w:after="120" w:line="240" w:lineRule="auto"/>
      </w:pPr>
    </w:p>
    <w:sectPr w:rsidR="00534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CE4"/>
    <w:multiLevelType w:val="hybridMultilevel"/>
    <w:tmpl w:val="636E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933"/>
    <w:multiLevelType w:val="hybridMultilevel"/>
    <w:tmpl w:val="47E45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611B7"/>
    <w:multiLevelType w:val="hybridMultilevel"/>
    <w:tmpl w:val="84C64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2E"/>
    <w:rsid w:val="00393D22"/>
    <w:rsid w:val="00534C2E"/>
    <w:rsid w:val="00A053C8"/>
    <w:rsid w:val="00A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F3486-80E5-42B5-91EE-9C838D39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D048-C5B7-411F-BDD1-CC8DAD82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Mayo</dc:creator>
  <cp:keywords/>
  <dc:description/>
  <cp:lastModifiedBy>Tammy Mayo</cp:lastModifiedBy>
  <cp:revision>2</cp:revision>
  <dcterms:created xsi:type="dcterms:W3CDTF">2020-01-16T19:26:00Z</dcterms:created>
  <dcterms:modified xsi:type="dcterms:W3CDTF">2020-01-16T19:26:00Z</dcterms:modified>
</cp:coreProperties>
</file>