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86" w:rsidRPr="00CE2186" w:rsidRDefault="00CE2186" w:rsidP="00CE2186">
      <w:pPr>
        <w:widowControl w:val="0"/>
        <w:spacing w:after="0" w:line="240" w:lineRule="auto"/>
        <w:jc w:val="right"/>
        <w:rPr>
          <w:rFonts w:ascii="Calibri" w:eastAsia="Times New Roman" w:hAnsi="Calibri" w:cs="Arial"/>
          <w:b/>
          <w:i/>
          <w:snapToGrid w:val="0"/>
          <w:color w:val="DA5800"/>
          <w:sz w:val="36"/>
          <w:szCs w:val="26"/>
        </w:rPr>
      </w:pPr>
      <w:r>
        <w:rPr>
          <w:rFonts w:ascii="Calibri" w:eastAsia="Times New Roman" w:hAnsi="Calibri" w:cs="Times New Roman"/>
          <w:noProof/>
          <w:color w:val="DA58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-72390</wp:posOffset>
            </wp:positionV>
            <wp:extent cx="1771650" cy="474980"/>
            <wp:effectExtent l="0" t="0" r="0" b="1270"/>
            <wp:wrapSquare wrapText="bothSides"/>
            <wp:docPr id="1" name="Picture 1" descr="AUwordmar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wordmark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186">
        <w:rPr>
          <w:rFonts w:ascii="Calibri" w:eastAsia="Times New Roman" w:hAnsi="Calibri" w:cs="Arial"/>
          <w:b/>
          <w:i/>
          <w:snapToGrid w:val="0"/>
          <w:color w:val="DA5800"/>
          <w:sz w:val="36"/>
          <w:szCs w:val="26"/>
        </w:rPr>
        <w:t>Good to Know!</w:t>
      </w:r>
    </w:p>
    <w:p w:rsidR="00CE2186" w:rsidRPr="00CE2186" w:rsidRDefault="00CE2186" w:rsidP="00CE2186">
      <w:pPr>
        <w:widowControl w:val="0"/>
        <w:spacing w:after="0" w:line="240" w:lineRule="auto"/>
        <w:jc w:val="right"/>
        <w:rPr>
          <w:rFonts w:ascii="Calibri" w:eastAsia="Times New Roman" w:hAnsi="Calibri" w:cs="Arial"/>
          <w:snapToGrid w:val="0"/>
          <w:sz w:val="20"/>
          <w:szCs w:val="20"/>
        </w:rPr>
      </w:pPr>
      <w:r w:rsidRPr="00CE2186">
        <w:rPr>
          <w:rFonts w:ascii="Calibri" w:eastAsia="Times New Roman" w:hAnsi="Calibri" w:cs="Arial"/>
          <w:snapToGrid w:val="0"/>
          <w:sz w:val="20"/>
          <w:szCs w:val="20"/>
        </w:rPr>
        <w:t>Issue 11.17.14</w:t>
      </w:r>
    </w:p>
    <w:p w:rsidR="00CE2186" w:rsidRPr="00CE2186" w:rsidRDefault="00CE2186" w:rsidP="00CE2186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  <w:smallCaps/>
          <w:snapToGrid w:val="0"/>
          <w:color w:val="DA5800"/>
          <w:sz w:val="24"/>
          <w:szCs w:val="24"/>
        </w:rPr>
      </w:pPr>
      <w:r w:rsidRPr="00CE2186">
        <w:rPr>
          <w:rFonts w:ascii="Calibri" w:eastAsia="Times New Roman" w:hAnsi="Calibri" w:cs="Arial"/>
          <w:b/>
          <w:smallCaps/>
          <w:snapToGrid w:val="0"/>
          <w:color w:val="DA5800"/>
          <w:sz w:val="24"/>
          <w:szCs w:val="24"/>
        </w:rPr>
        <w:t xml:space="preserve">FLSA </w:t>
      </w:r>
    </w:p>
    <w:p w:rsidR="00CE2186" w:rsidRPr="00CE2186" w:rsidRDefault="00CE2186" w:rsidP="00CE2186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  <w:snapToGrid w:val="0"/>
          <w:color w:val="DA5800"/>
          <w:sz w:val="24"/>
          <w:szCs w:val="24"/>
        </w:rPr>
      </w:pPr>
      <w:r w:rsidRPr="00CE2186">
        <w:rPr>
          <w:rFonts w:ascii="Calibri" w:eastAsia="Times New Roman" w:hAnsi="Calibri" w:cs="Arial"/>
          <w:b/>
          <w:snapToGrid w:val="0"/>
          <w:color w:val="DA5800"/>
          <w:sz w:val="24"/>
          <w:szCs w:val="24"/>
        </w:rPr>
        <w:t>Definitions for Administering</w:t>
      </w:r>
    </w:p>
    <w:p w:rsidR="00CE2186" w:rsidRPr="00CE2186" w:rsidRDefault="00CE2186" w:rsidP="00CE2186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color w:val="17365D"/>
          <w:sz w:val="24"/>
          <w:szCs w:val="24"/>
          <w:lang w:val="en"/>
        </w:rPr>
      </w:pPr>
      <w:r w:rsidRPr="00CE2186">
        <w:rPr>
          <w:rFonts w:ascii="Calibri" w:eastAsia="Times New Roman" w:hAnsi="Calibri" w:cs="Times New Roman"/>
          <w:b/>
          <w:color w:val="17365D"/>
          <w:sz w:val="24"/>
          <w:szCs w:val="24"/>
          <w:lang w:val="en"/>
        </w:rPr>
        <w:t>University Staff (non-exempt) Business Travel</w:t>
      </w:r>
    </w:p>
    <w:p w:rsidR="00CE2186" w:rsidRPr="00CE2186" w:rsidRDefault="00CE2186" w:rsidP="00CE218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Calibri" w:eastAsia="Times New Roman" w:hAnsi="Calibri" w:cs="Arial"/>
          <w:b/>
        </w:rPr>
      </w:pPr>
    </w:p>
    <w:p w:rsidR="00CE2186" w:rsidRPr="00CE2186" w:rsidRDefault="00CE2186" w:rsidP="00CE2186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</w:rPr>
      </w:pPr>
      <w:r w:rsidRPr="00CE2186">
        <w:rPr>
          <w:rFonts w:ascii="Calibri" w:eastAsia="Times New Roman" w:hAnsi="Calibri" w:cs="Arial"/>
          <w:b/>
          <w:color w:val="17365D"/>
        </w:rPr>
        <w:t>Regular Working Days</w:t>
      </w:r>
      <w:r w:rsidRPr="00CE2186">
        <w:rPr>
          <w:rFonts w:ascii="Calibri" w:eastAsia="Times New Roman" w:hAnsi="Calibri" w:cs="Arial"/>
        </w:rPr>
        <w:t>:  The employee’s regularly scheduled working days; typically Monday through Friday, or, as otherwise practiced in the work unit.</w:t>
      </w:r>
    </w:p>
    <w:p w:rsidR="00CE2186" w:rsidRPr="00CE2186" w:rsidRDefault="00CE2186" w:rsidP="00CE2186">
      <w:pPr>
        <w:spacing w:after="0" w:line="240" w:lineRule="auto"/>
        <w:rPr>
          <w:rFonts w:ascii="Calibri" w:eastAsia="Times New Roman" w:hAnsi="Calibri" w:cs="Arial"/>
        </w:rPr>
      </w:pPr>
    </w:p>
    <w:p w:rsidR="00CE2186" w:rsidRPr="00CE2186" w:rsidRDefault="00CE2186" w:rsidP="00CE2186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</w:rPr>
      </w:pPr>
      <w:r w:rsidRPr="00CE2186">
        <w:rPr>
          <w:rFonts w:ascii="Calibri" w:eastAsia="Times New Roman" w:hAnsi="Calibri" w:cs="Arial"/>
          <w:b/>
          <w:color w:val="17365D"/>
        </w:rPr>
        <w:t>Regular Working Hours</w:t>
      </w:r>
      <w:r w:rsidRPr="00CE2186">
        <w:rPr>
          <w:rFonts w:ascii="Calibri" w:eastAsia="Times New Roman" w:hAnsi="Calibri" w:cs="Arial"/>
        </w:rPr>
        <w:t>:  The employee’s regularly scheduled working hours, typically 7:45 a.m. through 4:45 p.m., or, as otherwise practiced in the work unit.</w:t>
      </w:r>
    </w:p>
    <w:p w:rsidR="00CE2186" w:rsidRPr="00CE2186" w:rsidRDefault="00CE2186" w:rsidP="00CE2186">
      <w:pPr>
        <w:spacing w:after="0" w:line="240" w:lineRule="auto"/>
        <w:rPr>
          <w:rFonts w:ascii="Calibri" w:eastAsia="Times New Roman" w:hAnsi="Calibri" w:cs="Arial"/>
        </w:rPr>
      </w:pPr>
    </w:p>
    <w:p w:rsidR="00CE2186" w:rsidRPr="00CE2186" w:rsidRDefault="00CE2186" w:rsidP="00CE2186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</w:rPr>
      </w:pPr>
      <w:r w:rsidRPr="00CE2186">
        <w:rPr>
          <w:rFonts w:ascii="Calibri" w:eastAsia="Times New Roman" w:hAnsi="Calibri" w:cs="Arial"/>
          <w:b/>
          <w:color w:val="17365D"/>
        </w:rPr>
        <w:t>Non-Working Days</w:t>
      </w:r>
      <w:r w:rsidRPr="00CE2186">
        <w:rPr>
          <w:rFonts w:ascii="Calibri" w:eastAsia="Times New Roman" w:hAnsi="Calibri" w:cs="Arial"/>
        </w:rPr>
        <w:t>:  Those days which are not Regular Working Days, typically Saturday and Sunday.</w:t>
      </w:r>
    </w:p>
    <w:p w:rsidR="00CE2186" w:rsidRPr="00CE2186" w:rsidRDefault="00CE2186" w:rsidP="00CE2186">
      <w:pPr>
        <w:spacing w:after="0" w:line="240" w:lineRule="auto"/>
        <w:rPr>
          <w:rFonts w:ascii="Calibri" w:eastAsia="Times New Roman" w:hAnsi="Calibri" w:cs="Arial"/>
        </w:rPr>
      </w:pPr>
    </w:p>
    <w:p w:rsidR="00CE2186" w:rsidRPr="00CE2186" w:rsidRDefault="00CE2186" w:rsidP="00CE2186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</w:rPr>
      </w:pPr>
      <w:r w:rsidRPr="00CE2186">
        <w:rPr>
          <w:rFonts w:ascii="Calibri" w:eastAsia="Times New Roman" w:hAnsi="Calibri" w:cs="Arial"/>
          <w:b/>
          <w:color w:val="17365D"/>
        </w:rPr>
        <w:t>Working Time</w:t>
      </w:r>
      <w:r w:rsidRPr="00CE2186">
        <w:rPr>
          <w:rFonts w:ascii="Calibri" w:eastAsia="Times New Roman" w:hAnsi="Calibri" w:cs="Arial"/>
        </w:rPr>
        <w:t>:  Time which will be accounted for as those hours for which the employee will be compensated.</w:t>
      </w:r>
    </w:p>
    <w:p w:rsidR="00CE2186" w:rsidRPr="00CE2186" w:rsidRDefault="00CE2186" w:rsidP="00CE2186">
      <w:pPr>
        <w:spacing w:after="0" w:line="240" w:lineRule="auto"/>
        <w:rPr>
          <w:rFonts w:ascii="Calibri" w:eastAsia="Times New Roman" w:hAnsi="Calibri" w:cs="Arial"/>
        </w:rPr>
      </w:pPr>
    </w:p>
    <w:p w:rsidR="00CE2186" w:rsidRPr="00CE2186" w:rsidRDefault="00CE2186" w:rsidP="00CE2186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</w:rPr>
      </w:pPr>
      <w:r w:rsidRPr="00CE2186">
        <w:rPr>
          <w:rFonts w:ascii="Calibri" w:eastAsia="Times New Roman" w:hAnsi="Calibri" w:cs="Arial"/>
          <w:b/>
          <w:color w:val="17365D"/>
        </w:rPr>
        <w:t>Home to Work Travel</w:t>
      </w:r>
      <w:r w:rsidRPr="00CE2186">
        <w:rPr>
          <w:rFonts w:ascii="Calibri" w:eastAsia="Times New Roman" w:hAnsi="Calibri" w:cs="Arial"/>
        </w:rPr>
        <w:t>:  Travel between an employee’s home and the regular work location.  This time is not compensable to the employee.</w:t>
      </w:r>
    </w:p>
    <w:p w:rsidR="00CE2186" w:rsidRPr="00CE2186" w:rsidRDefault="00CE2186" w:rsidP="00CE2186">
      <w:pPr>
        <w:spacing w:after="0" w:line="240" w:lineRule="auto"/>
        <w:rPr>
          <w:rFonts w:ascii="Calibri" w:eastAsia="Times New Roman" w:hAnsi="Calibri" w:cs="Arial"/>
        </w:rPr>
      </w:pPr>
    </w:p>
    <w:p w:rsidR="00CE2186" w:rsidRPr="00CE2186" w:rsidRDefault="00CE2186" w:rsidP="00CE2186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</w:rPr>
      </w:pPr>
      <w:r w:rsidRPr="00CE2186">
        <w:rPr>
          <w:rFonts w:ascii="Calibri" w:eastAsia="Times New Roman" w:hAnsi="Calibri" w:cs="Arial"/>
          <w:b/>
          <w:color w:val="17365D"/>
        </w:rPr>
        <w:t>Travel Status</w:t>
      </w:r>
      <w:r w:rsidRPr="00CE2186">
        <w:rPr>
          <w:rFonts w:ascii="Calibri" w:eastAsia="Times New Roman" w:hAnsi="Calibri" w:cs="Arial"/>
        </w:rPr>
        <w:t>:  The process of being in-transit to and/or from a destination.</w:t>
      </w:r>
    </w:p>
    <w:p w:rsidR="00CE2186" w:rsidRPr="00CE2186" w:rsidRDefault="00CE2186" w:rsidP="00CE2186">
      <w:pPr>
        <w:spacing w:after="0" w:line="240" w:lineRule="auto"/>
        <w:rPr>
          <w:rFonts w:ascii="Calibri" w:eastAsia="Times New Roman" w:hAnsi="Calibri" w:cs="Arial"/>
        </w:rPr>
      </w:pPr>
    </w:p>
    <w:p w:rsidR="00CE2186" w:rsidRPr="00CE2186" w:rsidRDefault="00CE2186" w:rsidP="00CE2186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</w:rPr>
      </w:pPr>
      <w:r w:rsidRPr="00CE2186">
        <w:rPr>
          <w:rFonts w:ascii="Calibri" w:eastAsia="Times New Roman" w:hAnsi="Calibri" w:cs="Arial"/>
          <w:b/>
          <w:color w:val="17365D"/>
        </w:rPr>
        <w:t>Working Travel Time</w:t>
      </w:r>
      <w:r w:rsidRPr="00CE2186">
        <w:rPr>
          <w:rFonts w:ascii="Calibri" w:eastAsia="Times New Roman" w:hAnsi="Calibri" w:cs="Arial"/>
        </w:rPr>
        <w:t xml:space="preserve">:  Time during </w:t>
      </w:r>
      <w:r w:rsidRPr="00CE2186">
        <w:rPr>
          <w:rFonts w:ascii="Calibri" w:eastAsia="Times New Roman" w:hAnsi="Calibri" w:cs="Arial"/>
          <w:b/>
          <w:color w:val="17365D"/>
        </w:rPr>
        <w:t>Travel Status</w:t>
      </w:r>
      <w:r w:rsidRPr="00CE2186">
        <w:rPr>
          <w:rFonts w:ascii="Calibri" w:eastAsia="Times New Roman" w:hAnsi="Calibri" w:cs="Arial"/>
        </w:rPr>
        <w:t>, which will be accounted for as those hours for which the employee will be compensated.</w:t>
      </w:r>
    </w:p>
    <w:p w:rsidR="00CE2186" w:rsidRPr="00CE2186" w:rsidRDefault="00CE2186" w:rsidP="00CE2186">
      <w:pPr>
        <w:spacing w:after="0" w:line="240" w:lineRule="auto"/>
        <w:rPr>
          <w:rFonts w:ascii="Calibri" w:eastAsia="Times New Roman" w:hAnsi="Calibri" w:cs="Arial"/>
        </w:rPr>
      </w:pPr>
    </w:p>
    <w:p w:rsidR="00CE2186" w:rsidRPr="00CE2186" w:rsidRDefault="00CE2186" w:rsidP="00CE2186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  <w:b/>
        </w:rPr>
      </w:pPr>
      <w:r w:rsidRPr="00CE2186">
        <w:rPr>
          <w:rFonts w:ascii="Calibri" w:eastAsia="Times New Roman" w:hAnsi="Calibri" w:cs="Arial"/>
          <w:b/>
          <w:color w:val="17365D"/>
        </w:rPr>
        <w:t>Day Travel</w:t>
      </w:r>
      <w:r w:rsidRPr="00CE2186">
        <w:rPr>
          <w:rFonts w:ascii="Calibri" w:eastAsia="Times New Roman" w:hAnsi="Calibri" w:cs="Arial"/>
        </w:rPr>
        <w:t xml:space="preserve">:  Time spent traveling by bus, train, airplane, helicopter, automobile, etc. to an assignment in another city/town and returning home during the same day. </w:t>
      </w:r>
    </w:p>
    <w:p w:rsidR="00CE2186" w:rsidRPr="00CE2186" w:rsidRDefault="00CE2186" w:rsidP="00CE2186">
      <w:pPr>
        <w:spacing w:after="0" w:line="240" w:lineRule="auto"/>
        <w:rPr>
          <w:rFonts w:ascii="Calibri" w:eastAsia="Times New Roman" w:hAnsi="Calibri" w:cs="Arial"/>
          <w:b/>
        </w:rPr>
      </w:pPr>
      <w:r w:rsidRPr="00CE2186">
        <w:rPr>
          <w:rFonts w:ascii="Calibri" w:eastAsia="Times New Roman" w:hAnsi="Calibri" w:cs="Arial"/>
          <w:b/>
        </w:rPr>
        <w:tab/>
      </w:r>
    </w:p>
    <w:p w:rsidR="00CE2186" w:rsidRPr="00CE2186" w:rsidRDefault="00CE2186" w:rsidP="00CE2186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  <w:b/>
        </w:rPr>
      </w:pPr>
      <w:r w:rsidRPr="00CE2186">
        <w:rPr>
          <w:rFonts w:ascii="Calibri" w:eastAsia="Times New Roman" w:hAnsi="Calibri" w:cs="Arial"/>
          <w:b/>
          <w:color w:val="17365D"/>
        </w:rPr>
        <w:t>Away Travel</w:t>
      </w:r>
      <w:r w:rsidRPr="00CE2186">
        <w:rPr>
          <w:rFonts w:ascii="Calibri" w:eastAsia="Times New Roman" w:hAnsi="Calibri" w:cs="Arial"/>
        </w:rPr>
        <w:t>:</w:t>
      </w:r>
      <w:r w:rsidRPr="00CE2186">
        <w:rPr>
          <w:rFonts w:ascii="Calibri" w:eastAsia="Times New Roman" w:hAnsi="Calibri" w:cs="Arial"/>
          <w:b/>
        </w:rPr>
        <w:t xml:space="preserve"> </w:t>
      </w:r>
      <w:r w:rsidRPr="00CE2186">
        <w:rPr>
          <w:rFonts w:ascii="Calibri" w:eastAsia="Times New Roman" w:hAnsi="Calibri" w:cs="Arial"/>
        </w:rPr>
        <w:t xml:space="preserve"> Time spent traveling by bus, train, airplane, helicopter, automobile, etc. to an assignment in another city/town which keeps the employee from home overnight; returning home on a subsequent day. </w:t>
      </w:r>
    </w:p>
    <w:p w:rsidR="00CE2186" w:rsidRPr="00CE2186" w:rsidRDefault="00CE2186" w:rsidP="00CE2186">
      <w:pPr>
        <w:spacing w:after="0" w:line="240" w:lineRule="auto"/>
        <w:rPr>
          <w:rFonts w:ascii="Calibri" w:eastAsia="Times New Roman" w:hAnsi="Calibri" w:cs="Arial"/>
        </w:rPr>
      </w:pPr>
      <w:r w:rsidRPr="00CE2186">
        <w:rPr>
          <w:rFonts w:ascii="Calibri" w:eastAsia="Times New Roman" w:hAnsi="Calibri" w:cs="Arial"/>
        </w:rPr>
        <w:tab/>
      </w:r>
      <w:r w:rsidRPr="00CE2186">
        <w:rPr>
          <w:rFonts w:ascii="Calibri" w:eastAsia="Times New Roman" w:hAnsi="Calibri" w:cs="Arial"/>
        </w:rPr>
        <w:tab/>
      </w:r>
      <w:r w:rsidRPr="00CE2186">
        <w:rPr>
          <w:rFonts w:ascii="Calibri" w:eastAsia="Times New Roman" w:hAnsi="Calibri" w:cs="Arial"/>
        </w:rPr>
        <w:tab/>
      </w:r>
    </w:p>
    <w:p w:rsidR="00CE2186" w:rsidRPr="00CE2186" w:rsidRDefault="00CE2186" w:rsidP="00CE2186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</w:rPr>
      </w:pPr>
      <w:r w:rsidRPr="00CE2186">
        <w:rPr>
          <w:rFonts w:ascii="Calibri" w:eastAsia="Times New Roman" w:hAnsi="Calibri" w:cs="Arial"/>
          <w:b/>
          <w:color w:val="17365D"/>
        </w:rPr>
        <w:t>Normal Meal Time</w:t>
      </w:r>
      <w:r w:rsidRPr="00CE2186">
        <w:rPr>
          <w:rFonts w:ascii="Calibri" w:eastAsia="Times New Roman" w:hAnsi="Calibri" w:cs="Arial"/>
        </w:rPr>
        <w:t>:  The prescribed time during the employee’s Regular Working Hours which is allocated as Non-Working Time (unpaid) for meals.</w:t>
      </w:r>
    </w:p>
    <w:p w:rsidR="00CE2186" w:rsidRPr="00CE2186" w:rsidRDefault="00CE2186" w:rsidP="00CE2186">
      <w:pPr>
        <w:spacing w:after="0" w:line="240" w:lineRule="auto"/>
        <w:rPr>
          <w:rFonts w:ascii="Calibri" w:eastAsia="Times New Roman" w:hAnsi="Calibri" w:cs="Arial"/>
        </w:rPr>
      </w:pPr>
    </w:p>
    <w:p w:rsidR="00CE2186" w:rsidRPr="00CE2186" w:rsidRDefault="00CE2186" w:rsidP="00CE2186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</w:rPr>
      </w:pPr>
      <w:r w:rsidRPr="00CE2186">
        <w:rPr>
          <w:rFonts w:ascii="Calibri" w:eastAsia="Times New Roman" w:hAnsi="Calibri" w:cs="Arial"/>
          <w:b/>
          <w:color w:val="17365D"/>
        </w:rPr>
        <w:t>Principal Activity</w:t>
      </w:r>
      <w:r w:rsidRPr="00CE2186">
        <w:rPr>
          <w:rFonts w:ascii="Calibri" w:eastAsia="Times New Roman" w:hAnsi="Calibri" w:cs="Arial"/>
        </w:rPr>
        <w:t xml:space="preserve">:  The primary </w:t>
      </w:r>
      <w:proofErr w:type="gramStart"/>
      <w:r w:rsidRPr="00CE2186">
        <w:rPr>
          <w:rFonts w:ascii="Calibri" w:eastAsia="Times New Roman" w:hAnsi="Calibri" w:cs="Arial"/>
        </w:rPr>
        <w:t>duty(</w:t>
      </w:r>
      <w:proofErr w:type="spellStart"/>
      <w:proofErr w:type="gramEnd"/>
      <w:r w:rsidRPr="00CE2186">
        <w:rPr>
          <w:rFonts w:ascii="Calibri" w:eastAsia="Times New Roman" w:hAnsi="Calibri" w:cs="Arial"/>
        </w:rPr>
        <w:t>ies</w:t>
      </w:r>
      <w:proofErr w:type="spellEnd"/>
      <w:r w:rsidRPr="00CE2186">
        <w:rPr>
          <w:rFonts w:ascii="Calibri" w:eastAsia="Times New Roman" w:hAnsi="Calibri" w:cs="Arial"/>
        </w:rPr>
        <w:t>) or tasks of the employee’s job for which the employee will be compensated.</w:t>
      </w:r>
    </w:p>
    <w:p w:rsidR="00CE2186" w:rsidRPr="00CE2186" w:rsidRDefault="00CE2186" w:rsidP="00CE2186">
      <w:pPr>
        <w:spacing w:after="0" w:line="240" w:lineRule="auto"/>
        <w:rPr>
          <w:rFonts w:ascii="Calibri" w:eastAsia="Times New Roman" w:hAnsi="Calibri" w:cs="Arial"/>
        </w:rPr>
      </w:pPr>
    </w:p>
    <w:p w:rsidR="00CE2186" w:rsidRPr="00CE2186" w:rsidRDefault="00CE2186" w:rsidP="00CE2186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</w:rPr>
      </w:pPr>
      <w:r w:rsidRPr="00CE2186">
        <w:rPr>
          <w:rFonts w:ascii="Calibri" w:eastAsia="Times New Roman" w:hAnsi="Calibri" w:cs="Arial"/>
          <w:b/>
          <w:color w:val="17365D"/>
        </w:rPr>
        <w:t>Incidental Activity</w:t>
      </w:r>
      <w:r w:rsidRPr="00CE2186">
        <w:rPr>
          <w:rFonts w:ascii="Calibri" w:eastAsia="Times New Roman" w:hAnsi="Calibri" w:cs="Arial"/>
        </w:rPr>
        <w:t>:  Those activities performed by the employee which are related to the Principal Activity(</w:t>
      </w:r>
      <w:proofErr w:type="spellStart"/>
      <w:r w:rsidRPr="00CE2186">
        <w:rPr>
          <w:rFonts w:ascii="Calibri" w:eastAsia="Times New Roman" w:hAnsi="Calibri" w:cs="Arial"/>
        </w:rPr>
        <w:t>ies</w:t>
      </w:r>
      <w:proofErr w:type="spellEnd"/>
      <w:r w:rsidRPr="00CE2186">
        <w:rPr>
          <w:rFonts w:ascii="Calibri" w:eastAsia="Times New Roman" w:hAnsi="Calibri" w:cs="Arial"/>
        </w:rPr>
        <w:t>) of the job regardless of when they occur, and include, among others, civic and charitable activities, equipment maintenance, shift changes, time spent on grievances, medical treatment, pre-employment activities, rest periods, on-call time, training and waiting time.</w:t>
      </w:r>
    </w:p>
    <w:p w:rsidR="00CE2186" w:rsidRPr="00CE2186" w:rsidRDefault="00CE2186" w:rsidP="00CE2186">
      <w:pPr>
        <w:spacing w:after="0" w:line="240" w:lineRule="auto"/>
        <w:rPr>
          <w:rFonts w:ascii="Calibri" w:eastAsia="Times New Roman" w:hAnsi="Calibri" w:cs="Arial"/>
        </w:rPr>
      </w:pPr>
    </w:p>
    <w:p w:rsidR="00CE2186" w:rsidRPr="00CE2186" w:rsidRDefault="00CE2186" w:rsidP="00CE2186">
      <w:pPr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Arial"/>
        </w:rPr>
      </w:pPr>
      <w:r w:rsidRPr="00CE2186">
        <w:rPr>
          <w:rFonts w:ascii="Calibri" w:eastAsia="Times New Roman" w:hAnsi="Calibri" w:cs="Arial"/>
          <w:b/>
          <w:color w:val="17365D"/>
        </w:rPr>
        <w:t>Deliberate Ignorance</w:t>
      </w:r>
      <w:r w:rsidRPr="00CE2186">
        <w:rPr>
          <w:rFonts w:ascii="Calibri" w:eastAsia="Times New Roman" w:hAnsi="Calibri" w:cs="Arial"/>
        </w:rPr>
        <w:t>:   When an employer knows or has reason to believe that an employee is continuing work after Regular Work Hours, and/or Regular Work Days.  Does not exempt the employer from liability to compensate the employee for those working hours, regardless of whether such time is recorded.</w:t>
      </w:r>
    </w:p>
    <w:p w:rsidR="00CE2186" w:rsidRPr="00CE2186" w:rsidRDefault="00CE2186" w:rsidP="00CE218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Calibri" w:eastAsia="Times New Roman" w:hAnsi="Calibri" w:cs="Arial"/>
          <w:sz w:val="20"/>
        </w:rPr>
      </w:pPr>
    </w:p>
    <w:p w:rsidR="00CE2186" w:rsidRPr="00CE2186" w:rsidRDefault="00CE2186" w:rsidP="00CE218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Calibri" w:eastAsia="Times New Roman" w:hAnsi="Calibri" w:cs="Arial"/>
          <w:sz w:val="20"/>
        </w:rPr>
      </w:pPr>
      <w:r w:rsidRPr="00CE2186">
        <w:rPr>
          <w:rFonts w:ascii="Calibri" w:eastAsia="Times New Roman" w:hAnsi="Calibri" w:cs="Arial"/>
          <w:sz w:val="20"/>
        </w:rPr>
        <w:t xml:space="preserve">Direct questions regarding these </w:t>
      </w:r>
      <w:r w:rsidRPr="00CE2186">
        <w:rPr>
          <w:rFonts w:ascii="Calibri" w:eastAsia="Times New Roman" w:hAnsi="Calibri" w:cs="Times New Roman"/>
          <w:b/>
          <w:i/>
          <w:color w:val="DA5800"/>
          <w:sz w:val="20"/>
          <w:szCs w:val="24"/>
          <w:lang w:val="en"/>
        </w:rPr>
        <w:t>“Good to Know!”</w:t>
      </w:r>
      <w:r w:rsidRPr="00CE2186">
        <w:rPr>
          <w:rFonts w:ascii="Calibri" w:eastAsia="Times New Roman" w:hAnsi="Calibri" w:cs="Arial"/>
          <w:sz w:val="20"/>
        </w:rPr>
        <w:t xml:space="preserve"> definitions to your Human Resources Compensation Management team:</w:t>
      </w:r>
    </w:p>
    <w:p w:rsidR="00CE2186" w:rsidRPr="00CE2186" w:rsidRDefault="00CE2186" w:rsidP="00CE2186">
      <w:pPr>
        <w:widowControl w:val="0"/>
        <w:spacing w:after="0" w:line="240" w:lineRule="auto"/>
        <w:ind w:left="2160"/>
        <w:jc w:val="both"/>
        <w:rPr>
          <w:rFonts w:ascii="Calibri" w:eastAsia="Times New Roman" w:hAnsi="Calibri" w:cs="Times New Roman"/>
          <w:snapToGrid w:val="0"/>
          <w:sz w:val="20"/>
        </w:rPr>
      </w:pPr>
    </w:p>
    <w:p w:rsidR="00CE2186" w:rsidRPr="00CE2186" w:rsidRDefault="00CE2186" w:rsidP="00CE2186">
      <w:pPr>
        <w:widowControl w:val="0"/>
        <w:spacing w:after="0" w:line="240" w:lineRule="auto"/>
        <w:ind w:left="2160"/>
        <w:jc w:val="both"/>
        <w:rPr>
          <w:rFonts w:ascii="Calibri" w:eastAsia="Times New Roman" w:hAnsi="Calibri" w:cs="Times New Roman"/>
          <w:snapToGrid w:val="0"/>
          <w:sz w:val="20"/>
        </w:rPr>
      </w:pPr>
      <w:r w:rsidRPr="00CE2186">
        <w:rPr>
          <w:rFonts w:ascii="Calibri" w:eastAsia="Times New Roman" w:hAnsi="Calibri" w:cs="Times New Roman"/>
          <w:snapToGrid w:val="0"/>
          <w:sz w:val="20"/>
        </w:rPr>
        <w:t>Rod Kelly</w:t>
      </w:r>
      <w:r w:rsidRPr="00CE2186">
        <w:rPr>
          <w:rFonts w:ascii="Calibri" w:eastAsia="Times New Roman" w:hAnsi="Calibri" w:cs="Times New Roman"/>
          <w:snapToGrid w:val="0"/>
          <w:sz w:val="20"/>
        </w:rPr>
        <w:tab/>
        <w:t xml:space="preserve"> </w:t>
      </w:r>
      <w:r w:rsidRPr="00CE2186">
        <w:rPr>
          <w:rFonts w:ascii="Calibri" w:eastAsia="Times New Roman" w:hAnsi="Calibri" w:cs="Times New Roman"/>
          <w:snapToGrid w:val="0"/>
          <w:sz w:val="20"/>
        </w:rPr>
        <w:tab/>
        <w:t>4-1618</w:t>
      </w:r>
      <w:r w:rsidRPr="00CE2186">
        <w:rPr>
          <w:rFonts w:ascii="Calibri" w:eastAsia="Times New Roman" w:hAnsi="Calibri" w:cs="Times New Roman"/>
          <w:snapToGrid w:val="0"/>
          <w:sz w:val="20"/>
        </w:rPr>
        <w:tab/>
      </w:r>
      <w:r w:rsidRPr="00CE2186">
        <w:rPr>
          <w:rFonts w:ascii="Calibri" w:eastAsia="Times New Roman" w:hAnsi="Calibri" w:cs="Times New Roman"/>
          <w:snapToGrid w:val="0"/>
          <w:sz w:val="20"/>
        </w:rPr>
        <w:tab/>
      </w:r>
      <w:hyperlink r:id="rId7" w:history="1">
        <w:r w:rsidRPr="00CE2186">
          <w:rPr>
            <w:rFonts w:ascii="Calibri" w:eastAsia="Times New Roman" w:hAnsi="Calibri" w:cs="Times New Roman"/>
            <w:snapToGrid w:val="0"/>
            <w:color w:val="0000FF"/>
            <w:sz w:val="20"/>
            <w:u w:val="single"/>
          </w:rPr>
          <w:t>rodkelly@auburn.edu</w:t>
        </w:r>
      </w:hyperlink>
    </w:p>
    <w:p w:rsidR="00CE2186" w:rsidRPr="00CE2186" w:rsidRDefault="00CE2186" w:rsidP="00CE2186">
      <w:pPr>
        <w:widowControl w:val="0"/>
        <w:spacing w:after="0" w:line="240" w:lineRule="auto"/>
        <w:ind w:left="2160"/>
        <w:jc w:val="both"/>
        <w:rPr>
          <w:rFonts w:ascii="Calibri" w:eastAsia="Times New Roman" w:hAnsi="Calibri" w:cs="Times New Roman"/>
          <w:snapToGrid w:val="0"/>
          <w:sz w:val="20"/>
        </w:rPr>
      </w:pPr>
      <w:r w:rsidRPr="00CE2186">
        <w:rPr>
          <w:rFonts w:ascii="Calibri" w:eastAsia="Times New Roman" w:hAnsi="Calibri" w:cs="Times New Roman"/>
          <w:snapToGrid w:val="0"/>
          <w:sz w:val="20"/>
        </w:rPr>
        <w:t>Trey Lightner</w:t>
      </w:r>
      <w:r w:rsidRPr="00CE2186">
        <w:rPr>
          <w:rFonts w:ascii="Calibri" w:eastAsia="Times New Roman" w:hAnsi="Calibri" w:cs="Times New Roman"/>
          <w:snapToGrid w:val="0"/>
          <w:sz w:val="20"/>
        </w:rPr>
        <w:tab/>
      </w:r>
      <w:r w:rsidRPr="00CE2186">
        <w:rPr>
          <w:rFonts w:ascii="Calibri" w:eastAsia="Times New Roman" w:hAnsi="Calibri" w:cs="Times New Roman"/>
          <w:snapToGrid w:val="0"/>
          <w:sz w:val="20"/>
        </w:rPr>
        <w:tab/>
        <w:t>4-1635</w:t>
      </w:r>
      <w:r w:rsidRPr="00CE2186">
        <w:rPr>
          <w:rFonts w:ascii="Calibri" w:eastAsia="Times New Roman" w:hAnsi="Calibri" w:cs="Times New Roman"/>
          <w:snapToGrid w:val="0"/>
          <w:sz w:val="20"/>
        </w:rPr>
        <w:tab/>
      </w:r>
      <w:r w:rsidRPr="00CE2186">
        <w:rPr>
          <w:rFonts w:ascii="Calibri" w:eastAsia="Times New Roman" w:hAnsi="Calibri" w:cs="Times New Roman"/>
          <w:snapToGrid w:val="0"/>
          <w:sz w:val="20"/>
        </w:rPr>
        <w:tab/>
      </w:r>
      <w:hyperlink r:id="rId8" w:history="1">
        <w:r w:rsidRPr="00CE2186">
          <w:rPr>
            <w:rFonts w:ascii="Calibri" w:eastAsia="Times New Roman" w:hAnsi="Calibri" w:cs="Times New Roman"/>
            <w:snapToGrid w:val="0"/>
            <w:color w:val="0000FF"/>
            <w:sz w:val="20"/>
            <w:u w:val="single"/>
          </w:rPr>
          <w:t>lightjl@auburn.edu</w:t>
        </w:r>
      </w:hyperlink>
    </w:p>
    <w:p w:rsidR="00CE2186" w:rsidRPr="00CE2186" w:rsidRDefault="00CE2186" w:rsidP="00CE2186">
      <w:pPr>
        <w:widowControl w:val="0"/>
        <w:spacing w:after="0" w:line="240" w:lineRule="auto"/>
        <w:ind w:left="2160"/>
        <w:jc w:val="both"/>
        <w:rPr>
          <w:rFonts w:ascii="Calibri" w:eastAsia="Times New Roman" w:hAnsi="Calibri" w:cs="Times New Roman"/>
          <w:snapToGrid w:val="0"/>
          <w:sz w:val="20"/>
        </w:rPr>
      </w:pPr>
      <w:r w:rsidRPr="00CE2186">
        <w:rPr>
          <w:rFonts w:ascii="Calibri" w:eastAsia="Times New Roman" w:hAnsi="Calibri" w:cs="Times New Roman"/>
          <w:snapToGrid w:val="0"/>
          <w:sz w:val="20"/>
        </w:rPr>
        <w:t xml:space="preserve">Andrea </w:t>
      </w:r>
      <w:proofErr w:type="gramStart"/>
      <w:r w:rsidRPr="00CE2186">
        <w:rPr>
          <w:rFonts w:ascii="Calibri" w:eastAsia="Times New Roman" w:hAnsi="Calibri" w:cs="Times New Roman"/>
          <w:snapToGrid w:val="0"/>
          <w:sz w:val="20"/>
        </w:rPr>
        <w:t>Brothers</w:t>
      </w:r>
      <w:proofErr w:type="gramEnd"/>
      <w:r w:rsidRPr="00CE2186">
        <w:rPr>
          <w:rFonts w:ascii="Calibri" w:eastAsia="Times New Roman" w:hAnsi="Calibri" w:cs="Times New Roman"/>
          <w:snapToGrid w:val="0"/>
          <w:sz w:val="20"/>
        </w:rPr>
        <w:tab/>
      </w:r>
      <w:r w:rsidRPr="00CE2186">
        <w:rPr>
          <w:rFonts w:ascii="Calibri" w:eastAsia="Times New Roman" w:hAnsi="Calibri" w:cs="Times New Roman"/>
          <w:snapToGrid w:val="0"/>
          <w:sz w:val="20"/>
        </w:rPr>
        <w:tab/>
        <w:t>4-1601</w:t>
      </w:r>
      <w:r w:rsidRPr="00CE2186">
        <w:rPr>
          <w:rFonts w:ascii="Calibri" w:eastAsia="Times New Roman" w:hAnsi="Calibri" w:cs="Times New Roman"/>
          <w:snapToGrid w:val="0"/>
          <w:sz w:val="20"/>
        </w:rPr>
        <w:tab/>
      </w:r>
      <w:r w:rsidRPr="00CE2186">
        <w:rPr>
          <w:rFonts w:ascii="Calibri" w:eastAsia="Times New Roman" w:hAnsi="Calibri" w:cs="Times New Roman"/>
          <w:snapToGrid w:val="0"/>
          <w:sz w:val="20"/>
        </w:rPr>
        <w:tab/>
      </w:r>
      <w:hyperlink r:id="rId9" w:history="1">
        <w:r w:rsidRPr="00CE2186">
          <w:rPr>
            <w:rFonts w:ascii="Calibri" w:eastAsia="Times New Roman" w:hAnsi="Calibri" w:cs="Times New Roman"/>
            <w:snapToGrid w:val="0"/>
            <w:color w:val="0000FF"/>
            <w:sz w:val="20"/>
            <w:u w:val="single"/>
          </w:rPr>
          <w:t>mcabeac@auburn.edu</w:t>
        </w:r>
      </w:hyperlink>
    </w:p>
    <w:p w:rsidR="00FC45EB" w:rsidRDefault="00CE2186">
      <w:bookmarkStart w:id="0" w:name="_GoBack"/>
      <w:bookmarkEnd w:id="0"/>
    </w:p>
    <w:sectPr w:rsidR="00FC45EB" w:rsidSect="0054285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F3" w:rsidRPr="008B2374" w:rsidRDefault="00CE2186" w:rsidP="004577F3">
    <w:pPr>
      <w:pStyle w:val="Footer"/>
      <w:jc w:val="center"/>
      <w:rPr>
        <w:color w:val="1F497D"/>
        <w:sz w:val="18"/>
      </w:rPr>
    </w:pPr>
    <w:r w:rsidRPr="008B2374">
      <w:rPr>
        <w:color w:val="1F497D"/>
        <w:sz w:val="20"/>
      </w:rPr>
      <w:t>Brought to you by University Human Resources</w:t>
    </w:r>
  </w:p>
  <w:p w:rsidR="004577F3" w:rsidRDefault="00CE218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5777"/>
    <w:multiLevelType w:val="hybridMultilevel"/>
    <w:tmpl w:val="BD7A6DD8"/>
    <w:lvl w:ilvl="0" w:tplc="662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86"/>
    <w:rsid w:val="00103E68"/>
    <w:rsid w:val="00502ABD"/>
    <w:rsid w:val="00C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218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E21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218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E21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htjl@aubur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dkelly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cabeac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2280</Characters>
  <Application>Microsoft Office Word</Application>
  <DocSecurity>0</DocSecurity>
  <Lines>19</Lines>
  <Paragraphs>5</Paragraphs>
  <ScaleCrop>false</ScaleCrop>
  <Company>Auburn University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Kelly</dc:creator>
  <cp:lastModifiedBy>Rod Kelly</cp:lastModifiedBy>
  <cp:revision>1</cp:revision>
  <dcterms:created xsi:type="dcterms:W3CDTF">2014-11-12T21:32:00Z</dcterms:created>
  <dcterms:modified xsi:type="dcterms:W3CDTF">2014-11-12T21:35:00Z</dcterms:modified>
</cp:coreProperties>
</file>