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1A" w:rsidRPr="007C2C05" w:rsidRDefault="00893DE1" w:rsidP="007C2C05">
      <w:pPr>
        <w:rPr>
          <w:i/>
          <w:sz w:val="36"/>
          <w:szCs w:val="36"/>
        </w:rPr>
      </w:pPr>
      <w:r w:rsidRPr="007C2C05">
        <w:rPr>
          <w:b/>
          <w:sz w:val="36"/>
          <w:szCs w:val="36"/>
        </w:rPr>
        <w:t>Motion</w:t>
      </w:r>
      <w:r w:rsidR="004F73E0" w:rsidRPr="007C2C05">
        <w:rPr>
          <w:b/>
          <w:sz w:val="36"/>
          <w:szCs w:val="36"/>
        </w:rPr>
        <w:t xml:space="preserve"> </w:t>
      </w:r>
      <w:r w:rsidR="004F73E0" w:rsidRPr="007C2C05">
        <w:rPr>
          <w:sz w:val="36"/>
          <w:szCs w:val="36"/>
        </w:rPr>
        <w:t>(submitted by James Goldstein, Senator for English)</w:t>
      </w:r>
      <w:r w:rsidRPr="007C2C05">
        <w:rPr>
          <w:sz w:val="36"/>
          <w:szCs w:val="36"/>
        </w:rPr>
        <w:t xml:space="preserve">: to delete 3.7.2 (Annual Tenure Review) from the </w:t>
      </w:r>
      <w:r w:rsidRPr="007C2C05">
        <w:rPr>
          <w:i/>
          <w:sz w:val="36"/>
          <w:szCs w:val="36"/>
        </w:rPr>
        <w:t>Faculty Handbook</w:t>
      </w:r>
    </w:p>
    <w:p w:rsidR="00893DE1" w:rsidRPr="007C2C05" w:rsidRDefault="00893DE1" w:rsidP="007C2C05">
      <w:pPr>
        <w:spacing w:after="0" w:line="240" w:lineRule="auto"/>
        <w:rPr>
          <w:rStyle w:val="Strong"/>
          <w:sz w:val="36"/>
          <w:szCs w:val="36"/>
        </w:rPr>
      </w:pPr>
      <w:r w:rsidRPr="007C2C05">
        <w:rPr>
          <w:rStyle w:val="Strong"/>
          <w:sz w:val="36"/>
          <w:szCs w:val="36"/>
        </w:rPr>
        <w:t>Background</w:t>
      </w:r>
    </w:p>
    <w:p w:rsidR="00893DE1" w:rsidRPr="007C2C05" w:rsidRDefault="00893DE1" w:rsidP="007C2C05">
      <w:pPr>
        <w:spacing w:after="0" w:line="240" w:lineRule="auto"/>
        <w:rPr>
          <w:rStyle w:val="Strong"/>
          <w:sz w:val="36"/>
          <w:szCs w:val="36"/>
        </w:rPr>
      </w:pPr>
      <w:r w:rsidRPr="007C2C05">
        <w:rPr>
          <w:rStyle w:val="Strong"/>
          <w:b w:val="0"/>
          <w:sz w:val="36"/>
          <w:szCs w:val="36"/>
        </w:rPr>
        <w:t xml:space="preserve">The Phase II Faculty Handbook (FH-II) approved by the </w:t>
      </w:r>
      <w:r w:rsidR="00F249B2" w:rsidRPr="007C2C05">
        <w:rPr>
          <w:rStyle w:val="Strong"/>
          <w:b w:val="0"/>
          <w:sz w:val="36"/>
          <w:szCs w:val="36"/>
        </w:rPr>
        <w:t xml:space="preserve">University </w:t>
      </w:r>
      <w:r w:rsidRPr="007C2C05">
        <w:rPr>
          <w:rStyle w:val="Strong"/>
          <w:b w:val="0"/>
          <w:sz w:val="36"/>
          <w:szCs w:val="36"/>
        </w:rPr>
        <w:t xml:space="preserve">Senate on May 1, 2012 incorporated for the first time a requirement that tenured faculty must annually review the progress towards tenure of all non-tenured tenure track faculty.  </w:t>
      </w:r>
      <w:r w:rsidR="004F73E0" w:rsidRPr="007C2C05">
        <w:rPr>
          <w:rStyle w:val="Strong"/>
          <w:b w:val="0"/>
          <w:sz w:val="36"/>
          <w:szCs w:val="36"/>
        </w:rPr>
        <w:t>The p</w:t>
      </w:r>
      <w:r w:rsidR="00616821" w:rsidRPr="007C2C05">
        <w:rPr>
          <w:rStyle w:val="Strong"/>
          <w:b w:val="0"/>
          <w:sz w:val="36"/>
          <w:szCs w:val="36"/>
        </w:rPr>
        <w:t xml:space="preserve">rocedures are left up to individual units.  </w:t>
      </w:r>
      <w:r w:rsidRPr="007C2C05">
        <w:rPr>
          <w:rStyle w:val="Strong"/>
          <w:sz w:val="36"/>
          <w:szCs w:val="36"/>
        </w:rPr>
        <w:t>This policy was not included in the summary of changes that was presented to the Senate.</w:t>
      </w:r>
    </w:p>
    <w:p w:rsidR="00893DE1" w:rsidRPr="007C2C05" w:rsidRDefault="00893DE1" w:rsidP="007C2C05">
      <w:pPr>
        <w:pStyle w:val="NormalWeb"/>
        <w:spacing w:before="0" w:beforeAutospacing="0" w:after="0" w:afterAutospacing="0"/>
        <w:rPr>
          <w:rStyle w:val="Strong"/>
          <w:b w:val="0"/>
          <w:sz w:val="36"/>
          <w:szCs w:val="36"/>
        </w:rPr>
      </w:pPr>
    </w:p>
    <w:p w:rsidR="00616821" w:rsidRPr="007C2C05" w:rsidRDefault="00893DE1" w:rsidP="007C2C05">
      <w:pPr>
        <w:pStyle w:val="NormalWeb"/>
        <w:spacing w:before="0" w:beforeAutospacing="0" w:after="0" w:afterAutospacing="0"/>
        <w:rPr>
          <w:rStyle w:val="Strong"/>
          <w:b w:val="0"/>
          <w:sz w:val="36"/>
          <w:szCs w:val="36"/>
        </w:rPr>
      </w:pPr>
      <w:r w:rsidRPr="007C2C05">
        <w:rPr>
          <w:rStyle w:val="Strong"/>
          <w:b w:val="0"/>
          <w:sz w:val="36"/>
          <w:szCs w:val="36"/>
        </w:rPr>
        <w:t xml:space="preserve">Neither the Senate leadership nor the Faculty Handbook Committee could provide </w:t>
      </w:r>
      <w:r w:rsidR="00616821" w:rsidRPr="007C2C05">
        <w:rPr>
          <w:rStyle w:val="Strong"/>
          <w:b w:val="0"/>
          <w:sz w:val="36"/>
          <w:szCs w:val="36"/>
        </w:rPr>
        <w:t xml:space="preserve">me </w:t>
      </w:r>
      <w:r w:rsidRPr="007C2C05">
        <w:rPr>
          <w:rStyle w:val="Strong"/>
          <w:b w:val="0"/>
          <w:sz w:val="36"/>
          <w:szCs w:val="36"/>
        </w:rPr>
        <w:t xml:space="preserve">any background to </w:t>
      </w:r>
      <w:r w:rsidR="00F249B2" w:rsidRPr="007C2C05">
        <w:rPr>
          <w:rStyle w:val="Strong"/>
          <w:b w:val="0"/>
          <w:sz w:val="36"/>
          <w:szCs w:val="36"/>
        </w:rPr>
        <w:t xml:space="preserve">the origin of the policy.  </w:t>
      </w:r>
      <w:r w:rsidRPr="007C2C05">
        <w:rPr>
          <w:rStyle w:val="Strong"/>
          <w:b w:val="0"/>
          <w:sz w:val="36"/>
          <w:szCs w:val="36"/>
        </w:rPr>
        <w:t>My examination of the Senate Archives reveal</w:t>
      </w:r>
      <w:r w:rsidR="00616821" w:rsidRPr="007C2C05">
        <w:rPr>
          <w:rStyle w:val="Strong"/>
          <w:b w:val="0"/>
          <w:sz w:val="36"/>
          <w:szCs w:val="36"/>
        </w:rPr>
        <w:t>ed</w:t>
      </w:r>
      <w:r w:rsidRPr="007C2C05">
        <w:rPr>
          <w:rStyle w:val="Strong"/>
          <w:b w:val="0"/>
          <w:sz w:val="36"/>
          <w:szCs w:val="36"/>
        </w:rPr>
        <w:t xml:space="preserve"> that the origin of annual tenure review </w:t>
      </w:r>
      <w:r w:rsidR="00616821" w:rsidRPr="007C2C05">
        <w:rPr>
          <w:rStyle w:val="Strong"/>
          <w:b w:val="0"/>
          <w:sz w:val="36"/>
          <w:szCs w:val="36"/>
        </w:rPr>
        <w:t xml:space="preserve">dates </w:t>
      </w:r>
      <w:r w:rsidRPr="007C2C05">
        <w:rPr>
          <w:rStyle w:val="Strong"/>
          <w:b w:val="0"/>
          <w:sz w:val="36"/>
          <w:szCs w:val="36"/>
        </w:rPr>
        <w:t xml:space="preserve">to 2003, when Dr. William Walker was President and Dr. John Pritchett was Provost.  At the Senate meeting of 4 March 2003, Provost Pritchett described the annual tenure review as “simply an administrative guideline,” in contrast to a policy (see </w:t>
      </w:r>
      <w:r w:rsidR="00616821" w:rsidRPr="007C2C05">
        <w:rPr>
          <w:rStyle w:val="Strong"/>
          <w:b w:val="0"/>
          <w:sz w:val="36"/>
          <w:szCs w:val="36"/>
        </w:rPr>
        <w:t xml:space="preserve">link below).  </w:t>
      </w:r>
      <w:r w:rsidR="00C62E8E" w:rsidRPr="007C2C05">
        <w:rPr>
          <w:rStyle w:val="Strong"/>
          <w:b w:val="0"/>
          <w:sz w:val="36"/>
          <w:szCs w:val="36"/>
        </w:rPr>
        <w:t>During th</w:t>
      </w:r>
      <w:r w:rsidR="00616821" w:rsidRPr="007C2C05">
        <w:rPr>
          <w:rStyle w:val="Strong"/>
          <w:b w:val="0"/>
          <w:sz w:val="36"/>
          <w:szCs w:val="36"/>
        </w:rPr>
        <w:t xml:space="preserve">is Senate </w:t>
      </w:r>
      <w:r w:rsidR="00C62E8E" w:rsidRPr="007C2C05">
        <w:rPr>
          <w:rStyle w:val="Strong"/>
          <w:b w:val="0"/>
          <w:sz w:val="36"/>
          <w:szCs w:val="36"/>
        </w:rPr>
        <w:t>discussion t</w:t>
      </w:r>
      <w:r w:rsidRPr="007C2C05">
        <w:rPr>
          <w:rStyle w:val="Strong"/>
          <w:b w:val="0"/>
          <w:sz w:val="36"/>
          <w:szCs w:val="36"/>
        </w:rPr>
        <w:t xml:space="preserve">here were objections to </w:t>
      </w:r>
      <w:r w:rsidR="00616821" w:rsidRPr="007C2C05">
        <w:rPr>
          <w:rStyle w:val="Strong"/>
          <w:b w:val="0"/>
          <w:sz w:val="36"/>
          <w:szCs w:val="36"/>
        </w:rPr>
        <w:t xml:space="preserve">Dr. Pritchett’s </w:t>
      </w:r>
      <w:r w:rsidRPr="007C2C05">
        <w:rPr>
          <w:rStyle w:val="Strong"/>
          <w:b w:val="0"/>
          <w:sz w:val="36"/>
          <w:szCs w:val="36"/>
        </w:rPr>
        <w:t>characterization of the memo to department heads/chairs</w:t>
      </w:r>
      <w:r w:rsidR="00C62E8E" w:rsidRPr="007C2C05">
        <w:rPr>
          <w:rStyle w:val="Strong"/>
          <w:b w:val="0"/>
          <w:sz w:val="36"/>
          <w:szCs w:val="36"/>
        </w:rPr>
        <w:t>,</w:t>
      </w:r>
      <w:r w:rsidRPr="007C2C05">
        <w:rPr>
          <w:rStyle w:val="Strong"/>
          <w:b w:val="0"/>
          <w:sz w:val="36"/>
          <w:szCs w:val="36"/>
        </w:rPr>
        <w:t xml:space="preserve"> but there was no motion or S</w:t>
      </w:r>
      <w:r w:rsidR="00616821" w:rsidRPr="007C2C05">
        <w:rPr>
          <w:rStyle w:val="Strong"/>
          <w:b w:val="0"/>
          <w:sz w:val="36"/>
          <w:szCs w:val="36"/>
        </w:rPr>
        <w:t>enate action at the time. The policy therefore bypassed formal Senate approval at this early stage.</w:t>
      </w:r>
    </w:p>
    <w:p w:rsidR="00C62E8E" w:rsidRPr="007C2C05" w:rsidRDefault="00C62E8E" w:rsidP="007C2C05">
      <w:pPr>
        <w:pStyle w:val="NormalWeb"/>
        <w:spacing w:before="0" w:beforeAutospacing="0" w:after="0" w:afterAutospacing="0"/>
        <w:rPr>
          <w:rStyle w:val="Strong"/>
          <w:b w:val="0"/>
          <w:sz w:val="36"/>
          <w:szCs w:val="36"/>
        </w:rPr>
      </w:pPr>
    </w:p>
    <w:p w:rsidR="004F73E0" w:rsidRPr="007C2C05" w:rsidRDefault="00C62E8E" w:rsidP="007C2C05">
      <w:pPr>
        <w:pStyle w:val="NormalWeb"/>
        <w:spacing w:before="0" w:beforeAutospacing="0" w:after="0" w:afterAutospacing="0"/>
        <w:rPr>
          <w:rStyle w:val="Strong"/>
          <w:b w:val="0"/>
          <w:sz w:val="36"/>
          <w:szCs w:val="36"/>
        </w:rPr>
      </w:pPr>
      <w:r w:rsidRPr="007C2C05">
        <w:rPr>
          <w:rStyle w:val="Strong"/>
          <w:b w:val="0"/>
          <w:sz w:val="36"/>
          <w:szCs w:val="36"/>
        </w:rPr>
        <w:t>The policy continue</w:t>
      </w:r>
      <w:r w:rsidR="004F73E0" w:rsidRPr="007C2C05">
        <w:rPr>
          <w:rStyle w:val="Strong"/>
          <w:b w:val="0"/>
          <w:sz w:val="36"/>
          <w:szCs w:val="36"/>
        </w:rPr>
        <w:t>d</w:t>
      </w:r>
      <w:r w:rsidRPr="007C2C05">
        <w:rPr>
          <w:rStyle w:val="Strong"/>
          <w:b w:val="0"/>
          <w:sz w:val="36"/>
          <w:szCs w:val="36"/>
        </w:rPr>
        <w:t xml:space="preserve"> to be described as a “guideline” on the Provost’s website (see</w:t>
      </w:r>
      <w:r w:rsidR="00616821" w:rsidRPr="007C2C05">
        <w:rPr>
          <w:rStyle w:val="Strong"/>
          <w:b w:val="0"/>
          <w:sz w:val="36"/>
          <w:szCs w:val="36"/>
        </w:rPr>
        <w:t xml:space="preserve"> link below).  </w:t>
      </w:r>
      <w:r w:rsidRPr="007C2C05">
        <w:rPr>
          <w:rStyle w:val="Strong"/>
          <w:b w:val="0"/>
          <w:sz w:val="36"/>
          <w:szCs w:val="36"/>
        </w:rPr>
        <w:t xml:space="preserve">FH-II was supposed to “capture” existing policies that resided outside of the FH. </w:t>
      </w:r>
      <w:r w:rsidR="00616821" w:rsidRPr="007C2C05">
        <w:rPr>
          <w:rStyle w:val="Strong"/>
          <w:b w:val="0"/>
          <w:sz w:val="36"/>
          <w:szCs w:val="36"/>
        </w:rPr>
        <w:t xml:space="preserve"> When this “guideline” </w:t>
      </w:r>
      <w:r w:rsidR="00893DE1" w:rsidRPr="007C2C05">
        <w:rPr>
          <w:rStyle w:val="Strong"/>
          <w:b w:val="0"/>
          <w:sz w:val="36"/>
          <w:szCs w:val="36"/>
        </w:rPr>
        <w:t xml:space="preserve">was incorporated in the FH-II it became a matter of policy.  </w:t>
      </w:r>
    </w:p>
    <w:p w:rsidR="004F73E0" w:rsidRPr="007C2C05" w:rsidRDefault="004F73E0" w:rsidP="007C2C05">
      <w:pPr>
        <w:pStyle w:val="NormalWeb"/>
        <w:spacing w:before="0" w:beforeAutospacing="0" w:after="0" w:afterAutospacing="0"/>
        <w:rPr>
          <w:rStyle w:val="Strong"/>
          <w:b w:val="0"/>
          <w:sz w:val="36"/>
          <w:szCs w:val="36"/>
        </w:rPr>
      </w:pPr>
    </w:p>
    <w:p w:rsidR="00893DE1" w:rsidRPr="007C2C05" w:rsidRDefault="00893DE1" w:rsidP="007C2C05">
      <w:pPr>
        <w:pStyle w:val="NormalWeb"/>
        <w:spacing w:before="0" w:beforeAutospacing="0" w:after="0" w:afterAutospacing="0"/>
        <w:rPr>
          <w:rStyle w:val="Strong"/>
          <w:b w:val="0"/>
          <w:sz w:val="36"/>
          <w:szCs w:val="36"/>
        </w:rPr>
      </w:pPr>
      <w:r w:rsidRPr="007C2C05">
        <w:rPr>
          <w:rStyle w:val="Strong"/>
          <w:sz w:val="36"/>
          <w:szCs w:val="36"/>
        </w:rPr>
        <w:t>Such a significant change in policies governing the process of tenure and promotion should be discussed and acted on by the Senate.</w:t>
      </w:r>
      <w:r w:rsidRPr="007C2C05">
        <w:rPr>
          <w:rStyle w:val="Strong"/>
          <w:b w:val="0"/>
          <w:sz w:val="36"/>
          <w:szCs w:val="36"/>
        </w:rPr>
        <w:t xml:space="preserve">  The Senate has had no such opportunity</w:t>
      </w:r>
      <w:r w:rsidR="00616821" w:rsidRPr="007C2C05">
        <w:rPr>
          <w:rStyle w:val="Strong"/>
          <w:b w:val="0"/>
          <w:sz w:val="36"/>
          <w:szCs w:val="36"/>
        </w:rPr>
        <w:t xml:space="preserve"> for such deliberations</w:t>
      </w:r>
      <w:r w:rsidRPr="007C2C05">
        <w:rPr>
          <w:rStyle w:val="Strong"/>
          <w:b w:val="0"/>
          <w:sz w:val="36"/>
          <w:szCs w:val="36"/>
        </w:rPr>
        <w:t xml:space="preserve">, except in the technical sense that it unwittingly approved </w:t>
      </w:r>
      <w:r w:rsidR="00D75C3E" w:rsidRPr="007C2C05">
        <w:rPr>
          <w:rStyle w:val="Strong"/>
          <w:b w:val="0"/>
          <w:sz w:val="36"/>
          <w:szCs w:val="36"/>
        </w:rPr>
        <w:t>the policy</w:t>
      </w:r>
      <w:r w:rsidRPr="007C2C05">
        <w:rPr>
          <w:rStyle w:val="Strong"/>
          <w:b w:val="0"/>
          <w:sz w:val="36"/>
          <w:szCs w:val="36"/>
        </w:rPr>
        <w:t xml:space="preserve"> when the entire FH-II was approved on 1 May 2012.</w:t>
      </w:r>
    </w:p>
    <w:p w:rsidR="00893DE1" w:rsidRPr="007C2C05" w:rsidRDefault="00893DE1" w:rsidP="007C2C05">
      <w:pPr>
        <w:pStyle w:val="NormalWeb"/>
        <w:spacing w:before="0" w:beforeAutospacing="0" w:after="0" w:afterAutospacing="0"/>
        <w:rPr>
          <w:rStyle w:val="Strong"/>
          <w:b w:val="0"/>
          <w:sz w:val="36"/>
          <w:szCs w:val="36"/>
        </w:rPr>
      </w:pPr>
    </w:p>
    <w:p w:rsidR="00893DE1" w:rsidRPr="007C2C05" w:rsidRDefault="0012398C" w:rsidP="007C2C05">
      <w:pPr>
        <w:pStyle w:val="NormalWeb"/>
        <w:spacing w:before="0" w:beforeAutospacing="0" w:after="0" w:afterAutospacing="0"/>
        <w:rPr>
          <w:rStyle w:val="Strong"/>
          <w:sz w:val="36"/>
          <w:szCs w:val="36"/>
        </w:rPr>
      </w:pPr>
      <w:r>
        <w:rPr>
          <w:rStyle w:val="Strong"/>
          <w:sz w:val="36"/>
          <w:szCs w:val="36"/>
        </w:rPr>
        <w:lastRenderedPageBreak/>
        <w:br/>
      </w:r>
      <w:r w:rsidR="00D75C3E" w:rsidRPr="007C2C05">
        <w:rPr>
          <w:rStyle w:val="Strong"/>
          <w:sz w:val="36"/>
          <w:szCs w:val="36"/>
        </w:rPr>
        <w:t xml:space="preserve">Main </w:t>
      </w:r>
      <w:r w:rsidR="00893DE1" w:rsidRPr="007C2C05">
        <w:rPr>
          <w:rStyle w:val="Strong"/>
          <w:sz w:val="36"/>
          <w:szCs w:val="36"/>
        </w:rPr>
        <w:t>Arguments against the Policy</w:t>
      </w:r>
    </w:p>
    <w:p w:rsidR="00893DE1" w:rsidRPr="007C2C05" w:rsidRDefault="00893DE1" w:rsidP="00AF5F42">
      <w:pPr>
        <w:pStyle w:val="NormalWeb"/>
        <w:numPr>
          <w:ilvl w:val="0"/>
          <w:numId w:val="1"/>
        </w:numPr>
        <w:spacing w:before="0" w:beforeAutospacing="0" w:after="240" w:afterAutospacing="0"/>
        <w:ind w:left="810"/>
        <w:rPr>
          <w:rStyle w:val="Strong"/>
          <w:b w:val="0"/>
          <w:sz w:val="36"/>
          <w:szCs w:val="36"/>
        </w:rPr>
      </w:pPr>
      <w:r w:rsidRPr="007C2C05">
        <w:rPr>
          <w:rStyle w:val="Strong"/>
          <w:b w:val="0"/>
          <w:sz w:val="36"/>
          <w:szCs w:val="36"/>
        </w:rPr>
        <w:t xml:space="preserve">No meaningful review of candidates’ annual progress toward tenure can take place in the absence of data on </w:t>
      </w:r>
      <w:r w:rsidRPr="007C2C05">
        <w:rPr>
          <w:rStyle w:val="Strong"/>
          <w:b w:val="0"/>
          <w:i/>
          <w:sz w:val="36"/>
          <w:szCs w:val="36"/>
        </w:rPr>
        <w:t>all</w:t>
      </w:r>
      <w:r w:rsidRPr="007C2C05">
        <w:rPr>
          <w:rStyle w:val="Strong"/>
          <w:b w:val="0"/>
          <w:sz w:val="36"/>
          <w:szCs w:val="36"/>
        </w:rPr>
        <w:t xml:space="preserve"> the FH criteria for tenure and promotion;</w:t>
      </w:r>
    </w:p>
    <w:p w:rsidR="00893DE1" w:rsidRPr="007C2C05" w:rsidRDefault="00893DE1" w:rsidP="00AF5F42">
      <w:pPr>
        <w:pStyle w:val="NormalWeb"/>
        <w:numPr>
          <w:ilvl w:val="0"/>
          <w:numId w:val="1"/>
        </w:numPr>
        <w:spacing w:after="240" w:afterAutospacing="0"/>
        <w:ind w:left="810"/>
        <w:rPr>
          <w:rStyle w:val="Strong"/>
          <w:b w:val="0"/>
          <w:sz w:val="36"/>
          <w:szCs w:val="36"/>
        </w:rPr>
      </w:pPr>
      <w:r w:rsidRPr="007C2C05">
        <w:rPr>
          <w:rStyle w:val="Strong"/>
          <w:b w:val="0"/>
          <w:sz w:val="36"/>
          <w:szCs w:val="36"/>
        </w:rPr>
        <w:t>The c.v. provides no information about teaching success;</w:t>
      </w:r>
    </w:p>
    <w:p w:rsidR="00893DE1" w:rsidRPr="007C2C05" w:rsidRDefault="00893DE1" w:rsidP="00AF5F42">
      <w:pPr>
        <w:pStyle w:val="NormalWeb"/>
        <w:numPr>
          <w:ilvl w:val="0"/>
          <w:numId w:val="1"/>
        </w:numPr>
        <w:spacing w:after="240" w:afterAutospacing="0"/>
        <w:ind w:left="810"/>
        <w:rPr>
          <w:rStyle w:val="Strong"/>
          <w:b w:val="0"/>
          <w:sz w:val="36"/>
          <w:szCs w:val="36"/>
        </w:rPr>
      </w:pPr>
      <w:r w:rsidRPr="007C2C05">
        <w:rPr>
          <w:rStyle w:val="Strong"/>
          <w:b w:val="0"/>
          <w:sz w:val="36"/>
          <w:szCs w:val="36"/>
        </w:rPr>
        <w:t xml:space="preserve">Providing </w:t>
      </w:r>
      <w:bookmarkStart w:id="0" w:name="_GoBack"/>
      <w:bookmarkEnd w:id="0"/>
      <w:r w:rsidRPr="007C2C05">
        <w:rPr>
          <w:rStyle w:val="Strong"/>
          <w:b w:val="0"/>
          <w:sz w:val="36"/>
          <w:szCs w:val="36"/>
        </w:rPr>
        <w:t>a broader range of data equivalent to that of a third-year review would make the procedure unmanageable for units that have a large number of junior faculty;</w:t>
      </w:r>
    </w:p>
    <w:p w:rsidR="00893DE1" w:rsidRPr="007C2C05" w:rsidRDefault="00893DE1" w:rsidP="00AF5F42">
      <w:pPr>
        <w:pStyle w:val="NormalWeb"/>
        <w:numPr>
          <w:ilvl w:val="0"/>
          <w:numId w:val="1"/>
        </w:numPr>
        <w:spacing w:after="240" w:afterAutospacing="0"/>
        <w:ind w:left="810"/>
        <w:rPr>
          <w:rStyle w:val="Strong"/>
          <w:b w:val="0"/>
          <w:sz w:val="36"/>
          <w:szCs w:val="36"/>
        </w:rPr>
      </w:pPr>
      <w:r w:rsidRPr="007C2C05">
        <w:rPr>
          <w:rStyle w:val="Strong"/>
          <w:b w:val="0"/>
          <w:sz w:val="36"/>
          <w:szCs w:val="36"/>
        </w:rPr>
        <w:t>The department head/chair already conducts an annual review based on all the available data, including peer reviews of teaching, student teaching evaluations, copies of publications, etc.</w:t>
      </w:r>
    </w:p>
    <w:p w:rsidR="00893DE1" w:rsidRPr="007C2C05" w:rsidRDefault="00893DE1" w:rsidP="00AF5F42">
      <w:pPr>
        <w:pStyle w:val="NormalWeb"/>
        <w:numPr>
          <w:ilvl w:val="0"/>
          <w:numId w:val="1"/>
        </w:numPr>
        <w:spacing w:after="240" w:afterAutospacing="0"/>
        <w:ind w:left="810"/>
        <w:rPr>
          <w:rStyle w:val="Strong"/>
          <w:b w:val="0"/>
          <w:sz w:val="36"/>
          <w:szCs w:val="36"/>
        </w:rPr>
      </w:pPr>
      <w:r w:rsidRPr="007C2C05">
        <w:rPr>
          <w:rStyle w:val="Strong"/>
          <w:b w:val="0"/>
          <w:sz w:val="36"/>
          <w:szCs w:val="36"/>
        </w:rPr>
        <w:t>All academic units have recently clarified their standards for tenure and promotion, making unnecessary an annual procedu</w:t>
      </w:r>
      <w:r w:rsidR="00F249B2" w:rsidRPr="007C2C05">
        <w:rPr>
          <w:rStyle w:val="Strong"/>
          <w:b w:val="0"/>
          <w:sz w:val="36"/>
          <w:szCs w:val="36"/>
        </w:rPr>
        <w:t xml:space="preserve">re by which tenured faculty </w:t>
      </w:r>
      <w:r w:rsidRPr="007C2C05">
        <w:rPr>
          <w:rStyle w:val="Strong"/>
          <w:b w:val="0"/>
          <w:sz w:val="36"/>
          <w:szCs w:val="36"/>
        </w:rPr>
        <w:t xml:space="preserve">make judgments about progress towards tenure. </w:t>
      </w:r>
    </w:p>
    <w:p w:rsidR="00F249B2" w:rsidRPr="007C2C05" w:rsidRDefault="00F249B2" w:rsidP="007C2C05">
      <w:pPr>
        <w:pStyle w:val="NormalWeb"/>
        <w:rPr>
          <w:b/>
          <w:sz w:val="36"/>
          <w:szCs w:val="36"/>
        </w:rPr>
      </w:pPr>
      <w:r w:rsidRPr="007C2C05">
        <w:rPr>
          <w:sz w:val="36"/>
          <w:szCs w:val="36"/>
        </w:rPr>
        <w:t>In short, annual tenure review is a waste of faculty effort at best and potentially misleading to junior faculty at worst.</w:t>
      </w:r>
      <w:r w:rsidRPr="007C2C05">
        <w:rPr>
          <w:rStyle w:val="Strong"/>
          <w:b w:val="0"/>
          <w:sz w:val="36"/>
          <w:szCs w:val="36"/>
        </w:rPr>
        <w:t xml:space="preserve">  </w:t>
      </w:r>
      <w:r w:rsidRPr="007C2C05">
        <w:rPr>
          <w:b/>
          <w:sz w:val="36"/>
          <w:szCs w:val="36"/>
        </w:rPr>
        <w:t>The burden of proof should rest with those who believe that annual tenure review in any form is a good policy.</w:t>
      </w:r>
    </w:p>
    <w:p w:rsidR="00C62E8E" w:rsidRPr="00926477" w:rsidRDefault="00C62E8E" w:rsidP="00616821">
      <w:pPr>
        <w:jc w:val="center"/>
        <w:rPr>
          <w:rStyle w:val="Strong"/>
          <w:b w:val="0"/>
        </w:rPr>
      </w:pPr>
      <w:r w:rsidRPr="00926477">
        <w:rPr>
          <w:rStyle w:val="Strong"/>
          <w:b w:val="0"/>
        </w:rPr>
        <w:t>Links</w:t>
      </w:r>
    </w:p>
    <w:p w:rsidR="00C62E8E" w:rsidRPr="00926477" w:rsidRDefault="00616821" w:rsidP="00C62E8E">
      <w:pPr>
        <w:pStyle w:val="NormalWeb"/>
        <w:spacing w:before="0" w:beforeAutospacing="0" w:after="0" w:afterAutospacing="0"/>
        <w:rPr>
          <w:rStyle w:val="Strong"/>
          <w:b w:val="0"/>
          <w:sz w:val="22"/>
          <w:szCs w:val="22"/>
        </w:rPr>
      </w:pPr>
      <w:r w:rsidRPr="00926477">
        <w:rPr>
          <w:rStyle w:val="Strong"/>
          <w:b w:val="0"/>
          <w:sz w:val="22"/>
          <w:szCs w:val="22"/>
        </w:rPr>
        <w:t>Senate, Minutes (</w:t>
      </w:r>
      <w:r w:rsidR="00C62E8E" w:rsidRPr="00926477">
        <w:rPr>
          <w:rStyle w:val="Strong"/>
          <w:b w:val="0"/>
          <w:sz w:val="22"/>
          <w:szCs w:val="22"/>
        </w:rPr>
        <w:t>4 March 2003</w:t>
      </w:r>
      <w:r w:rsidRPr="00926477">
        <w:rPr>
          <w:rStyle w:val="Strong"/>
          <w:b w:val="0"/>
          <w:sz w:val="22"/>
          <w:szCs w:val="22"/>
        </w:rPr>
        <w:t>)</w:t>
      </w:r>
      <w:r w:rsidR="00C62E8E" w:rsidRPr="00926477">
        <w:rPr>
          <w:rStyle w:val="Strong"/>
          <w:b w:val="0"/>
          <w:sz w:val="22"/>
          <w:szCs w:val="22"/>
        </w:rPr>
        <w:t xml:space="preserve"> </w:t>
      </w:r>
      <w:hyperlink r:id="rId6" w:history="1">
        <w:r w:rsidR="00C62E8E" w:rsidRPr="00926477">
          <w:rPr>
            <w:rStyle w:val="Hyperlink"/>
            <w:sz w:val="22"/>
            <w:szCs w:val="22"/>
          </w:rPr>
          <w:t>www.auburn.edu/administration/governance/senate/website/minutes/2002_2003/min_3_4_2003.html</w:t>
        </w:r>
      </w:hyperlink>
    </w:p>
    <w:p w:rsidR="00616821" w:rsidRPr="00926477" w:rsidRDefault="00616821" w:rsidP="00C62E8E">
      <w:pPr>
        <w:pStyle w:val="NormalWeb"/>
        <w:spacing w:before="0" w:beforeAutospacing="0" w:after="0" w:afterAutospacing="0"/>
        <w:rPr>
          <w:rStyle w:val="Strong"/>
          <w:b w:val="0"/>
          <w:sz w:val="22"/>
          <w:szCs w:val="22"/>
        </w:rPr>
      </w:pPr>
    </w:p>
    <w:p w:rsidR="00616821" w:rsidRPr="00926477" w:rsidRDefault="00616821" w:rsidP="00C62E8E">
      <w:pPr>
        <w:pStyle w:val="NormalWeb"/>
        <w:spacing w:before="0" w:beforeAutospacing="0" w:after="0" w:afterAutospacing="0"/>
        <w:rPr>
          <w:rStyle w:val="Strong"/>
          <w:b w:val="0"/>
          <w:sz w:val="22"/>
          <w:szCs w:val="22"/>
        </w:rPr>
      </w:pPr>
      <w:r w:rsidRPr="00926477">
        <w:rPr>
          <w:rStyle w:val="Strong"/>
          <w:b w:val="0"/>
          <w:sz w:val="22"/>
          <w:szCs w:val="22"/>
        </w:rPr>
        <w:t>Provost, “Annual Tenure Review Guidelines” (revised May 6, 2009)</w:t>
      </w:r>
    </w:p>
    <w:p w:rsidR="00616821" w:rsidRPr="00926477" w:rsidRDefault="00AF5F42" w:rsidP="00C62E8E">
      <w:pPr>
        <w:pStyle w:val="NormalWeb"/>
        <w:spacing w:before="0" w:beforeAutospacing="0" w:after="0" w:afterAutospacing="0"/>
        <w:rPr>
          <w:rStyle w:val="Strong"/>
          <w:b w:val="0"/>
          <w:sz w:val="22"/>
          <w:szCs w:val="22"/>
        </w:rPr>
      </w:pPr>
      <w:hyperlink r:id="rId7" w:history="1">
        <w:r w:rsidR="00616821" w:rsidRPr="00926477">
          <w:rPr>
            <w:rStyle w:val="Hyperlink"/>
            <w:sz w:val="22"/>
            <w:szCs w:val="22"/>
          </w:rPr>
          <w:t>www.auburn.edu/academic/provost/policies/Annual_Tenure_Review_Guidelines.html</w:t>
        </w:r>
      </w:hyperlink>
    </w:p>
    <w:p w:rsidR="00616821" w:rsidRPr="00926477" w:rsidRDefault="00616821" w:rsidP="00C62E8E">
      <w:pPr>
        <w:pStyle w:val="NormalWeb"/>
        <w:spacing w:before="0" w:beforeAutospacing="0" w:after="0" w:afterAutospacing="0"/>
        <w:rPr>
          <w:rStyle w:val="Strong"/>
          <w:b w:val="0"/>
          <w:sz w:val="22"/>
          <w:szCs w:val="22"/>
        </w:rPr>
      </w:pPr>
    </w:p>
    <w:p w:rsidR="00893DE1" w:rsidRPr="00926477" w:rsidRDefault="00F249B2">
      <w:pPr>
        <w:rPr>
          <w:b/>
        </w:rPr>
      </w:pPr>
      <w:r w:rsidRPr="00926477">
        <w:rPr>
          <w:rStyle w:val="Strong"/>
          <w:b w:val="0"/>
        </w:rPr>
        <w:t xml:space="preserve"> </w:t>
      </w:r>
    </w:p>
    <w:sectPr w:rsidR="00893DE1" w:rsidRPr="00926477" w:rsidSect="007C2C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209EA"/>
    <w:multiLevelType w:val="hybridMultilevel"/>
    <w:tmpl w:val="8E26C150"/>
    <w:lvl w:ilvl="0" w:tplc="571AD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66CF1"/>
    <w:multiLevelType w:val="hybridMultilevel"/>
    <w:tmpl w:val="91365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D34EC"/>
    <w:multiLevelType w:val="hybridMultilevel"/>
    <w:tmpl w:val="EEACFC0E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E1"/>
    <w:rsid w:val="0012398C"/>
    <w:rsid w:val="00491873"/>
    <w:rsid w:val="004F73E0"/>
    <w:rsid w:val="00616821"/>
    <w:rsid w:val="0062743E"/>
    <w:rsid w:val="007C2C05"/>
    <w:rsid w:val="00893DE1"/>
    <w:rsid w:val="00926477"/>
    <w:rsid w:val="00AF4D13"/>
    <w:rsid w:val="00AF5F42"/>
    <w:rsid w:val="00C62E8E"/>
    <w:rsid w:val="00D75C3E"/>
    <w:rsid w:val="00E81C82"/>
    <w:rsid w:val="00F2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93DE1"/>
    <w:rPr>
      <w:b/>
      <w:bCs/>
    </w:rPr>
  </w:style>
  <w:style w:type="paragraph" w:styleId="NormalWeb">
    <w:name w:val="Normal (Web)"/>
    <w:basedOn w:val="Normal"/>
    <w:uiPriority w:val="99"/>
    <w:unhideWhenUsed/>
    <w:rsid w:val="00893DE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3D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73E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F73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93DE1"/>
    <w:rPr>
      <w:b/>
      <w:bCs/>
    </w:rPr>
  </w:style>
  <w:style w:type="paragraph" w:styleId="NormalWeb">
    <w:name w:val="Normal (Web)"/>
    <w:basedOn w:val="Normal"/>
    <w:uiPriority w:val="99"/>
    <w:unhideWhenUsed/>
    <w:rsid w:val="00893DE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3D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73E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F73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uburn.edu/academic/provost/policies/Annual_Tenure_Review_Guidelin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burn.edu/administration/governance/senate/website/minutes/2002_2003/min_3_4_200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Goldstein</dc:creator>
  <cp:lastModifiedBy>University Senate</cp:lastModifiedBy>
  <cp:revision>6</cp:revision>
  <cp:lastPrinted>2013-02-27T22:14:00Z</cp:lastPrinted>
  <dcterms:created xsi:type="dcterms:W3CDTF">2013-02-27T21:24:00Z</dcterms:created>
  <dcterms:modified xsi:type="dcterms:W3CDTF">2013-03-04T17:44:00Z</dcterms:modified>
</cp:coreProperties>
</file>