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0DD" w:rsidRDefault="00F3225A" w:rsidP="001200DD">
      <w:pPr>
        <w:jc w:val="center"/>
      </w:pPr>
      <w:bookmarkStart w:id="0" w:name="_GoBack"/>
      <w:bookmarkEnd w:id="0"/>
      <w:r w:rsidRPr="003E471C">
        <w:rPr>
          <w:b/>
        </w:rPr>
        <w:t xml:space="preserve">Senate Executive Committee Report </w:t>
      </w:r>
      <w:r w:rsidR="001200DD" w:rsidRPr="003E471C">
        <w:rPr>
          <w:b/>
        </w:rPr>
        <w:t>on Department Bylaws</w:t>
      </w:r>
      <w:r w:rsidR="00F85675">
        <w:t xml:space="preserve"> (June 4,</w:t>
      </w:r>
      <w:r w:rsidR="00A877A7">
        <w:t xml:space="preserve"> 2018)</w:t>
      </w:r>
    </w:p>
    <w:p w:rsidR="00CC37ED" w:rsidRPr="00CC37ED" w:rsidRDefault="00CC37ED" w:rsidP="00E4024E">
      <w:pPr>
        <w:rPr>
          <w:b/>
        </w:rPr>
      </w:pPr>
      <w:r w:rsidRPr="00CC37ED">
        <w:rPr>
          <w:b/>
        </w:rPr>
        <w:t>Introduction</w:t>
      </w:r>
    </w:p>
    <w:p w:rsidR="000D125A" w:rsidRPr="00F3225A" w:rsidRDefault="00911097" w:rsidP="00E4024E">
      <w:r>
        <w:t xml:space="preserve">By tradition and custom, shared governance is a central academic value not only for the university as a whole, but </w:t>
      </w:r>
      <w:r w:rsidR="00A877A7">
        <w:t xml:space="preserve">also </w:t>
      </w:r>
      <w:r>
        <w:t xml:space="preserve">for individual academic </w:t>
      </w:r>
      <w:r w:rsidR="00A877A7">
        <w:t xml:space="preserve">departments and </w:t>
      </w:r>
      <w:r>
        <w:t xml:space="preserve">units.  </w:t>
      </w:r>
      <w:r w:rsidR="00014E54">
        <w:t xml:space="preserve">Written bylaws (sometimes called policies and procedures or charters in some departments on campus) </w:t>
      </w:r>
      <w:r w:rsidR="00F85675">
        <w:t xml:space="preserve">are </w:t>
      </w:r>
      <w:r w:rsidR="00014E54">
        <w:t xml:space="preserve">typically </w:t>
      </w:r>
      <w:r w:rsidR="00F85675">
        <w:t xml:space="preserve">used by an organization to codify its rules for how it governs itself and conducts its business.  </w:t>
      </w:r>
      <w:r w:rsidR="001200DD">
        <w:t xml:space="preserve">Following the advice of the Auburn University Chapter of the AAUP, the Senate leadership has been discussing with the Provost’s Office the </w:t>
      </w:r>
      <w:r>
        <w:t xml:space="preserve">value </w:t>
      </w:r>
      <w:r w:rsidR="00A50DE2">
        <w:t xml:space="preserve">of </w:t>
      </w:r>
      <w:r w:rsidR="001200DD">
        <w:t xml:space="preserve">bylaws </w:t>
      </w:r>
      <w:r>
        <w:t xml:space="preserve">for </w:t>
      </w:r>
      <w:r w:rsidR="00A50DE2">
        <w:t>clarify</w:t>
      </w:r>
      <w:r>
        <w:t>ing</w:t>
      </w:r>
      <w:r w:rsidR="00A50DE2">
        <w:t xml:space="preserve"> the expectations for </w:t>
      </w:r>
      <w:r w:rsidR="001200DD">
        <w:t xml:space="preserve">shared governance </w:t>
      </w:r>
      <w:r w:rsidR="00A50DE2">
        <w:t xml:space="preserve">within academic departments and other comparable units.  In </w:t>
      </w:r>
      <w:proofErr w:type="gramStart"/>
      <w:r w:rsidR="00A50DE2">
        <w:t>Spring</w:t>
      </w:r>
      <w:proofErr w:type="gramEnd"/>
      <w:r w:rsidR="00A50DE2">
        <w:t xml:space="preserve"> 2017 the Provost’s Office </w:t>
      </w:r>
      <w:r w:rsidR="006A4DA4">
        <w:t>requested from the colleges and schools all currently existing bylaws</w:t>
      </w:r>
      <w:r w:rsidR="00A50DE2">
        <w:t xml:space="preserve">.  The responses revealed that </w:t>
      </w:r>
      <w:r w:rsidR="00F85675">
        <w:t xml:space="preserve">few departments have bylaws </w:t>
      </w:r>
      <w:r w:rsidR="00A50DE2">
        <w:t>outside of the College of Liberal Arts and the College of Agriculture</w:t>
      </w:r>
      <w:r w:rsidR="00CC37ED">
        <w:t xml:space="preserve"> (see Appendix below)</w:t>
      </w:r>
      <w:r w:rsidR="00014E54">
        <w:t xml:space="preserve">.  </w:t>
      </w:r>
      <w:r w:rsidR="00A50DE2">
        <w:t xml:space="preserve">After a review </w:t>
      </w:r>
      <w:r>
        <w:t xml:space="preserve">of the existing internal governance documents conducted in May 2018 </w:t>
      </w:r>
      <w:r w:rsidR="00A50DE2">
        <w:t>by James Goldstein, Immediate Past Chair of the Senate</w:t>
      </w:r>
      <w:r>
        <w:t>,</w:t>
      </w:r>
      <w:r w:rsidR="00A50DE2">
        <w:t xml:space="preserve"> </w:t>
      </w:r>
      <w:r w:rsidR="00A50DE2" w:rsidRPr="00014E54">
        <w:t xml:space="preserve">the </w:t>
      </w:r>
      <w:r w:rsidR="00E4024E" w:rsidRPr="00014E54">
        <w:t xml:space="preserve">Senate Executive Committee </w:t>
      </w:r>
      <w:r w:rsidR="00F3225A" w:rsidRPr="00014E54">
        <w:t>offers this report</w:t>
      </w:r>
      <w:r w:rsidR="00547B65" w:rsidRPr="00014E54">
        <w:t xml:space="preserve"> to the University Senate</w:t>
      </w:r>
      <w:r w:rsidR="00F3225A" w:rsidRPr="00014E54">
        <w:t xml:space="preserve">, with </w:t>
      </w:r>
      <w:r w:rsidR="003E471C">
        <w:t xml:space="preserve">suggestions to </w:t>
      </w:r>
      <w:r w:rsidR="00E4024E" w:rsidRPr="00014E54">
        <w:t>department</w:t>
      </w:r>
      <w:r w:rsidR="006700F0" w:rsidRPr="00014E54">
        <w:t>s</w:t>
      </w:r>
      <w:r w:rsidR="00E4024E" w:rsidRPr="00014E54">
        <w:t xml:space="preserve"> </w:t>
      </w:r>
      <w:r w:rsidR="00F32192" w:rsidRPr="00014E54">
        <w:t xml:space="preserve">or </w:t>
      </w:r>
      <w:r w:rsidR="00E4024E" w:rsidRPr="00014E54">
        <w:t>other comparable academic unit</w:t>
      </w:r>
      <w:r w:rsidR="006700F0" w:rsidRPr="00014E54">
        <w:t>s</w:t>
      </w:r>
      <w:r w:rsidR="00E4024E" w:rsidRPr="00014E54">
        <w:t xml:space="preserve"> </w:t>
      </w:r>
      <w:r w:rsidR="003E471C">
        <w:t xml:space="preserve">that wish to </w:t>
      </w:r>
      <w:r w:rsidR="00F3225A" w:rsidRPr="00014E54">
        <w:t xml:space="preserve">consider creating </w:t>
      </w:r>
      <w:r w:rsidR="00F32192" w:rsidRPr="00014E54">
        <w:t>bylaws</w:t>
      </w:r>
      <w:r w:rsidR="00F3225A" w:rsidRPr="00014E54">
        <w:t xml:space="preserve"> for internal governance</w:t>
      </w:r>
      <w:r w:rsidR="00F32192" w:rsidRPr="00014E54">
        <w:t>.</w:t>
      </w:r>
    </w:p>
    <w:p w:rsidR="00CC37ED" w:rsidRDefault="00CC37ED" w:rsidP="00CC37ED"/>
    <w:p w:rsidR="00CC37ED" w:rsidRPr="00CC37ED" w:rsidRDefault="00CC37ED" w:rsidP="00CC37ED">
      <w:pPr>
        <w:rPr>
          <w:b/>
        </w:rPr>
      </w:pPr>
      <w:r w:rsidRPr="00CC37ED">
        <w:rPr>
          <w:b/>
        </w:rPr>
        <w:t>Rationale</w:t>
      </w:r>
      <w:r>
        <w:rPr>
          <w:b/>
        </w:rPr>
        <w:t xml:space="preserve"> for bylaws</w:t>
      </w:r>
    </w:p>
    <w:p w:rsidR="00E4024E" w:rsidRDefault="00911097" w:rsidP="00CC37ED">
      <w:r>
        <w:t xml:space="preserve">Although many departments have long operated without a formal written document codifying internal governance, </w:t>
      </w:r>
      <w:r w:rsidR="00F3225A">
        <w:t xml:space="preserve">in our view </w:t>
      </w:r>
      <w:r>
        <w:t xml:space="preserve">the benefits of having written bylaws </w:t>
      </w:r>
      <w:r w:rsidR="000D125A">
        <w:t xml:space="preserve">will likely </w:t>
      </w:r>
      <w:r>
        <w:t xml:space="preserve">outweigh the inconvenience of creating them.  </w:t>
      </w:r>
      <w:r w:rsidR="00F3225A" w:rsidRPr="00014E54">
        <w:t>Bylaws are especially useful for newly hired faculty members who wish to understand the culture of shared governance in the department or unit.</w:t>
      </w:r>
      <w:r w:rsidR="00F3225A">
        <w:t xml:space="preserve">  </w:t>
      </w:r>
      <w:r w:rsidR="00D1610B">
        <w:t>B</w:t>
      </w:r>
      <w:r w:rsidR="00F32192">
        <w:t xml:space="preserve">ylaws </w:t>
      </w:r>
      <w:r w:rsidR="001200DD">
        <w:t>provid</w:t>
      </w:r>
      <w:r w:rsidR="00D1610B">
        <w:t>e</w:t>
      </w:r>
      <w:r w:rsidR="001200DD">
        <w:t xml:space="preserve"> </w:t>
      </w:r>
      <w:r w:rsidR="00F32192">
        <w:t xml:space="preserve">clarity and transparency </w:t>
      </w:r>
      <w:r w:rsidR="000D125A">
        <w:t xml:space="preserve">to faculty members </w:t>
      </w:r>
      <w:r w:rsidR="001200DD">
        <w:t xml:space="preserve">about </w:t>
      </w:r>
      <w:r w:rsidR="00F32192">
        <w:t>how internal decisions affecting the department are made, including administrative appointments</w:t>
      </w:r>
      <w:r w:rsidR="00D1610B">
        <w:t xml:space="preserve">, </w:t>
      </w:r>
      <w:r w:rsidR="00014E54">
        <w:t>c</w:t>
      </w:r>
      <w:r w:rsidR="00F32192">
        <w:t>ommittee</w:t>
      </w:r>
      <w:r w:rsidR="00014E54">
        <w:t xml:space="preserve"> work</w:t>
      </w:r>
      <w:r w:rsidR="00F32192">
        <w:t xml:space="preserve">, curricular design, </w:t>
      </w:r>
      <w:r w:rsidR="00CC37ED">
        <w:t xml:space="preserve">managing </w:t>
      </w:r>
      <w:r w:rsidR="00F32192">
        <w:t xml:space="preserve">resources, </w:t>
      </w:r>
      <w:r w:rsidR="000D125A">
        <w:t xml:space="preserve">long-term planning, </w:t>
      </w:r>
      <w:r w:rsidR="00F32192">
        <w:t xml:space="preserve">and other forms </w:t>
      </w:r>
      <w:r w:rsidR="00B91DBC">
        <w:t xml:space="preserve">of </w:t>
      </w:r>
      <w:r w:rsidR="00F32192">
        <w:t xml:space="preserve">participation in </w:t>
      </w:r>
      <w:r w:rsidR="00B91DBC">
        <w:t>a</w:t>
      </w:r>
      <w:r w:rsidR="00F32192">
        <w:t xml:space="preserve"> collective decision-making process</w:t>
      </w:r>
      <w:r w:rsidR="001200DD">
        <w:t>.</w:t>
      </w:r>
      <w:r w:rsidR="00F32192">
        <w:t xml:space="preserve"> </w:t>
      </w:r>
      <w:r w:rsidR="001200DD">
        <w:t xml:space="preserve"> </w:t>
      </w:r>
      <w:r w:rsidR="00D1610B">
        <w:t xml:space="preserve">Bylaws </w:t>
      </w:r>
      <w:r w:rsidR="001200DD">
        <w:t xml:space="preserve">may also </w:t>
      </w:r>
      <w:r w:rsidR="00D1610B">
        <w:t xml:space="preserve">prove </w:t>
      </w:r>
      <w:r w:rsidR="001200DD">
        <w:t xml:space="preserve">useful </w:t>
      </w:r>
      <w:r w:rsidR="00D1610B">
        <w:t xml:space="preserve">to </w:t>
      </w:r>
      <w:r w:rsidR="00B91DBC">
        <w:t xml:space="preserve">a </w:t>
      </w:r>
      <w:r w:rsidR="00D1610B">
        <w:t>d</w:t>
      </w:r>
      <w:r w:rsidR="001200DD">
        <w:t xml:space="preserve">epartment </w:t>
      </w:r>
      <w:r w:rsidR="00B91DBC">
        <w:t xml:space="preserve">or unit </w:t>
      </w:r>
      <w:r w:rsidR="00D1610B">
        <w:t>that seek</w:t>
      </w:r>
      <w:r w:rsidR="00B91DBC">
        <w:t>s</w:t>
      </w:r>
      <w:r w:rsidR="00D1610B">
        <w:t xml:space="preserve"> </w:t>
      </w:r>
      <w:r w:rsidR="001200DD">
        <w:t xml:space="preserve">to understand how </w:t>
      </w:r>
      <w:r w:rsidR="00B91DBC">
        <w:t>its</w:t>
      </w:r>
      <w:r w:rsidR="001200DD">
        <w:t xml:space="preserve"> governance practices compare with those of </w:t>
      </w:r>
      <w:r w:rsidR="00B91DBC">
        <w:t xml:space="preserve">similar </w:t>
      </w:r>
      <w:r w:rsidR="001200DD">
        <w:t>units on campus.</w:t>
      </w:r>
      <w:r w:rsidR="006A4DA4">
        <w:t xml:space="preserve">  </w:t>
      </w:r>
      <w:r w:rsidR="00F3225A">
        <w:t xml:space="preserve">The process of writing bylaws provides an opportunity for an academic unit to </w:t>
      </w:r>
      <w:r w:rsidR="00F3225A">
        <w:lastRenderedPageBreak/>
        <w:t xml:space="preserve">think intentionally about its shared expectations for governance, and to articulate those expectations carefully in writing.  </w:t>
      </w:r>
      <w:r w:rsidR="006A4DA4" w:rsidRPr="00014E54">
        <w:t xml:space="preserve">Finally, bylaws can strengthen </w:t>
      </w:r>
      <w:r w:rsidR="00F3225A" w:rsidRPr="00014E54">
        <w:t xml:space="preserve">mutual understandings between </w:t>
      </w:r>
      <w:r w:rsidR="006A4DA4" w:rsidRPr="00014E54">
        <w:t xml:space="preserve">a department and college and university administrations </w:t>
      </w:r>
      <w:r w:rsidR="00F3225A" w:rsidRPr="00014E54">
        <w:t xml:space="preserve">about </w:t>
      </w:r>
      <w:r w:rsidR="006A4DA4" w:rsidRPr="00014E54">
        <w:t>self-governance in matters that are primarily internal</w:t>
      </w:r>
      <w:r w:rsidR="00B91DBC" w:rsidRPr="00014E54">
        <w:t xml:space="preserve"> to the department.</w:t>
      </w:r>
      <w:r w:rsidR="006A4DA4">
        <w:t xml:space="preserve"> </w:t>
      </w:r>
    </w:p>
    <w:p w:rsidR="00CC37ED" w:rsidRDefault="00D1610B" w:rsidP="00E4024E">
      <w:r>
        <w:tab/>
      </w:r>
    </w:p>
    <w:p w:rsidR="00CC37ED" w:rsidRPr="00CC37ED" w:rsidRDefault="00CC37ED" w:rsidP="00E4024E">
      <w:pPr>
        <w:rPr>
          <w:b/>
        </w:rPr>
      </w:pPr>
      <w:r w:rsidRPr="00CC37ED">
        <w:rPr>
          <w:b/>
        </w:rPr>
        <w:t>Findings</w:t>
      </w:r>
      <w:r w:rsidR="00303150">
        <w:rPr>
          <w:b/>
        </w:rPr>
        <w:t xml:space="preserve"> and Recommendations</w:t>
      </w:r>
    </w:p>
    <w:p w:rsidR="00F32192" w:rsidRDefault="00D1610B" w:rsidP="00E4024E">
      <w:r>
        <w:t xml:space="preserve">Because departments and </w:t>
      </w:r>
      <w:r w:rsidR="000D125A">
        <w:t xml:space="preserve">comparable </w:t>
      </w:r>
      <w:r>
        <w:t xml:space="preserve">academic units on campus vary greatly in </w:t>
      </w:r>
      <w:r w:rsidR="000D125A">
        <w:t xml:space="preserve">mission, </w:t>
      </w:r>
      <w:r>
        <w:t>history, size and complexity, number and kinds of degree programs, proportion of tenure-line to non-tenure-track faculty,</w:t>
      </w:r>
      <w:r w:rsidR="000D125A">
        <w:t xml:space="preserve"> internal and external constituencies, etc., </w:t>
      </w:r>
      <w:r>
        <w:t xml:space="preserve">no single template for bylaws would </w:t>
      </w:r>
      <w:r w:rsidR="000D125A">
        <w:t xml:space="preserve">likely </w:t>
      </w:r>
      <w:r>
        <w:t xml:space="preserve">serve the needs of all departments.  However, for departments considering the creation of bylaws for the first time, the following list provides a sense of the </w:t>
      </w:r>
      <w:r w:rsidR="00B91DBC">
        <w:t xml:space="preserve">range of topics </w:t>
      </w:r>
      <w:r>
        <w:t>that are frequently included in governance documents.  Excluded are such matters as the department’</w:t>
      </w:r>
      <w:r w:rsidR="005C5718">
        <w:t>s p</w:t>
      </w:r>
      <w:r>
        <w:t xml:space="preserve">romotion </w:t>
      </w:r>
      <w:r w:rsidR="005C5718">
        <w:t>and tenure s</w:t>
      </w:r>
      <w:r>
        <w:t>tandards</w:t>
      </w:r>
      <w:r w:rsidR="000D125A">
        <w:t xml:space="preserve">, and </w:t>
      </w:r>
      <w:r w:rsidR="005C5718">
        <w:t xml:space="preserve">other </w:t>
      </w:r>
      <w:r>
        <w:t>policies and procedures that do not directly pertain to matters of shared govern</w:t>
      </w:r>
      <w:r w:rsidR="005C5718">
        <w:t xml:space="preserve">ance, such as policies on leaves and other research support, course loads, </w:t>
      </w:r>
      <w:r w:rsidR="00C82F86">
        <w:t xml:space="preserve">assignment of workspace, </w:t>
      </w:r>
      <w:r w:rsidR="005C5718">
        <w:t>summer teaching, etc.</w:t>
      </w:r>
    </w:p>
    <w:p w:rsidR="000D125A" w:rsidRDefault="000D125A" w:rsidP="00E4024E"/>
    <w:p w:rsidR="004620EF" w:rsidRPr="00303150" w:rsidRDefault="006C017F" w:rsidP="00416328">
      <w:pPr>
        <w:jc w:val="center"/>
        <w:rPr>
          <w:b/>
        </w:rPr>
      </w:pPr>
      <w:r w:rsidRPr="00303150">
        <w:rPr>
          <w:b/>
        </w:rPr>
        <w:t xml:space="preserve">Typical Content </w:t>
      </w:r>
      <w:r w:rsidR="00416328" w:rsidRPr="00303150">
        <w:rPr>
          <w:b/>
        </w:rPr>
        <w:t>of Department/Unit Bylaws</w:t>
      </w:r>
    </w:p>
    <w:p w:rsidR="00B16715" w:rsidRPr="006C017F" w:rsidRDefault="00B16715" w:rsidP="006E73C1">
      <w:pPr>
        <w:pStyle w:val="ListParagraph"/>
        <w:numPr>
          <w:ilvl w:val="0"/>
          <w:numId w:val="2"/>
        </w:numPr>
      </w:pPr>
      <w:r w:rsidRPr="006C017F">
        <w:rPr>
          <w:b/>
        </w:rPr>
        <w:t>Date</w:t>
      </w:r>
      <w:r w:rsidRPr="006C017F">
        <w:t xml:space="preserve"> of original and amended versions of bylaws</w:t>
      </w:r>
    </w:p>
    <w:p w:rsidR="00416328" w:rsidRDefault="00416328" w:rsidP="006E73C1">
      <w:pPr>
        <w:pStyle w:val="ListParagraph"/>
        <w:numPr>
          <w:ilvl w:val="0"/>
          <w:numId w:val="2"/>
        </w:numPr>
      </w:pPr>
      <w:r w:rsidRPr="006C017F">
        <w:rPr>
          <w:b/>
        </w:rPr>
        <w:t>Introduction</w:t>
      </w:r>
      <w:r>
        <w:t xml:space="preserve"> (may include mission statement, purpose, etc.)</w:t>
      </w:r>
      <w:r w:rsidR="006E73C1">
        <w:t xml:space="preserve">; </w:t>
      </w:r>
      <w:r w:rsidR="006E73C1" w:rsidRPr="006C017F">
        <w:t xml:space="preserve">statement that college and university policies (e.g. </w:t>
      </w:r>
      <w:r w:rsidR="006E73C1" w:rsidRPr="006C017F">
        <w:rPr>
          <w:i/>
        </w:rPr>
        <w:t>Faculty Handbook</w:t>
      </w:r>
      <w:r w:rsidR="006E73C1" w:rsidRPr="006C017F">
        <w:t>) take precedence over department bylaws</w:t>
      </w:r>
    </w:p>
    <w:p w:rsidR="00416328" w:rsidRDefault="00416328" w:rsidP="00416328">
      <w:pPr>
        <w:pStyle w:val="ListParagraph"/>
        <w:numPr>
          <w:ilvl w:val="0"/>
          <w:numId w:val="1"/>
        </w:numPr>
      </w:pPr>
      <w:r w:rsidRPr="006C017F">
        <w:rPr>
          <w:b/>
        </w:rPr>
        <w:t>Faculty membership</w:t>
      </w:r>
      <w:r>
        <w:t>; eligibility for voting and on what matters</w:t>
      </w:r>
    </w:p>
    <w:p w:rsidR="00416328" w:rsidRDefault="005C5718" w:rsidP="00416328">
      <w:pPr>
        <w:pStyle w:val="ListParagraph"/>
        <w:numPr>
          <w:ilvl w:val="0"/>
          <w:numId w:val="1"/>
        </w:numPr>
      </w:pPr>
      <w:r w:rsidRPr="006C017F">
        <w:rPr>
          <w:b/>
        </w:rPr>
        <w:t>M</w:t>
      </w:r>
      <w:r w:rsidR="00416328" w:rsidRPr="006C017F">
        <w:rPr>
          <w:b/>
        </w:rPr>
        <w:t>eetings</w:t>
      </w:r>
      <w:r w:rsidR="00416328">
        <w:t xml:space="preserve">: frequency, rules of order (Robert’s, Sturgis, </w:t>
      </w:r>
      <w:proofErr w:type="spellStart"/>
      <w:r w:rsidR="00416328">
        <w:t>Keesey’s</w:t>
      </w:r>
      <w:proofErr w:type="spellEnd"/>
      <w:r w:rsidR="00416328">
        <w:t>, etc.), how called, agendas, minutes</w:t>
      </w:r>
    </w:p>
    <w:p w:rsidR="00416328" w:rsidRPr="006C017F" w:rsidRDefault="005C5718" w:rsidP="00416328">
      <w:pPr>
        <w:pStyle w:val="ListParagraph"/>
        <w:numPr>
          <w:ilvl w:val="0"/>
          <w:numId w:val="1"/>
        </w:numPr>
        <w:rPr>
          <w:b/>
        </w:rPr>
      </w:pPr>
      <w:r w:rsidRPr="006C017F">
        <w:rPr>
          <w:b/>
        </w:rPr>
        <w:t>Internal o</w:t>
      </w:r>
      <w:r w:rsidR="00416328" w:rsidRPr="006C017F">
        <w:rPr>
          <w:b/>
        </w:rPr>
        <w:t>rganization</w:t>
      </w:r>
    </w:p>
    <w:p w:rsidR="00416328" w:rsidRDefault="00416328" w:rsidP="00416328">
      <w:pPr>
        <w:pStyle w:val="ListParagraph"/>
        <w:numPr>
          <w:ilvl w:val="1"/>
          <w:numId w:val="1"/>
        </w:numPr>
      </w:pPr>
      <w:r w:rsidRPr="006C017F">
        <w:rPr>
          <w:b/>
        </w:rPr>
        <w:t>Head/chair</w:t>
      </w:r>
      <w:r w:rsidR="005C5718" w:rsidRPr="006C017F">
        <w:rPr>
          <w:b/>
        </w:rPr>
        <w:t xml:space="preserve"> (or</w:t>
      </w:r>
      <w:r w:rsidR="00E4024E" w:rsidRPr="006C017F">
        <w:rPr>
          <w:b/>
        </w:rPr>
        <w:t xml:space="preserve"> </w:t>
      </w:r>
      <w:r w:rsidRPr="006C017F">
        <w:rPr>
          <w:b/>
        </w:rPr>
        <w:t>director</w:t>
      </w:r>
      <w:r w:rsidR="005C5718" w:rsidRPr="006C017F">
        <w:rPr>
          <w:b/>
        </w:rPr>
        <w:t>)</w:t>
      </w:r>
      <w:r>
        <w:t>: eligibility, process of election, term of office, duties/responsibilities</w:t>
      </w:r>
      <w:r w:rsidR="00E4024E">
        <w:t>; how evaluated by department</w:t>
      </w:r>
    </w:p>
    <w:p w:rsidR="00416328" w:rsidRDefault="00416328" w:rsidP="00416328">
      <w:pPr>
        <w:pStyle w:val="ListParagraph"/>
        <w:numPr>
          <w:ilvl w:val="1"/>
          <w:numId w:val="1"/>
        </w:numPr>
      </w:pPr>
      <w:r w:rsidRPr="006C017F">
        <w:rPr>
          <w:b/>
        </w:rPr>
        <w:lastRenderedPageBreak/>
        <w:t>Other administrative officers</w:t>
      </w:r>
      <w:r>
        <w:t>, such as associate/assistant head/chair; GPO; director undergraduate studies; program directors: eligibility, process of selection, term of office, responsibilities</w:t>
      </w:r>
    </w:p>
    <w:p w:rsidR="00E4024E" w:rsidRDefault="00416328" w:rsidP="006C017F">
      <w:pPr>
        <w:pStyle w:val="ListParagraph"/>
        <w:numPr>
          <w:ilvl w:val="1"/>
          <w:numId w:val="1"/>
        </w:numPr>
      </w:pPr>
      <w:r w:rsidRPr="006C017F">
        <w:rPr>
          <w:b/>
        </w:rPr>
        <w:t>Standing committees</w:t>
      </w:r>
      <w:r>
        <w:t>: how members chosen, terms, responsibilities</w:t>
      </w:r>
      <w:r w:rsidR="006C017F">
        <w:t xml:space="preserve">; for example, </w:t>
      </w:r>
      <w:r w:rsidR="00E4024E">
        <w:t xml:space="preserve"> executive/steering/advisory; graduate; undergraduate; curriculum; planning; scheduling; P&amp;T; assessment; honors &amp; awards; teaching effectiveness; diversity</w:t>
      </w:r>
    </w:p>
    <w:p w:rsidR="00E4024E" w:rsidRDefault="00E4024E" w:rsidP="00E4024E">
      <w:pPr>
        <w:pStyle w:val="ListParagraph"/>
        <w:numPr>
          <w:ilvl w:val="1"/>
          <w:numId w:val="1"/>
        </w:numPr>
      </w:pPr>
      <w:r w:rsidRPr="006C017F">
        <w:rPr>
          <w:b/>
        </w:rPr>
        <w:t>Ad hoc committees</w:t>
      </w:r>
      <w:r>
        <w:t>: how appointed, charged</w:t>
      </w:r>
    </w:p>
    <w:p w:rsidR="00E4024E" w:rsidRPr="006C017F" w:rsidRDefault="00E4024E" w:rsidP="00E4024E">
      <w:pPr>
        <w:pStyle w:val="ListParagraph"/>
        <w:numPr>
          <w:ilvl w:val="0"/>
          <w:numId w:val="1"/>
        </w:numPr>
        <w:rPr>
          <w:b/>
        </w:rPr>
      </w:pPr>
      <w:r w:rsidRPr="006C017F">
        <w:rPr>
          <w:b/>
        </w:rPr>
        <w:t>Procedure for amending bylaws</w:t>
      </w:r>
    </w:p>
    <w:p w:rsidR="00F3225A" w:rsidRPr="006C017F" w:rsidRDefault="00F3225A" w:rsidP="00E4024E">
      <w:pPr>
        <w:pStyle w:val="ListParagraph"/>
        <w:numPr>
          <w:ilvl w:val="0"/>
          <w:numId w:val="1"/>
        </w:numPr>
        <w:rPr>
          <w:b/>
        </w:rPr>
      </w:pPr>
      <w:r w:rsidRPr="006C017F">
        <w:rPr>
          <w:b/>
        </w:rPr>
        <w:t>Approval of bylaws and amendments by the dean or provost</w:t>
      </w:r>
    </w:p>
    <w:p w:rsidR="00D47F53" w:rsidRDefault="00E4024E" w:rsidP="00932B02">
      <w:pPr>
        <w:pStyle w:val="ListParagraph"/>
        <w:numPr>
          <w:ilvl w:val="1"/>
          <w:numId w:val="1"/>
        </w:numPr>
      </w:pPr>
      <w:r w:rsidRPr="006C017F">
        <w:rPr>
          <w:b/>
        </w:rPr>
        <w:t>Policies</w:t>
      </w:r>
      <w:r>
        <w:t xml:space="preserve"> (not all bylaws include policies)</w:t>
      </w:r>
      <w:r w:rsidR="006C017F">
        <w:t xml:space="preserve">; for example, </w:t>
      </w:r>
      <w:r>
        <w:t>job search/hiring procedures (TT, NTT); merit salary raises; performance reviews</w:t>
      </w:r>
    </w:p>
    <w:p w:rsidR="00303150" w:rsidRDefault="00303150">
      <w:pPr>
        <w:rPr>
          <w:b/>
        </w:rPr>
      </w:pPr>
    </w:p>
    <w:p w:rsidR="00CC37ED" w:rsidRPr="00CC37ED" w:rsidRDefault="00CC37ED">
      <w:pPr>
        <w:rPr>
          <w:b/>
        </w:rPr>
      </w:pPr>
      <w:r w:rsidRPr="00CC37ED">
        <w:rPr>
          <w:b/>
        </w:rPr>
        <w:t>Recommendation</w:t>
      </w:r>
      <w:r w:rsidR="0009484D">
        <w:rPr>
          <w:b/>
        </w:rPr>
        <w:t>s</w:t>
      </w:r>
    </w:p>
    <w:p w:rsidR="0009484D" w:rsidRDefault="0009484D">
      <w:r>
        <w:t>T</w:t>
      </w:r>
      <w:r w:rsidR="006C017F">
        <w:t xml:space="preserve">he Senate Executive Committee </w:t>
      </w:r>
      <w:r>
        <w:t>offers the following recommendations</w:t>
      </w:r>
      <w:r w:rsidR="009E7FAF">
        <w:t xml:space="preserve"> to departments and comparable academic units</w:t>
      </w:r>
      <w:r>
        <w:t>:</w:t>
      </w:r>
    </w:p>
    <w:p w:rsidR="009E7FAF" w:rsidRDefault="009E7FAF" w:rsidP="009E7FAF">
      <w:pPr>
        <w:pStyle w:val="ListParagraph"/>
        <w:numPr>
          <w:ilvl w:val="0"/>
          <w:numId w:val="5"/>
        </w:numPr>
      </w:pPr>
      <w:r>
        <w:t>t</w:t>
      </w:r>
      <w:r w:rsidR="0009484D">
        <w:t xml:space="preserve">hat </w:t>
      </w:r>
      <w:r>
        <w:t xml:space="preserve">they </w:t>
      </w:r>
      <w:r w:rsidR="00CC37ED">
        <w:t>adopt bylaws</w:t>
      </w:r>
      <w:r>
        <w:t>;</w:t>
      </w:r>
    </w:p>
    <w:p w:rsidR="009E7FAF" w:rsidRDefault="009E7FAF" w:rsidP="009E7FAF">
      <w:pPr>
        <w:pStyle w:val="ListParagraph"/>
        <w:numPr>
          <w:ilvl w:val="0"/>
          <w:numId w:val="4"/>
        </w:numPr>
      </w:pPr>
      <w:r>
        <w:t xml:space="preserve">that they </w:t>
      </w:r>
      <w:r w:rsidR="00CC37ED">
        <w:t>review the</w:t>
      </w:r>
      <w:r>
        <w:t xml:space="preserve">ir bylaws </w:t>
      </w:r>
      <w:r w:rsidR="00CC37ED">
        <w:t>from time to time</w:t>
      </w:r>
      <w:r>
        <w:t>;</w:t>
      </w:r>
    </w:p>
    <w:p w:rsidR="009E7FAF" w:rsidRDefault="009E7FAF" w:rsidP="009E7FAF">
      <w:pPr>
        <w:pStyle w:val="ListParagraph"/>
        <w:numPr>
          <w:ilvl w:val="0"/>
          <w:numId w:val="4"/>
        </w:numPr>
      </w:pPr>
      <w:proofErr w:type="gramStart"/>
      <w:r>
        <w:t>that</w:t>
      </w:r>
      <w:proofErr w:type="gramEnd"/>
      <w:r>
        <w:t xml:space="preserve"> they allow for the temporary suspension of bylaws when extraordinary circumstances dictate.</w:t>
      </w:r>
    </w:p>
    <w:p w:rsidR="00D47F53" w:rsidRDefault="00D47F53" w:rsidP="009E7FAF">
      <w:pPr>
        <w:pStyle w:val="ListParagraph"/>
        <w:numPr>
          <w:ilvl w:val="0"/>
          <w:numId w:val="4"/>
        </w:numPr>
      </w:pPr>
      <w:r>
        <w:br w:type="page"/>
      </w:r>
    </w:p>
    <w:p w:rsidR="006C017F" w:rsidRDefault="00D47F53" w:rsidP="00D47F53">
      <w:pPr>
        <w:jc w:val="center"/>
      </w:pPr>
      <w:r>
        <w:lastRenderedPageBreak/>
        <w:t>Appendix</w:t>
      </w:r>
    </w:p>
    <w:p w:rsidR="00E4024E" w:rsidRDefault="00D47F53" w:rsidP="00D47F53">
      <w:pPr>
        <w:jc w:val="center"/>
      </w:pPr>
      <w:r>
        <w:t>Departments/Units with Current Bylaws</w:t>
      </w:r>
      <w:r w:rsidR="006C017F">
        <w:t xml:space="preserve"> or Similar Governance Document</w:t>
      </w:r>
    </w:p>
    <w:p w:rsidR="00416328" w:rsidRDefault="00D47F53">
      <w:r>
        <w:t>CLA</w:t>
      </w:r>
    </w:p>
    <w:p w:rsidR="00D47F53" w:rsidRDefault="00D47F53" w:rsidP="00D47F53">
      <w:pPr>
        <w:spacing w:line="240" w:lineRule="auto"/>
      </w:pPr>
      <w:r>
        <w:t>Art and Art History</w:t>
      </w:r>
    </w:p>
    <w:p w:rsidR="00D47F53" w:rsidRDefault="00D47F53" w:rsidP="00D47F53">
      <w:pPr>
        <w:spacing w:line="240" w:lineRule="auto"/>
      </w:pPr>
      <w:r>
        <w:t>(School of) Communication and Journalism</w:t>
      </w:r>
    </w:p>
    <w:p w:rsidR="00D47F53" w:rsidRDefault="00D47F53" w:rsidP="00D47F53">
      <w:pPr>
        <w:spacing w:line="240" w:lineRule="auto"/>
      </w:pPr>
      <w:r>
        <w:t>CMDS (list of committees and officers)</w:t>
      </w:r>
    </w:p>
    <w:p w:rsidR="00D47F53" w:rsidRDefault="00D47F53" w:rsidP="00D47F53">
      <w:pPr>
        <w:spacing w:line="240" w:lineRule="auto"/>
      </w:pPr>
      <w:r>
        <w:t>English</w:t>
      </w:r>
    </w:p>
    <w:p w:rsidR="00D47F53" w:rsidRDefault="00D47F53" w:rsidP="00D47F53">
      <w:pPr>
        <w:spacing w:line="240" w:lineRule="auto"/>
      </w:pPr>
      <w:r>
        <w:t>Foreign Languages</w:t>
      </w:r>
    </w:p>
    <w:p w:rsidR="00D47F53" w:rsidRDefault="00D47F53" w:rsidP="00D47F53">
      <w:pPr>
        <w:spacing w:line="240" w:lineRule="auto"/>
      </w:pPr>
      <w:r>
        <w:t>History</w:t>
      </w:r>
    </w:p>
    <w:p w:rsidR="00D47F53" w:rsidRDefault="00D47F53" w:rsidP="00D47F53">
      <w:pPr>
        <w:spacing w:line="240" w:lineRule="auto"/>
      </w:pPr>
      <w:r>
        <w:t>Music</w:t>
      </w:r>
    </w:p>
    <w:p w:rsidR="00D47F53" w:rsidRDefault="00D47F53" w:rsidP="00D47F53">
      <w:pPr>
        <w:spacing w:line="240" w:lineRule="auto"/>
      </w:pPr>
      <w:r>
        <w:t>Philosophy</w:t>
      </w:r>
    </w:p>
    <w:p w:rsidR="00D47F53" w:rsidRDefault="00D47F53" w:rsidP="00D47F53">
      <w:pPr>
        <w:spacing w:line="240" w:lineRule="auto"/>
      </w:pPr>
      <w:r>
        <w:t>Political Science</w:t>
      </w:r>
    </w:p>
    <w:p w:rsidR="00D47F53" w:rsidRDefault="00D47F53" w:rsidP="00D47F53">
      <w:pPr>
        <w:spacing w:line="240" w:lineRule="auto"/>
      </w:pPr>
      <w:r>
        <w:t>Psychology</w:t>
      </w:r>
    </w:p>
    <w:p w:rsidR="00D47F53" w:rsidRDefault="00D47F53" w:rsidP="00D47F53">
      <w:pPr>
        <w:spacing w:line="240" w:lineRule="auto"/>
      </w:pPr>
      <w:r>
        <w:t>Sociology, Anthropology, Social Work</w:t>
      </w:r>
    </w:p>
    <w:p w:rsidR="00D47F53" w:rsidRDefault="00D47F53" w:rsidP="00D47F53">
      <w:pPr>
        <w:spacing w:line="240" w:lineRule="auto"/>
      </w:pPr>
      <w:r>
        <w:t>Theatre</w:t>
      </w:r>
    </w:p>
    <w:p w:rsidR="00D47F53" w:rsidRDefault="00D47F53" w:rsidP="00D47F53">
      <w:pPr>
        <w:spacing w:line="240" w:lineRule="auto"/>
      </w:pPr>
    </w:p>
    <w:p w:rsidR="00D47F53" w:rsidRDefault="00D47F53" w:rsidP="00D47F53">
      <w:pPr>
        <w:spacing w:line="240" w:lineRule="auto"/>
      </w:pPr>
      <w:r>
        <w:t>Other colleges</w:t>
      </w:r>
    </w:p>
    <w:p w:rsidR="000A6A19" w:rsidRDefault="000A6A19" w:rsidP="00D47F53">
      <w:pPr>
        <w:spacing w:line="240" w:lineRule="auto"/>
      </w:pPr>
    </w:p>
    <w:p w:rsidR="00D47F53" w:rsidRDefault="00D47F53" w:rsidP="00D47F53">
      <w:pPr>
        <w:spacing w:line="240" w:lineRule="auto"/>
      </w:pPr>
      <w:r>
        <w:t>Agricultural Economics</w:t>
      </w:r>
    </w:p>
    <w:p w:rsidR="00D47F53" w:rsidRDefault="00D47F53" w:rsidP="00D47F53">
      <w:pPr>
        <w:spacing w:line="240" w:lineRule="auto"/>
      </w:pPr>
      <w:r>
        <w:t>Animal Sciences (miscellaneous policies)</w:t>
      </w:r>
    </w:p>
    <w:p w:rsidR="00D47F53" w:rsidRDefault="00D47F53" w:rsidP="00D47F53">
      <w:pPr>
        <w:spacing w:line="240" w:lineRule="auto"/>
      </w:pPr>
      <w:r>
        <w:t>Electrical Engineering and Computer Science</w:t>
      </w:r>
    </w:p>
    <w:p w:rsidR="00D47F53" w:rsidRDefault="00D47F53" w:rsidP="00D47F53">
      <w:pPr>
        <w:spacing w:line="240" w:lineRule="auto"/>
      </w:pPr>
      <w:r>
        <w:t>Entomology and Plant Pathology (administrative structure described in program review report)</w:t>
      </w:r>
    </w:p>
    <w:p w:rsidR="00D47F53" w:rsidRDefault="00D47F53" w:rsidP="00D47F53">
      <w:pPr>
        <w:spacing w:line="240" w:lineRule="auto"/>
      </w:pPr>
      <w:r>
        <w:t>(School of) Fisheries, Aquaculture, Aquatic Sciences</w:t>
      </w:r>
    </w:p>
    <w:p w:rsidR="000A48E9" w:rsidRDefault="000A48E9" w:rsidP="00D47F53">
      <w:pPr>
        <w:spacing w:line="240" w:lineRule="auto"/>
      </w:pPr>
      <w:r w:rsidRPr="006C017F">
        <w:t>Mathematics and Statistics</w:t>
      </w:r>
    </w:p>
    <w:p w:rsidR="00D47F53" w:rsidRDefault="00D47F53" w:rsidP="00D47F53">
      <w:pPr>
        <w:spacing w:line="240" w:lineRule="auto"/>
      </w:pPr>
    </w:p>
    <w:sectPr w:rsidR="00D47F53" w:rsidSect="00A877A7">
      <w:headerReference w:type="even" r:id="rId8"/>
      <w:head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095" w:rsidRDefault="000E1095" w:rsidP="001200DD">
      <w:pPr>
        <w:spacing w:line="240" w:lineRule="auto"/>
      </w:pPr>
      <w:r>
        <w:separator/>
      </w:r>
    </w:p>
  </w:endnote>
  <w:endnote w:type="continuationSeparator" w:id="0">
    <w:p w:rsidR="000E1095" w:rsidRDefault="000E1095" w:rsidP="001200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095" w:rsidRDefault="000E1095" w:rsidP="001200DD">
      <w:pPr>
        <w:spacing w:line="240" w:lineRule="auto"/>
      </w:pPr>
      <w:r>
        <w:separator/>
      </w:r>
    </w:p>
  </w:footnote>
  <w:footnote w:type="continuationSeparator" w:id="0">
    <w:p w:rsidR="000E1095" w:rsidRDefault="000E1095" w:rsidP="001200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0DD" w:rsidRDefault="001200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558085"/>
      <w:docPartObj>
        <w:docPartGallery w:val="Page Numbers (Top of Page)"/>
        <w:docPartUnique/>
      </w:docPartObj>
    </w:sdtPr>
    <w:sdtEndPr>
      <w:rPr>
        <w:noProof/>
      </w:rPr>
    </w:sdtEndPr>
    <w:sdtContent>
      <w:p w:rsidR="00A877A7" w:rsidRDefault="00A877A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5F2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200DD" w:rsidRDefault="001200D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0DD" w:rsidRDefault="001200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22294"/>
    <w:multiLevelType w:val="hybridMultilevel"/>
    <w:tmpl w:val="5E22B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73FA8"/>
    <w:multiLevelType w:val="hybridMultilevel"/>
    <w:tmpl w:val="A6D83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564D2D"/>
    <w:multiLevelType w:val="hybridMultilevel"/>
    <w:tmpl w:val="41641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FC0E4D"/>
    <w:multiLevelType w:val="hybridMultilevel"/>
    <w:tmpl w:val="9A261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011077"/>
    <w:multiLevelType w:val="hybridMultilevel"/>
    <w:tmpl w:val="BAD4EB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328"/>
    <w:rsid w:val="00014E54"/>
    <w:rsid w:val="00015F24"/>
    <w:rsid w:val="0009484D"/>
    <w:rsid w:val="000A48E9"/>
    <w:rsid w:val="000A6A19"/>
    <w:rsid w:val="000D125A"/>
    <w:rsid w:val="000E1095"/>
    <w:rsid w:val="001200DD"/>
    <w:rsid w:val="001C2401"/>
    <w:rsid w:val="00214160"/>
    <w:rsid w:val="00303150"/>
    <w:rsid w:val="00383C84"/>
    <w:rsid w:val="003E471C"/>
    <w:rsid w:val="00416328"/>
    <w:rsid w:val="004620EF"/>
    <w:rsid w:val="004D4062"/>
    <w:rsid w:val="005112FD"/>
    <w:rsid w:val="00547B65"/>
    <w:rsid w:val="005C3FF1"/>
    <w:rsid w:val="005C5718"/>
    <w:rsid w:val="0065313D"/>
    <w:rsid w:val="006700F0"/>
    <w:rsid w:val="006A4DA4"/>
    <w:rsid w:val="006C017F"/>
    <w:rsid w:val="006E73C1"/>
    <w:rsid w:val="007F5996"/>
    <w:rsid w:val="00911097"/>
    <w:rsid w:val="00942028"/>
    <w:rsid w:val="009647F0"/>
    <w:rsid w:val="009E7FAF"/>
    <w:rsid w:val="00A50DE2"/>
    <w:rsid w:val="00A877A7"/>
    <w:rsid w:val="00B16715"/>
    <w:rsid w:val="00B91DBC"/>
    <w:rsid w:val="00C82F86"/>
    <w:rsid w:val="00C921FA"/>
    <w:rsid w:val="00CC37ED"/>
    <w:rsid w:val="00D1610B"/>
    <w:rsid w:val="00D24A96"/>
    <w:rsid w:val="00D47F53"/>
    <w:rsid w:val="00E4024E"/>
    <w:rsid w:val="00F32192"/>
    <w:rsid w:val="00F3225A"/>
    <w:rsid w:val="00F85675"/>
    <w:rsid w:val="00FA3E94"/>
    <w:rsid w:val="00FF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3E23992-4293-4BEE-8188-1320C4174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63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00D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00DD"/>
  </w:style>
  <w:style w:type="paragraph" w:styleId="Footer">
    <w:name w:val="footer"/>
    <w:basedOn w:val="Normal"/>
    <w:link w:val="FooterChar"/>
    <w:uiPriority w:val="99"/>
    <w:unhideWhenUsed/>
    <w:rsid w:val="001200D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00DD"/>
  </w:style>
  <w:style w:type="paragraph" w:styleId="EndnoteText">
    <w:name w:val="endnote text"/>
    <w:basedOn w:val="Normal"/>
    <w:link w:val="EndnoteTextChar"/>
    <w:uiPriority w:val="99"/>
    <w:semiHidden/>
    <w:unhideWhenUsed/>
    <w:rsid w:val="00014E54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14E5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14E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3873D91F-64CA-4FA9-937A-DA5B337EE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838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Goldstein</dc:creator>
  <cp:keywords/>
  <dc:description/>
  <cp:lastModifiedBy>James Goldstein</cp:lastModifiedBy>
  <cp:revision>2</cp:revision>
  <dcterms:created xsi:type="dcterms:W3CDTF">2018-06-07T22:20:00Z</dcterms:created>
  <dcterms:modified xsi:type="dcterms:W3CDTF">2018-06-07T22:20:00Z</dcterms:modified>
</cp:coreProperties>
</file>