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34250" w14:textId="77777777" w:rsidR="001379CB" w:rsidRPr="00496A8B" w:rsidRDefault="005F4418">
      <w:pPr>
        <w:rPr>
          <w:rFonts w:ascii="Times New Roman" w:hAnsi="Times New Roman" w:cs="Times New Roman"/>
          <w:sz w:val="22"/>
          <w:szCs w:val="22"/>
        </w:rPr>
      </w:pPr>
      <w:bookmarkStart w:id="0" w:name="_GoBack"/>
      <w:bookmarkEnd w:id="0"/>
      <w:r w:rsidRPr="00496A8B">
        <w:rPr>
          <w:rFonts w:ascii="Times New Roman" w:hAnsi="Times New Roman" w:cs="Times New Roman"/>
          <w:sz w:val="22"/>
          <w:szCs w:val="22"/>
        </w:rPr>
        <w:t>3.5.7 Guidelines for Establishing and Filling Positions in the Professor of Practice Title Series</w:t>
      </w:r>
    </w:p>
    <w:p w14:paraId="3903C836" w14:textId="77777777" w:rsidR="005F4418" w:rsidRPr="00496A8B" w:rsidRDefault="005F4418">
      <w:pPr>
        <w:rPr>
          <w:rFonts w:ascii="Times New Roman" w:hAnsi="Times New Roman" w:cs="Times New Roman"/>
          <w:sz w:val="22"/>
          <w:szCs w:val="22"/>
        </w:rPr>
      </w:pPr>
    </w:p>
    <w:p w14:paraId="61248E97" w14:textId="77777777" w:rsidR="005F4418" w:rsidRPr="00496A8B" w:rsidRDefault="005F4418">
      <w:pPr>
        <w:rPr>
          <w:rFonts w:ascii="Times New Roman" w:hAnsi="Times New Roman" w:cs="Times New Roman"/>
          <w:sz w:val="22"/>
          <w:szCs w:val="22"/>
        </w:rPr>
      </w:pPr>
      <w:r w:rsidRPr="00496A8B">
        <w:rPr>
          <w:rFonts w:ascii="Times New Roman" w:hAnsi="Times New Roman" w:cs="Times New Roman"/>
          <w:sz w:val="22"/>
          <w:szCs w:val="22"/>
        </w:rPr>
        <w:t>Executive Summary</w:t>
      </w:r>
    </w:p>
    <w:p w14:paraId="527F21ED" w14:textId="77777777" w:rsidR="005F4418" w:rsidRPr="00496A8B" w:rsidRDefault="005F4418">
      <w:pPr>
        <w:rPr>
          <w:rFonts w:ascii="Times New Roman" w:hAnsi="Times New Roman" w:cs="Times New Roman"/>
          <w:sz w:val="22"/>
          <w:szCs w:val="22"/>
        </w:rPr>
      </w:pPr>
    </w:p>
    <w:p w14:paraId="72457097" w14:textId="1C60AEED"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Definition</w:t>
      </w:r>
    </w:p>
    <w:p w14:paraId="6CFD357B" w14:textId="44236A6D"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Establishment of a Position</w:t>
      </w:r>
    </w:p>
    <w:p w14:paraId="33871AEB" w14:textId="6F249D54" w:rsidR="00597AAE" w:rsidRPr="00496A8B" w:rsidRDefault="00597AAE"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Initial Appointment</w:t>
      </w:r>
    </w:p>
    <w:p w14:paraId="48F9ADCA" w14:textId="1DB6B782"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Areas of Activity</w:t>
      </w:r>
    </w:p>
    <w:p w14:paraId="2D8CECD6" w14:textId="05AABCE3"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Academic Rank and Criteria</w:t>
      </w:r>
    </w:p>
    <w:p w14:paraId="1266880A" w14:textId="021D0EF6"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Performance Evaluation</w:t>
      </w:r>
    </w:p>
    <w:p w14:paraId="027DA740" w14:textId="62C36006"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Terms and Continuation of Appointment</w:t>
      </w:r>
    </w:p>
    <w:p w14:paraId="2985FDE5" w14:textId="6708A0FD"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Dismissal</w:t>
      </w:r>
    </w:p>
    <w:p w14:paraId="146A0427" w14:textId="2D829F9B"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Noncontinuation of Appointment</w:t>
      </w:r>
    </w:p>
    <w:p w14:paraId="422DFB00" w14:textId="1EAD17C1"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 xml:space="preserve">Conditions of </w:t>
      </w:r>
      <w:r w:rsidR="000C5E88" w:rsidRPr="00496A8B">
        <w:rPr>
          <w:rFonts w:ascii="Times New Roman" w:hAnsi="Times New Roman" w:cs="Times New Roman"/>
          <w:sz w:val="22"/>
          <w:szCs w:val="22"/>
        </w:rPr>
        <w:t>Appointment</w:t>
      </w:r>
    </w:p>
    <w:p w14:paraId="7902F6A1" w14:textId="320E69E3"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University Membership</w:t>
      </w:r>
    </w:p>
    <w:p w14:paraId="01BC7135" w14:textId="3719A252"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Change from Nontenure-Track to Tenure-Track Faculty</w:t>
      </w:r>
    </w:p>
    <w:p w14:paraId="354FB554" w14:textId="3AA06D44" w:rsidR="005F4418" w:rsidRPr="00496A8B" w:rsidRDefault="005F4418" w:rsidP="00496A8B">
      <w:pPr>
        <w:pStyle w:val="ListParagraph"/>
        <w:numPr>
          <w:ilvl w:val="0"/>
          <w:numId w:val="13"/>
        </w:numPr>
        <w:rPr>
          <w:rFonts w:ascii="Times New Roman" w:hAnsi="Times New Roman" w:cs="Times New Roman"/>
          <w:sz w:val="22"/>
          <w:szCs w:val="22"/>
        </w:rPr>
      </w:pPr>
      <w:r w:rsidRPr="00496A8B">
        <w:rPr>
          <w:rFonts w:ascii="Times New Roman" w:hAnsi="Times New Roman" w:cs="Times New Roman"/>
          <w:sz w:val="22"/>
          <w:szCs w:val="22"/>
        </w:rPr>
        <w:t>AAUP Guidelines</w:t>
      </w:r>
    </w:p>
    <w:p w14:paraId="4DEC1E66" w14:textId="77777777" w:rsidR="005F4418" w:rsidRPr="00496A8B" w:rsidRDefault="005F4418">
      <w:pPr>
        <w:rPr>
          <w:rFonts w:ascii="Times New Roman" w:hAnsi="Times New Roman" w:cs="Times New Roman"/>
          <w:sz w:val="22"/>
          <w:szCs w:val="22"/>
        </w:rPr>
      </w:pPr>
    </w:p>
    <w:p w14:paraId="76571973" w14:textId="77777777" w:rsidR="000C5E88" w:rsidRPr="00496A8B" w:rsidRDefault="000C5E88">
      <w:pPr>
        <w:rPr>
          <w:rFonts w:ascii="Times New Roman" w:hAnsi="Times New Roman" w:cs="Times New Roman"/>
          <w:b/>
          <w:sz w:val="22"/>
          <w:szCs w:val="22"/>
        </w:rPr>
      </w:pPr>
      <w:r w:rsidRPr="00496A8B">
        <w:rPr>
          <w:rFonts w:ascii="Times New Roman" w:hAnsi="Times New Roman" w:cs="Times New Roman"/>
          <w:b/>
          <w:sz w:val="22"/>
          <w:szCs w:val="22"/>
        </w:rPr>
        <w:t>Executive Summary</w:t>
      </w:r>
    </w:p>
    <w:p w14:paraId="06784E49" w14:textId="77777777" w:rsidR="000C5E88" w:rsidRPr="00496A8B" w:rsidRDefault="000C5E88">
      <w:pPr>
        <w:rPr>
          <w:rFonts w:ascii="Times New Roman" w:hAnsi="Times New Roman" w:cs="Times New Roman"/>
          <w:sz w:val="22"/>
          <w:szCs w:val="22"/>
        </w:rPr>
      </w:pPr>
    </w:p>
    <w:p w14:paraId="50600396" w14:textId="38E03615" w:rsidR="00293B04" w:rsidRPr="00496A8B" w:rsidRDefault="00405213">
      <w:pPr>
        <w:rPr>
          <w:rFonts w:ascii="Times New Roman" w:hAnsi="Times New Roman" w:cs="Times New Roman"/>
          <w:sz w:val="22"/>
          <w:szCs w:val="22"/>
        </w:rPr>
      </w:pPr>
      <w:r w:rsidRPr="00496A8B">
        <w:rPr>
          <w:rFonts w:ascii="Times New Roman" w:hAnsi="Times New Roman" w:cs="Times New Roman"/>
          <w:sz w:val="22"/>
        </w:rPr>
        <w:t>As it has for many of our aspirational peers, the creation of the Professor of Practice nontenure-track title will enhance the educational mission of Auburn University. Students and faculty alike will benefit from the presence of both part-time and full-time professionals who</w:t>
      </w:r>
      <w:r w:rsidRPr="00496A8B">
        <w:rPr>
          <w:rFonts w:ascii="Times New Roman" w:hAnsi="Times New Roman" w:cs="Times New Roman"/>
          <w:color w:val="000000"/>
          <w:sz w:val="21"/>
          <w:szCs w:val="22"/>
        </w:rPr>
        <w:t xml:space="preserve"> </w:t>
      </w:r>
      <w:r w:rsidR="00DB00EA" w:rsidRPr="00496A8B">
        <w:rPr>
          <w:rFonts w:ascii="Times New Roman" w:hAnsi="Times New Roman" w:cs="Times New Roman"/>
          <w:sz w:val="22"/>
          <w:szCs w:val="22"/>
        </w:rPr>
        <w:t xml:space="preserve">can bring a wealth of practical </w:t>
      </w:r>
      <w:r w:rsidR="005B4245" w:rsidRPr="00496A8B">
        <w:rPr>
          <w:rFonts w:ascii="Times New Roman" w:hAnsi="Times New Roman" w:cs="Times New Roman"/>
          <w:sz w:val="22"/>
          <w:szCs w:val="22"/>
        </w:rPr>
        <w:t xml:space="preserve">and specialized </w:t>
      </w:r>
      <w:r w:rsidR="00DB00EA" w:rsidRPr="00496A8B">
        <w:rPr>
          <w:rFonts w:ascii="Times New Roman" w:hAnsi="Times New Roman" w:cs="Times New Roman"/>
          <w:sz w:val="22"/>
          <w:szCs w:val="22"/>
        </w:rPr>
        <w:t>experience from their professional careers. This title is unlike other nontenure</w:t>
      </w:r>
      <w:r w:rsidR="00E7400A" w:rsidRPr="00496A8B">
        <w:rPr>
          <w:rFonts w:ascii="Times New Roman" w:hAnsi="Times New Roman" w:cs="Times New Roman"/>
          <w:sz w:val="22"/>
          <w:szCs w:val="22"/>
        </w:rPr>
        <w:t>-</w:t>
      </w:r>
      <w:r w:rsidR="00DB00EA" w:rsidRPr="00496A8B">
        <w:rPr>
          <w:rFonts w:ascii="Times New Roman" w:hAnsi="Times New Roman" w:cs="Times New Roman"/>
          <w:sz w:val="22"/>
          <w:szCs w:val="22"/>
        </w:rPr>
        <w:t xml:space="preserve">track title series </w:t>
      </w:r>
      <w:r w:rsidRPr="00496A8B">
        <w:rPr>
          <w:rFonts w:ascii="Times New Roman" w:hAnsi="Times New Roman" w:cs="Times New Roman"/>
          <w:sz w:val="22"/>
          <w:szCs w:val="22"/>
        </w:rPr>
        <w:t xml:space="preserve">in that </w:t>
      </w:r>
      <w:r w:rsidR="00DB00EA" w:rsidRPr="00496A8B">
        <w:rPr>
          <w:rFonts w:ascii="Times New Roman" w:hAnsi="Times New Roman" w:cs="Times New Roman"/>
          <w:sz w:val="22"/>
          <w:szCs w:val="22"/>
        </w:rPr>
        <w:t xml:space="preserve">it </w:t>
      </w:r>
      <w:r w:rsidR="005B4245" w:rsidRPr="00496A8B">
        <w:rPr>
          <w:rFonts w:ascii="Times New Roman" w:hAnsi="Times New Roman" w:cs="Times New Roman"/>
          <w:sz w:val="22"/>
          <w:szCs w:val="22"/>
        </w:rPr>
        <w:t xml:space="preserve">(1) </w:t>
      </w:r>
      <w:r w:rsidR="00DB00EA" w:rsidRPr="00496A8B">
        <w:rPr>
          <w:rFonts w:ascii="Times New Roman" w:hAnsi="Times New Roman" w:cs="Times New Roman"/>
          <w:sz w:val="22"/>
          <w:szCs w:val="22"/>
        </w:rPr>
        <w:t>is not limited to full</w:t>
      </w:r>
      <w:r w:rsidRPr="00496A8B">
        <w:rPr>
          <w:rFonts w:ascii="Times New Roman" w:hAnsi="Times New Roman" w:cs="Times New Roman"/>
          <w:sz w:val="22"/>
          <w:szCs w:val="22"/>
        </w:rPr>
        <w:t>-</w:t>
      </w:r>
      <w:r w:rsidR="00DB00EA" w:rsidRPr="00496A8B">
        <w:rPr>
          <w:rFonts w:ascii="Times New Roman" w:hAnsi="Times New Roman" w:cs="Times New Roman"/>
          <w:sz w:val="22"/>
          <w:szCs w:val="22"/>
        </w:rPr>
        <w:t xml:space="preserve">time assignments, </w:t>
      </w:r>
      <w:r w:rsidR="005B4245" w:rsidRPr="00496A8B">
        <w:rPr>
          <w:rFonts w:ascii="Times New Roman" w:hAnsi="Times New Roman" w:cs="Times New Roman"/>
          <w:sz w:val="22"/>
          <w:szCs w:val="22"/>
        </w:rPr>
        <w:t xml:space="preserve">(2) </w:t>
      </w:r>
      <w:r w:rsidR="00DB00EA" w:rsidRPr="00496A8B">
        <w:rPr>
          <w:rFonts w:ascii="Times New Roman" w:hAnsi="Times New Roman" w:cs="Times New Roman"/>
          <w:sz w:val="22"/>
          <w:szCs w:val="22"/>
        </w:rPr>
        <w:t xml:space="preserve">does not provide for tenure or promotion, and </w:t>
      </w:r>
      <w:r w:rsidR="005B4245" w:rsidRPr="00496A8B">
        <w:rPr>
          <w:rFonts w:ascii="Times New Roman" w:hAnsi="Times New Roman" w:cs="Times New Roman"/>
          <w:sz w:val="22"/>
          <w:szCs w:val="22"/>
        </w:rPr>
        <w:t xml:space="preserve">(3) </w:t>
      </w:r>
      <w:r w:rsidR="00DB00EA" w:rsidRPr="00496A8B">
        <w:rPr>
          <w:rFonts w:ascii="Times New Roman" w:hAnsi="Times New Roman" w:cs="Times New Roman"/>
          <w:sz w:val="22"/>
          <w:szCs w:val="22"/>
        </w:rPr>
        <w:t xml:space="preserve">is specifically designed to bring highly qualified professionals with a depth of practical experience into the university to </w:t>
      </w:r>
      <w:r w:rsidR="001C4593" w:rsidRPr="00496A8B">
        <w:rPr>
          <w:rFonts w:ascii="Times New Roman" w:hAnsi="Times New Roman" w:cs="Times New Roman"/>
          <w:sz w:val="22"/>
          <w:szCs w:val="22"/>
        </w:rPr>
        <w:t xml:space="preserve">better enable our students and faculty to </w:t>
      </w:r>
      <w:r w:rsidRPr="00496A8B">
        <w:rPr>
          <w:rFonts w:ascii="Times New Roman" w:hAnsi="Times New Roman" w:cs="Times New Roman"/>
          <w:sz w:val="22"/>
          <w:szCs w:val="22"/>
        </w:rPr>
        <w:t>succeed in their respective roles</w:t>
      </w:r>
      <w:r w:rsidR="001C4593" w:rsidRPr="00496A8B">
        <w:rPr>
          <w:rFonts w:ascii="Times New Roman" w:hAnsi="Times New Roman" w:cs="Times New Roman"/>
          <w:sz w:val="22"/>
          <w:szCs w:val="22"/>
        </w:rPr>
        <w:t>.</w:t>
      </w:r>
      <w:r w:rsidR="00575F09" w:rsidRPr="00496A8B">
        <w:rPr>
          <w:rFonts w:ascii="Times New Roman" w:hAnsi="Times New Roman" w:cs="Times New Roman"/>
          <w:sz w:val="22"/>
          <w:szCs w:val="22"/>
        </w:rPr>
        <w:t xml:space="preserve"> Moreover, professors of practice are common in </w:t>
      </w:r>
      <w:r w:rsidR="005B4245" w:rsidRPr="00496A8B">
        <w:rPr>
          <w:rFonts w:ascii="Times New Roman" w:hAnsi="Times New Roman" w:cs="Times New Roman"/>
          <w:sz w:val="22"/>
          <w:szCs w:val="22"/>
        </w:rPr>
        <w:t>many academic and professional programs</w:t>
      </w:r>
      <w:r w:rsidR="00575F09" w:rsidRPr="00496A8B">
        <w:rPr>
          <w:rFonts w:ascii="Times New Roman" w:hAnsi="Times New Roman" w:cs="Times New Roman"/>
          <w:sz w:val="22"/>
          <w:szCs w:val="22"/>
        </w:rPr>
        <w:t xml:space="preserve">, such as </w:t>
      </w:r>
      <w:r w:rsidR="005B4245" w:rsidRPr="00496A8B">
        <w:rPr>
          <w:rFonts w:ascii="Times New Roman" w:hAnsi="Times New Roman" w:cs="Times New Roman"/>
          <w:sz w:val="22"/>
          <w:szCs w:val="22"/>
        </w:rPr>
        <w:t xml:space="preserve">journalism or </w:t>
      </w:r>
      <w:r w:rsidR="00575F09" w:rsidRPr="00496A8B">
        <w:rPr>
          <w:rFonts w:ascii="Times New Roman" w:hAnsi="Times New Roman" w:cs="Times New Roman"/>
          <w:sz w:val="22"/>
          <w:szCs w:val="22"/>
        </w:rPr>
        <w:t>entrepreneurial programs</w:t>
      </w:r>
      <w:r w:rsidR="005B4245" w:rsidRPr="00496A8B">
        <w:rPr>
          <w:rFonts w:ascii="Times New Roman" w:hAnsi="Times New Roman" w:cs="Times New Roman"/>
          <w:sz w:val="22"/>
          <w:szCs w:val="22"/>
        </w:rPr>
        <w:t xml:space="preserve"> </w:t>
      </w:r>
      <w:r w:rsidRPr="00496A8B">
        <w:rPr>
          <w:rFonts w:ascii="Times New Roman" w:hAnsi="Times New Roman" w:cs="Times New Roman"/>
          <w:sz w:val="22"/>
          <w:szCs w:val="22"/>
        </w:rPr>
        <w:t>that</w:t>
      </w:r>
      <w:r w:rsidR="00575F09" w:rsidRPr="00496A8B">
        <w:rPr>
          <w:rFonts w:ascii="Times New Roman" w:hAnsi="Times New Roman" w:cs="Times New Roman"/>
          <w:sz w:val="22"/>
          <w:szCs w:val="22"/>
        </w:rPr>
        <w:t xml:space="preserve"> engage entrepreneurs to mentor student start-up companies in research park incubators.</w:t>
      </w:r>
    </w:p>
    <w:p w14:paraId="0E766CC2" w14:textId="77777777" w:rsidR="00DB00EA" w:rsidRPr="00496A8B" w:rsidRDefault="00DB00EA">
      <w:pPr>
        <w:rPr>
          <w:rFonts w:ascii="Times New Roman" w:hAnsi="Times New Roman" w:cs="Times New Roman"/>
          <w:sz w:val="22"/>
          <w:szCs w:val="22"/>
        </w:rPr>
      </w:pPr>
    </w:p>
    <w:p w14:paraId="5EA446C3" w14:textId="6F2155E3" w:rsidR="00653647" w:rsidRPr="00496A8B" w:rsidRDefault="000C5E88" w:rsidP="00576545">
      <w:pPr>
        <w:pStyle w:val="ListParagraph"/>
        <w:numPr>
          <w:ilvl w:val="0"/>
          <w:numId w:val="1"/>
        </w:numPr>
        <w:rPr>
          <w:rFonts w:ascii="Times New Roman" w:hAnsi="Times New Roman" w:cs="Times New Roman"/>
          <w:sz w:val="22"/>
          <w:szCs w:val="22"/>
        </w:rPr>
      </w:pPr>
      <w:r w:rsidRPr="00496A8B">
        <w:rPr>
          <w:rFonts w:ascii="Times New Roman" w:hAnsi="Times New Roman" w:cs="Times New Roman"/>
          <w:b/>
          <w:sz w:val="22"/>
          <w:szCs w:val="22"/>
        </w:rPr>
        <w:t>Definition</w:t>
      </w:r>
      <w:r w:rsidRPr="00496A8B">
        <w:rPr>
          <w:rFonts w:ascii="Times New Roman" w:hAnsi="Times New Roman" w:cs="Times New Roman"/>
          <w:sz w:val="22"/>
          <w:szCs w:val="22"/>
        </w:rPr>
        <w:t>:</w:t>
      </w:r>
      <w:r w:rsidR="002C09B5" w:rsidRPr="00496A8B">
        <w:rPr>
          <w:rFonts w:ascii="Times New Roman" w:hAnsi="Times New Roman" w:cs="Times New Roman"/>
          <w:sz w:val="22"/>
          <w:szCs w:val="22"/>
        </w:rPr>
        <w:t xml:space="preserve"> Appointees in the Professor of Practice series are distinguished professionals, eith</w:t>
      </w:r>
      <w:r w:rsidR="00293B04" w:rsidRPr="00496A8B">
        <w:rPr>
          <w:rFonts w:ascii="Times New Roman" w:hAnsi="Times New Roman" w:cs="Times New Roman"/>
          <w:sz w:val="22"/>
          <w:szCs w:val="22"/>
        </w:rPr>
        <w:t>er practicing or retired</w:t>
      </w:r>
      <w:r w:rsidR="00784ADD" w:rsidRPr="00496A8B">
        <w:rPr>
          <w:rFonts w:ascii="Times New Roman" w:hAnsi="Times New Roman" w:cs="Times New Roman"/>
          <w:sz w:val="22"/>
          <w:szCs w:val="22"/>
        </w:rPr>
        <w:t>,</w:t>
      </w:r>
      <w:r w:rsidR="001E6E45" w:rsidRPr="00496A8B">
        <w:rPr>
          <w:rFonts w:ascii="Times New Roman" w:hAnsi="Times New Roman" w:cs="Times New Roman"/>
          <w:sz w:val="22"/>
          <w:szCs w:val="22"/>
        </w:rPr>
        <w:t xml:space="preserve"> who have significant professional experience</w:t>
      </w:r>
      <w:r w:rsidR="00293B04" w:rsidRPr="00496A8B">
        <w:rPr>
          <w:rFonts w:ascii="Times New Roman" w:hAnsi="Times New Roman" w:cs="Times New Roman"/>
          <w:sz w:val="22"/>
          <w:szCs w:val="22"/>
        </w:rPr>
        <w:t xml:space="preserve">. </w:t>
      </w:r>
      <w:r w:rsidR="00CB36A0">
        <w:rPr>
          <w:rFonts w:ascii="Times New Roman" w:hAnsi="Times New Roman" w:cs="Times New Roman"/>
          <w:sz w:val="22"/>
          <w:szCs w:val="22"/>
        </w:rPr>
        <w:t>T</w:t>
      </w:r>
      <w:r w:rsidR="00576545" w:rsidRPr="00576545">
        <w:rPr>
          <w:rFonts w:ascii="Times New Roman" w:hAnsi="Times New Roman" w:cs="Times New Roman"/>
          <w:sz w:val="22"/>
          <w:szCs w:val="22"/>
        </w:rPr>
        <w:t xml:space="preserve">hey may be distinguished as leaders in technology, business, government, the military or other professional fields. </w:t>
      </w:r>
      <w:r w:rsidR="00293B04" w:rsidRPr="00496A8B">
        <w:rPr>
          <w:rFonts w:ascii="Times New Roman" w:hAnsi="Times New Roman" w:cs="Times New Roman"/>
          <w:sz w:val="22"/>
          <w:szCs w:val="22"/>
        </w:rPr>
        <w:t xml:space="preserve">Professors of Practice may </w:t>
      </w:r>
      <w:r w:rsidR="002C09B5" w:rsidRPr="00496A8B">
        <w:rPr>
          <w:rFonts w:ascii="Times New Roman" w:hAnsi="Times New Roman" w:cs="Times New Roman"/>
          <w:sz w:val="22"/>
          <w:szCs w:val="22"/>
        </w:rPr>
        <w:t>promote the integration of academic scholarship</w:t>
      </w:r>
      <w:r w:rsidR="00293B04" w:rsidRPr="00496A8B">
        <w:rPr>
          <w:rFonts w:ascii="Times New Roman" w:hAnsi="Times New Roman" w:cs="Times New Roman"/>
          <w:sz w:val="22"/>
          <w:szCs w:val="22"/>
        </w:rPr>
        <w:t xml:space="preserve"> with practical experience and may </w:t>
      </w:r>
      <w:r w:rsidR="002C09B5" w:rsidRPr="00496A8B">
        <w:rPr>
          <w:rFonts w:ascii="Times New Roman" w:hAnsi="Times New Roman" w:cs="Times New Roman"/>
          <w:sz w:val="22"/>
          <w:szCs w:val="22"/>
        </w:rPr>
        <w:t>provide faculty, undergraduate students, and graduate students with an understanding of the practical</w:t>
      </w:r>
      <w:r w:rsidR="00293B04" w:rsidRPr="00496A8B">
        <w:rPr>
          <w:rFonts w:ascii="Times New Roman" w:hAnsi="Times New Roman" w:cs="Times New Roman"/>
          <w:sz w:val="22"/>
          <w:szCs w:val="22"/>
        </w:rPr>
        <w:t xml:space="preserve"> </w:t>
      </w:r>
      <w:r w:rsidR="002C09B5" w:rsidRPr="00496A8B">
        <w:rPr>
          <w:rFonts w:ascii="Times New Roman" w:hAnsi="Times New Roman" w:cs="Times New Roman"/>
          <w:sz w:val="22"/>
          <w:szCs w:val="22"/>
        </w:rPr>
        <w:t>application</w:t>
      </w:r>
      <w:r w:rsidR="00293B04" w:rsidRPr="00496A8B">
        <w:rPr>
          <w:rFonts w:ascii="Times New Roman" w:hAnsi="Times New Roman" w:cs="Times New Roman"/>
          <w:sz w:val="22"/>
          <w:szCs w:val="22"/>
        </w:rPr>
        <w:t>s of a particular field or discipline</w:t>
      </w:r>
      <w:r w:rsidR="002C09B5" w:rsidRPr="00496A8B">
        <w:rPr>
          <w:rFonts w:ascii="Times New Roman" w:hAnsi="Times New Roman" w:cs="Times New Roman"/>
          <w:sz w:val="22"/>
          <w:szCs w:val="22"/>
        </w:rPr>
        <w:t xml:space="preserve">. Professors of Practice </w:t>
      </w:r>
      <w:r w:rsidR="00293B04" w:rsidRPr="00496A8B">
        <w:rPr>
          <w:rFonts w:ascii="Times New Roman" w:hAnsi="Times New Roman" w:cs="Times New Roman"/>
          <w:sz w:val="22"/>
          <w:szCs w:val="22"/>
        </w:rPr>
        <w:t xml:space="preserve">may </w:t>
      </w:r>
      <w:r w:rsidR="002C09B5" w:rsidRPr="00496A8B">
        <w:rPr>
          <w:rFonts w:ascii="Times New Roman" w:hAnsi="Times New Roman" w:cs="Times New Roman"/>
          <w:sz w:val="22"/>
          <w:szCs w:val="22"/>
        </w:rPr>
        <w:t>teach courses</w:t>
      </w:r>
      <w:r w:rsidR="00293B04" w:rsidRPr="00496A8B">
        <w:rPr>
          <w:rFonts w:ascii="Times New Roman" w:hAnsi="Times New Roman" w:cs="Times New Roman"/>
          <w:sz w:val="22"/>
          <w:szCs w:val="22"/>
        </w:rPr>
        <w:t xml:space="preserve"> (for which they have the proper credentials based on accreditation requirements)</w:t>
      </w:r>
      <w:r w:rsidR="002C09B5" w:rsidRPr="00496A8B">
        <w:rPr>
          <w:rFonts w:ascii="Times New Roman" w:hAnsi="Times New Roman" w:cs="Times New Roman"/>
          <w:sz w:val="22"/>
          <w:szCs w:val="22"/>
        </w:rPr>
        <w:t>, advise students</w:t>
      </w:r>
      <w:r w:rsidR="00293B04" w:rsidRPr="00496A8B">
        <w:rPr>
          <w:rFonts w:ascii="Times New Roman" w:hAnsi="Times New Roman" w:cs="Times New Roman"/>
          <w:sz w:val="22"/>
          <w:szCs w:val="22"/>
        </w:rPr>
        <w:t xml:space="preserve"> and faculty</w:t>
      </w:r>
      <w:r w:rsidR="002C09B5" w:rsidRPr="00496A8B">
        <w:rPr>
          <w:rFonts w:ascii="Times New Roman" w:hAnsi="Times New Roman" w:cs="Times New Roman"/>
          <w:sz w:val="22"/>
          <w:szCs w:val="22"/>
        </w:rPr>
        <w:t>, and collaborate</w:t>
      </w:r>
      <w:r w:rsidR="00293B04" w:rsidRPr="00496A8B">
        <w:rPr>
          <w:rFonts w:ascii="Times New Roman" w:hAnsi="Times New Roman" w:cs="Times New Roman"/>
          <w:sz w:val="22"/>
          <w:szCs w:val="22"/>
        </w:rPr>
        <w:t xml:space="preserve"> </w:t>
      </w:r>
      <w:r w:rsidR="002C09B5" w:rsidRPr="00496A8B">
        <w:rPr>
          <w:rFonts w:ascii="Times New Roman" w:hAnsi="Times New Roman" w:cs="Times New Roman"/>
          <w:sz w:val="22"/>
          <w:szCs w:val="22"/>
        </w:rPr>
        <w:t>in areas directly related to</w:t>
      </w:r>
      <w:r w:rsidR="00293B04" w:rsidRPr="00496A8B">
        <w:rPr>
          <w:rFonts w:ascii="Times New Roman" w:hAnsi="Times New Roman" w:cs="Times New Roman"/>
          <w:sz w:val="22"/>
          <w:szCs w:val="22"/>
        </w:rPr>
        <w:t xml:space="preserve"> their expertise and experience in their fields or disciplines including research and outreach. This is a non</w:t>
      </w:r>
      <w:r w:rsidR="00703B57" w:rsidRPr="00496A8B">
        <w:rPr>
          <w:rFonts w:ascii="Times New Roman" w:hAnsi="Times New Roman" w:cs="Times New Roman"/>
          <w:sz w:val="22"/>
          <w:szCs w:val="22"/>
        </w:rPr>
        <w:t>-</w:t>
      </w:r>
      <w:proofErr w:type="spellStart"/>
      <w:r w:rsidR="00293B04" w:rsidRPr="00496A8B">
        <w:rPr>
          <w:rFonts w:ascii="Times New Roman" w:hAnsi="Times New Roman" w:cs="Times New Roman"/>
          <w:sz w:val="22"/>
          <w:szCs w:val="22"/>
        </w:rPr>
        <w:t>tenurable</w:t>
      </w:r>
      <w:proofErr w:type="spellEnd"/>
      <w:r w:rsidR="00293B04" w:rsidRPr="00496A8B">
        <w:rPr>
          <w:rFonts w:ascii="Times New Roman" w:hAnsi="Times New Roman" w:cs="Times New Roman"/>
          <w:sz w:val="22"/>
          <w:szCs w:val="22"/>
        </w:rPr>
        <w:t xml:space="preserve"> appointment in either a full</w:t>
      </w:r>
      <w:r w:rsidR="00703B57" w:rsidRPr="00496A8B">
        <w:rPr>
          <w:rFonts w:ascii="Times New Roman" w:hAnsi="Times New Roman" w:cs="Times New Roman"/>
          <w:sz w:val="22"/>
          <w:szCs w:val="22"/>
        </w:rPr>
        <w:t>-</w:t>
      </w:r>
      <w:r w:rsidR="00293B04" w:rsidRPr="00496A8B">
        <w:rPr>
          <w:rFonts w:ascii="Times New Roman" w:hAnsi="Times New Roman" w:cs="Times New Roman"/>
          <w:sz w:val="22"/>
          <w:szCs w:val="22"/>
        </w:rPr>
        <w:t xml:space="preserve">time or part-time position. </w:t>
      </w:r>
      <w:r w:rsidR="00196F63" w:rsidRPr="00496A8B">
        <w:rPr>
          <w:rFonts w:ascii="Times New Roman" w:hAnsi="Times New Roman" w:cs="Times New Roman"/>
          <w:sz w:val="22"/>
          <w:szCs w:val="22"/>
        </w:rPr>
        <w:t xml:space="preserve">No unit is required to create </w:t>
      </w:r>
      <w:r w:rsidR="00405213" w:rsidRPr="00496A8B">
        <w:rPr>
          <w:rFonts w:ascii="Times New Roman" w:hAnsi="Times New Roman" w:cs="Times New Roman"/>
          <w:sz w:val="22"/>
          <w:szCs w:val="22"/>
        </w:rPr>
        <w:t>P</w:t>
      </w:r>
      <w:r w:rsidR="00196F63" w:rsidRPr="00496A8B">
        <w:rPr>
          <w:rFonts w:ascii="Times New Roman" w:hAnsi="Times New Roman" w:cs="Times New Roman"/>
          <w:sz w:val="22"/>
          <w:szCs w:val="22"/>
        </w:rPr>
        <w:t xml:space="preserve">rofessor of </w:t>
      </w:r>
      <w:r w:rsidR="00405213" w:rsidRPr="00496A8B">
        <w:rPr>
          <w:rFonts w:ascii="Times New Roman" w:hAnsi="Times New Roman" w:cs="Times New Roman"/>
          <w:sz w:val="22"/>
          <w:szCs w:val="22"/>
        </w:rPr>
        <w:t>P</w:t>
      </w:r>
      <w:r w:rsidR="00196F63" w:rsidRPr="00496A8B">
        <w:rPr>
          <w:rFonts w:ascii="Times New Roman" w:hAnsi="Times New Roman" w:cs="Times New Roman"/>
          <w:sz w:val="22"/>
          <w:szCs w:val="22"/>
        </w:rPr>
        <w:t>ractice positions.</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t>Professors of Practice, though distinguished professionals, either practicing or retired, do not have traditional academic backgrounds, so they would generally not meet the criteria to be appointed in Auburn’s current Clinical, Lecturer, Research, or Instructor title series.</w:t>
      </w:r>
    </w:p>
    <w:p w14:paraId="5F3BA132" w14:textId="4A1B7CE5" w:rsidR="00653647" w:rsidRPr="00496A8B" w:rsidRDefault="00653647" w:rsidP="00496A8B">
      <w:pPr>
        <w:pStyle w:val="ListParagraph"/>
        <w:rPr>
          <w:rFonts w:ascii="Times New Roman" w:hAnsi="Times New Roman" w:cs="Times New Roman"/>
          <w:sz w:val="22"/>
          <w:szCs w:val="22"/>
        </w:rPr>
      </w:pPr>
    </w:p>
    <w:p w14:paraId="0DA3ECC2" w14:textId="26516664" w:rsidR="00653647" w:rsidRPr="00496A8B" w:rsidRDefault="00653647" w:rsidP="00496A8B">
      <w:pPr>
        <w:pStyle w:val="ListParagraph"/>
        <w:rPr>
          <w:rFonts w:ascii="Times New Roman" w:hAnsi="Times New Roman" w:cs="Times New Roman"/>
          <w:sz w:val="22"/>
          <w:szCs w:val="22"/>
        </w:rPr>
      </w:pPr>
      <w:r w:rsidRPr="00496A8B">
        <w:rPr>
          <w:rFonts w:ascii="Times New Roman" w:hAnsi="Times New Roman" w:cs="Times New Roman"/>
          <w:sz w:val="22"/>
          <w:szCs w:val="22"/>
        </w:rPr>
        <w:t xml:space="preserve">Rather than focusing on traditional academic topics, courses taught by Professors of Practice would enhance students’ understanding of practical applications of the relevant fields of study and would advance the integration of academic scholarship with practical experience by </w:t>
      </w:r>
      <w:proofErr w:type="gramStart"/>
      <w:r w:rsidRPr="00496A8B">
        <w:rPr>
          <w:rFonts w:ascii="Times New Roman" w:hAnsi="Times New Roman" w:cs="Times New Roman"/>
          <w:sz w:val="22"/>
          <w:szCs w:val="22"/>
        </w:rPr>
        <w:t>drawing  upon</w:t>
      </w:r>
      <w:proofErr w:type="gramEnd"/>
      <w:r w:rsidRPr="00496A8B">
        <w:rPr>
          <w:rFonts w:ascii="Times New Roman" w:hAnsi="Times New Roman" w:cs="Times New Roman"/>
          <w:sz w:val="22"/>
          <w:szCs w:val="22"/>
        </w:rPr>
        <w:t xml:space="preserve"> the extensive applied experience of distinguished professionals.</w:t>
      </w:r>
    </w:p>
    <w:p w14:paraId="64BE9009" w14:textId="77777777" w:rsidR="00653647" w:rsidRPr="00496A8B" w:rsidRDefault="00653647" w:rsidP="00496A8B">
      <w:pPr>
        <w:pStyle w:val="ListParagraph"/>
        <w:rPr>
          <w:rFonts w:ascii="Times New Roman" w:hAnsi="Times New Roman" w:cs="Times New Roman"/>
          <w:sz w:val="22"/>
          <w:szCs w:val="22"/>
        </w:rPr>
      </w:pPr>
      <w:r w:rsidRPr="00496A8B">
        <w:rPr>
          <w:rFonts w:ascii="Times New Roman" w:hAnsi="Times New Roman" w:cs="Times New Roman"/>
          <w:sz w:val="22"/>
          <w:szCs w:val="22"/>
        </w:rPr>
        <w:lastRenderedPageBreak/>
        <w:t xml:space="preserve"> </w:t>
      </w:r>
    </w:p>
    <w:p w14:paraId="70370B17" w14:textId="5C39CDAA" w:rsidR="002C09B5" w:rsidRPr="00496A8B" w:rsidRDefault="00653647" w:rsidP="00496A8B">
      <w:pPr>
        <w:pStyle w:val="ListParagraph"/>
        <w:rPr>
          <w:rFonts w:ascii="Times New Roman" w:hAnsi="Times New Roman" w:cs="Times New Roman"/>
          <w:sz w:val="22"/>
          <w:szCs w:val="22"/>
        </w:rPr>
      </w:pPr>
      <w:r w:rsidRPr="00496A8B">
        <w:rPr>
          <w:rFonts w:ascii="Times New Roman" w:hAnsi="Times New Roman" w:cs="Times New Roman"/>
          <w:sz w:val="22"/>
          <w:szCs w:val="22"/>
        </w:rPr>
        <w:t>Professors of Practice will not teach courses that are part of Auburn's core curriculum.  They will teach only courses that relate directly to their particular areas of expertise and professional experiences.  These courses could usually be offered only by appointing a Professor of Practice.</w:t>
      </w:r>
    </w:p>
    <w:p w14:paraId="17751726" w14:textId="77777777" w:rsidR="00653647" w:rsidRPr="00496A8B" w:rsidRDefault="00653647" w:rsidP="00496A8B">
      <w:pPr>
        <w:pStyle w:val="ListParagraph"/>
        <w:rPr>
          <w:rFonts w:ascii="Times New Roman" w:hAnsi="Times New Roman" w:cs="Times New Roman"/>
          <w:sz w:val="22"/>
          <w:szCs w:val="22"/>
        </w:rPr>
      </w:pPr>
    </w:p>
    <w:p w14:paraId="0AB16F8A" w14:textId="77777777" w:rsidR="006D03EB" w:rsidRPr="00496A8B" w:rsidRDefault="006D03EB" w:rsidP="000C5E88">
      <w:pPr>
        <w:rPr>
          <w:rFonts w:ascii="Times New Roman" w:hAnsi="Times New Roman" w:cs="Times New Roman"/>
          <w:sz w:val="22"/>
          <w:szCs w:val="22"/>
        </w:rPr>
      </w:pPr>
    </w:p>
    <w:p w14:paraId="202CB5EC" w14:textId="54912B6C" w:rsidR="00C5355E" w:rsidRPr="00496A8B" w:rsidRDefault="000C5E88" w:rsidP="00496A8B">
      <w:pPr>
        <w:pStyle w:val="ListParagraph"/>
        <w:numPr>
          <w:ilvl w:val="0"/>
          <w:numId w:val="1"/>
        </w:numPr>
        <w:rPr>
          <w:rFonts w:ascii="Times New Roman" w:hAnsi="Times New Roman" w:cs="Times New Roman"/>
          <w:sz w:val="22"/>
          <w:szCs w:val="22"/>
        </w:rPr>
      </w:pPr>
      <w:r w:rsidRPr="00496A8B">
        <w:rPr>
          <w:rFonts w:ascii="Times New Roman" w:hAnsi="Times New Roman" w:cs="Times New Roman"/>
          <w:b/>
          <w:sz w:val="22"/>
          <w:szCs w:val="22"/>
        </w:rPr>
        <w:t>Establishment of a Position:</w:t>
      </w:r>
      <w:r w:rsidR="006D03EB" w:rsidRPr="00496A8B">
        <w:rPr>
          <w:rFonts w:ascii="Times New Roman" w:hAnsi="Times New Roman" w:cs="Times New Roman"/>
          <w:sz w:val="22"/>
          <w:szCs w:val="22"/>
        </w:rPr>
        <w:t xml:space="preserve"> To establish a Professor of Practice position, the initiating unit shall (1) prepare a proposal demonstrating the need for such a position</w:t>
      </w:r>
      <w:r w:rsidR="00860E65" w:rsidRPr="00496A8B">
        <w:rPr>
          <w:rFonts w:ascii="Times New Roman" w:hAnsi="Times New Roman" w:cs="Times New Roman"/>
          <w:sz w:val="22"/>
          <w:szCs w:val="22"/>
        </w:rPr>
        <w:t xml:space="preserve">, including a clear indication of why the </w:t>
      </w:r>
      <w:r w:rsidR="00230B48" w:rsidRPr="00496A8B">
        <w:rPr>
          <w:rFonts w:ascii="Times New Roman" w:hAnsi="Times New Roman" w:cs="Times New Roman"/>
          <w:sz w:val="22"/>
          <w:szCs w:val="22"/>
        </w:rPr>
        <w:t>P</w:t>
      </w:r>
      <w:r w:rsidR="00860E65" w:rsidRPr="00496A8B">
        <w:rPr>
          <w:rFonts w:ascii="Times New Roman" w:hAnsi="Times New Roman" w:cs="Times New Roman"/>
          <w:sz w:val="22"/>
          <w:szCs w:val="22"/>
        </w:rPr>
        <w:t xml:space="preserve">rofessor of </w:t>
      </w:r>
      <w:r w:rsidR="00230B48" w:rsidRPr="00496A8B">
        <w:rPr>
          <w:rFonts w:ascii="Times New Roman" w:hAnsi="Times New Roman" w:cs="Times New Roman"/>
          <w:sz w:val="22"/>
          <w:szCs w:val="22"/>
        </w:rPr>
        <w:t>P</w:t>
      </w:r>
      <w:r w:rsidR="00860E65" w:rsidRPr="00496A8B">
        <w:rPr>
          <w:rFonts w:ascii="Times New Roman" w:hAnsi="Times New Roman" w:cs="Times New Roman"/>
          <w:sz w:val="22"/>
          <w:szCs w:val="22"/>
        </w:rPr>
        <w:t>ractice is needed rather than a clinical, research</w:t>
      </w:r>
      <w:r w:rsidR="007E45B4" w:rsidRPr="00496A8B">
        <w:rPr>
          <w:rFonts w:ascii="Times New Roman" w:hAnsi="Times New Roman" w:cs="Times New Roman"/>
          <w:sz w:val="22"/>
          <w:szCs w:val="22"/>
        </w:rPr>
        <w:t>,</w:t>
      </w:r>
      <w:r w:rsidR="00860E65" w:rsidRPr="00496A8B">
        <w:rPr>
          <w:rFonts w:ascii="Times New Roman" w:hAnsi="Times New Roman" w:cs="Times New Roman"/>
          <w:sz w:val="22"/>
          <w:szCs w:val="22"/>
        </w:rPr>
        <w:t xml:space="preserve"> lecturer </w:t>
      </w:r>
      <w:r w:rsidR="007E45B4" w:rsidRPr="00496A8B">
        <w:rPr>
          <w:rFonts w:ascii="Times New Roman" w:hAnsi="Times New Roman" w:cs="Times New Roman"/>
          <w:sz w:val="22"/>
          <w:szCs w:val="22"/>
        </w:rPr>
        <w:t xml:space="preserve">or tenure track </w:t>
      </w:r>
      <w:r w:rsidR="00860E65" w:rsidRPr="00496A8B">
        <w:rPr>
          <w:rFonts w:ascii="Times New Roman" w:hAnsi="Times New Roman" w:cs="Times New Roman"/>
          <w:sz w:val="22"/>
          <w:szCs w:val="22"/>
        </w:rPr>
        <w:t>title,</w:t>
      </w:r>
      <w:r w:rsidR="006D03EB" w:rsidRPr="00496A8B">
        <w:rPr>
          <w:rFonts w:ascii="Times New Roman" w:hAnsi="Times New Roman" w:cs="Times New Roman"/>
          <w:sz w:val="22"/>
          <w:szCs w:val="22"/>
        </w:rPr>
        <w:t xml:space="preserve"> and indicate the source, amount, and term of funding</w:t>
      </w:r>
      <w:r w:rsidR="00860E65" w:rsidRPr="00496A8B">
        <w:rPr>
          <w:rFonts w:ascii="Times New Roman" w:hAnsi="Times New Roman" w:cs="Times New Roman"/>
          <w:sz w:val="22"/>
          <w:szCs w:val="22"/>
        </w:rPr>
        <w:t xml:space="preserve"> [note that</w:t>
      </w:r>
      <w:r w:rsidR="00D44FF9" w:rsidRPr="00496A8B">
        <w:rPr>
          <w:rFonts w:ascii="Times New Roman" w:hAnsi="Times New Roman" w:cs="Times New Roman"/>
          <w:sz w:val="22"/>
          <w:szCs w:val="22"/>
        </w:rPr>
        <w:t xml:space="preserve"> </w:t>
      </w:r>
      <w:r w:rsidR="00405213" w:rsidRPr="00496A8B">
        <w:rPr>
          <w:rFonts w:ascii="Times New Roman" w:hAnsi="Times New Roman" w:cs="Times New Roman"/>
          <w:sz w:val="22"/>
          <w:szCs w:val="22"/>
        </w:rPr>
        <w:t>P</w:t>
      </w:r>
      <w:r w:rsidR="007E45B4" w:rsidRPr="00496A8B">
        <w:rPr>
          <w:rFonts w:ascii="Times New Roman" w:hAnsi="Times New Roman" w:cs="Times New Roman"/>
          <w:sz w:val="22"/>
          <w:szCs w:val="22"/>
        </w:rPr>
        <w:t xml:space="preserve">rofessor of </w:t>
      </w:r>
      <w:r w:rsidR="00405213" w:rsidRPr="00496A8B">
        <w:rPr>
          <w:rFonts w:ascii="Times New Roman" w:hAnsi="Times New Roman" w:cs="Times New Roman"/>
          <w:sz w:val="22"/>
          <w:szCs w:val="22"/>
        </w:rPr>
        <w:t>P</w:t>
      </w:r>
      <w:r w:rsidR="007E45B4" w:rsidRPr="00496A8B">
        <w:rPr>
          <w:rFonts w:ascii="Times New Roman" w:hAnsi="Times New Roman" w:cs="Times New Roman"/>
          <w:sz w:val="22"/>
          <w:szCs w:val="22"/>
        </w:rPr>
        <w:t>ractice positions should not be used to replace or as a substitute for tenure track positions</w:t>
      </w:r>
      <w:r w:rsidR="00860E65" w:rsidRPr="00496A8B">
        <w:rPr>
          <w:rFonts w:ascii="Times New Roman" w:hAnsi="Times New Roman" w:cs="Times New Roman"/>
          <w:sz w:val="22"/>
          <w:szCs w:val="22"/>
        </w:rPr>
        <w:t>]</w:t>
      </w:r>
      <w:r w:rsidR="006D03EB" w:rsidRPr="00496A8B">
        <w:rPr>
          <w:rFonts w:ascii="Times New Roman" w:hAnsi="Times New Roman" w:cs="Times New Roman"/>
          <w:sz w:val="22"/>
          <w:szCs w:val="22"/>
        </w:rPr>
        <w:t xml:space="preserve">; (2) prepare a job description and identify any </w:t>
      </w:r>
      <w:r w:rsidR="00405213" w:rsidRPr="00496A8B">
        <w:rPr>
          <w:rFonts w:ascii="Times New Roman" w:hAnsi="Times New Roman" w:cs="Times New Roman"/>
          <w:sz w:val="22"/>
          <w:szCs w:val="22"/>
        </w:rPr>
        <w:t xml:space="preserve">physical </w:t>
      </w:r>
      <w:r w:rsidR="006D03EB" w:rsidRPr="00496A8B">
        <w:rPr>
          <w:rFonts w:ascii="Times New Roman" w:hAnsi="Times New Roman" w:cs="Times New Roman"/>
          <w:sz w:val="22"/>
          <w:szCs w:val="22"/>
        </w:rPr>
        <w:t xml:space="preserve">space that is needed for the performance of the practice; and (3) obtain approvals of the proposal by the chief administrative officer of the concerned unit, the dean of the college/school, and the provost. </w:t>
      </w:r>
      <w:r w:rsidR="00575F09" w:rsidRPr="00496A8B">
        <w:rPr>
          <w:rFonts w:ascii="Times New Roman" w:hAnsi="Times New Roman" w:cs="Times New Roman"/>
          <w:sz w:val="22"/>
          <w:szCs w:val="22"/>
        </w:rPr>
        <w:t xml:space="preserve">Each unit will decide </w:t>
      </w:r>
      <w:r w:rsidR="00AA68B9" w:rsidRPr="00496A8B">
        <w:rPr>
          <w:rFonts w:ascii="Times New Roman" w:hAnsi="Times New Roman" w:cs="Times New Roman"/>
          <w:sz w:val="22"/>
          <w:szCs w:val="22"/>
        </w:rPr>
        <w:t xml:space="preserve">(with approval from the Office of AAEEO) </w:t>
      </w:r>
      <w:r w:rsidR="00575F09" w:rsidRPr="00496A8B">
        <w:rPr>
          <w:rFonts w:ascii="Times New Roman" w:hAnsi="Times New Roman" w:cs="Times New Roman"/>
          <w:sz w:val="22"/>
          <w:szCs w:val="22"/>
        </w:rPr>
        <w:t xml:space="preserve">to advertise the position locally, regionally or nationally, depending upon what the unit faculty </w:t>
      </w:r>
      <w:r w:rsidR="00405213" w:rsidRPr="00496A8B">
        <w:rPr>
          <w:rFonts w:ascii="Times New Roman" w:hAnsi="Times New Roman" w:cs="Times New Roman"/>
          <w:sz w:val="22"/>
          <w:szCs w:val="22"/>
        </w:rPr>
        <w:t>determine to be</w:t>
      </w:r>
      <w:r w:rsidR="00575F09" w:rsidRPr="00496A8B">
        <w:rPr>
          <w:rFonts w:ascii="Times New Roman" w:hAnsi="Times New Roman" w:cs="Times New Roman"/>
          <w:sz w:val="22"/>
          <w:szCs w:val="22"/>
        </w:rPr>
        <w:t xml:space="preserve"> most appropriate for the position. </w:t>
      </w:r>
      <w:r w:rsidR="006D03EB" w:rsidRPr="00496A8B">
        <w:rPr>
          <w:rFonts w:ascii="Times New Roman" w:hAnsi="Times New Roman" w:cs="Times New Roman"/>
          <w:sz w:val="22"/>
          <w:szCs w:val="22"/>
        </w:rPr>
        <w:t xml:space="preserve">The proposal shall be transmitted to dean of the college/school by the department head/chair or unit head with his or her indication </w:t>
      </w:r>
      <w:r w:rsidR="00653647" w:rsidRPr="00496A8B">
        <w:rPr>
          <w:rFonts w:ascii="Times New Roman" w:hAnsi="Times New Roman" w:cs="Times New Roman"/>
          <w:sz w:val="22"/>
          <w:szCs w:val="22"/>
        </w:rPr>
        <w:t>that faculty have approved the position</w:t>
      </w:r>
      <w:r w:rsidR="006D03EB" w:rsidRPr="00496A8B">
        <w:rPr>
          <w:rFonts w:ascii="Times New Roman" w:hAnsi="Times New Roman" w:cs="Times New Roman"/>
          <w:sz w:val="22"/>
          <w:szCs w:val="22"/>
        </w:rPr>
        <w:t>. Joint appointments require the approval of all deans involved.</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00C5355E" w:rsidRPr="00496A8B">
        <w:rPr>
          <w:rFonts w:ascii="Times New Roman" w:hAnsi="Times New Roman" w:cs="Times New Roman"/>
          <w:sz w:val="22"/>
          <w:szCs w:val="22"/>
        </w:rPr>
        <w:t>Professor of Practice</w:t>
      </w:r>
      <w:r w:rsidR="00860E65" w:rsidRPr="00496A8B">
        <w:rPr>
          <w:rFonts w:ascii="Times New Roman" w:hAnsi="Times New Roman" w:cs="Times New Roman"/>
          <w:sz w:val="22"/>
          <w:szCs w:val="22"/>
        </w:rPr>
        <w:t xml:space="preserve"> salaries will be set by the hiring units but units are </w:t>
      </w:r>
      <w:r w:rsidR="00196F63" w:rsidRPr="00496A8B">
        <w:rPr>
          <w:rFonts w:ascii="Times New Roman" w:hAnsi="Times New Roman" w:cs="Times New Roman"/>
          <w:sz w:val="22"/>
          <w:szCs w:val="22"/>
        </w:rPr>
        <w:t>encouraged to protect the funding for current</w:t>
      </w:r>
      <w:r w:rsidR="00496A8B">
        <w:rPr>
          <w:rFonts w:ascii="Times New Roman" w:hAnsi="Times New Roman" w:cs="Times New Roman"/>
          <w:sz w:val="22"/>
          <w:szCs w:val="22"/>
        </w:rPr>
        <w:t xml:space="preserve"> </w:t>
      </w:r>
      <w:r w:rsidR="007E45B4" w:rsidRPr="00496A8B">
        <w:rPr>
          <w:rFonts w:ascii="Times New Roman" w:hAnsi="Times New Roman" w:cs="Times New Roman"/>
          <w:sz w:val="22"/>
          <w:szCs w:val="22"/>
        </w:rPr>
        <w:t xml:space="preserve">faculty </w:t>
      </w:r>
      <w:r w:rsidR="00196F63" w:rsidRPr="00496A8B">
        <w:rPr>
          <w:rFonts w:ascii="Times New Roman" w:hAnsi="Times New Roman" w:cs="Times New Roman"/>
          <w:sz w:val="22"/>
          <w:szCs w:val="22"/>
        </w:rPr>
        <w:t>positions so as not to disadvantage clinical, research</w:t>
      </w:r>
      <w:r w:rsidR="007E45B4" w:rsidRPr="00496A8B">
        <w:rPr>
          <w:rFonts w:ascii="Times New Roman" w:hAnsi="Times New Roman" w:cs="Times New Roman"/>
          <w:sz w:val="22"/>
          <w:szCs w:val="22"/>
        </w:rPr>
        <w:t>,</w:t>
      </w:r>
      <w:r w:rsidR="00196F63" w:rsidRPr="00496A8B">
        <w:rPr>
          <w:rFonts w:ascii="Times New Roman" w:hAnsi="Times New Roman" w:cs="Times New Roman"/>
          <w:sz w:val="22"/>
          <w:szCs w:val="22"/>
        </w:rPr>
        <w:t xml:space="preserve"> lecturer </w:t>
      </w:r>
      <w:r w:rsidR="007E45B4" w:rsidRPr="00496A8B">
        <w:rPr>
          <w:rFonts w:ascii="Times New Roman" w:hAnsi="Times New Roman" w:cs="Times New Roman"/>
          <w:sz w:val="22"/>
          <w:szCs w:val="22"/>
        </w:rPr>
        <w:t xml:space="preserve">or tenure track </w:t>
      </w:r>
      <w:r w:rsidR="00196F63" w:rsidRPr="00496A8B">
        <w:rPr>
          <w:rFonts w:ascii="Times New Roman" w:hAnsi="Times New Roman" w:cs="Times New Roman"/>
          <w:sz w:val="22"/>
          <w:szCs w:val="22"/>
        </w:rPr>
        <w:t>funding sources.</w:t>
      </w:r>
    </w:p>
    <w:p w14:paraId="6E4BD67B" w14:textId="77777777" w:rsidR="006D03EB" w:rsidRPr="00496A8B" w:rsidRDefault="006D03EB" w:rsidP="006D03EB">
      <w:pPr>
        <w:rPr>
          <w:rFonts w:ascii="Times New Roman" w:hAnsi="Times New Roman" w:cs="Times New Roman"/>
          <w:sz w:val="22"/>
          <w:szCs w:val="22"/>
        </w:rPr>
      </w:pPr>
    </w:p>
    <w:p w14:paraId="128BB0BB" w14:textId="7A35F541" w:rsidR="000C5E88" w:rsidRPr="00496A8B" w:rsidRDefault="006D03EB" w:rsidP="00576545">
      <w:pPr>
        <w:pStyle w:val="ListParagraph"/>
        <w:numPr>
          <w:ilvl w:val="0"/>
          <w:numId w:val="4"/>
        </w:numPr>
        <w:rPr>
          <w:rFonts w:ascii="Times New Roman" w:hAnsi="Times New Roman" w:cs="Times New Roman"/>
          <w:sz w:val="22"/>
          <w:szCs w:val="22"/>
        </w:rPr>
      </w:pPr>
      <w:r w:rsidRPr="00496A8B">
        <w:rPr>
          <w:rFonts w:ascii="Times New Roman" w:hAnsi="Times New Roman" w:cs="Times New Roman"/>
          <w:b/>
          <w:sz w:val="22"/>
          <w:szCs w:val="22"/>
        </w:rPr>
        <w:t>Initial Appointment:</w:t>
      </w:r>
      <w:r w:rsidRPr="00496A8B">
        <w:rPr>
          <w:rFonts w:ascii="Times New Roman" w:hAnsi="Times New Roman" w:cs="Times New Roman"/>
          <w:sz w:val="22"/>
          <w:szCs w:val="22"/>
        </w:rPr>
        <w:t xml:space="preserve"> Colleges, Schools and other units have some </w:t>
      </w:r>
      <w:r w:rsidR="008B0C32" w:rsidRPr="00496A8B">
        <w:rPr>
          <w:rFonts w:ascii="Times New Roman" w:hAnsi="Times New Roman" w:cs="Times New Roman"/>
          <w:sz w:val="22"/>
          <w:szCs w:val="22"/>
        </w:rPr>
        <w:t xml:space="preserve">flexibility </w:t>
      </w:r>
      <w:r w:rsidRPr="00496A8B">
        <w:rPr>
          <w:rFonts w:ascii="Times New Roman" w:hAnsi="Times New Roman" w:cs="Times New Roman"/>
          <w:sz w:val="22"/>
          <w:szCs w:val="22"/>
        </w:rPr>
        <w:t xml:space="preserve">in establishing the procedures most appropriate for their particular circumstances. </w:t>
      </w:r>
      <w:r w:rsidR="003F7187" w:rsidRPr="00BA20A6">
        <w:rPr>
          <w:rFonts w:ascii="Times New Roman" w:hAnsi="Times New Roman" w:cs="Times New Roman"/>
          <w:sz w:val="22"/>
          <w:szCs w:val="22"/>
        </w:rPr>
        <w:t>The unit might act as a committee of the whole or smaller screening committees might be used</w:t>
      </w:r>
      <w:r w:rsidR="003F7187">
        <w:rPr>
          <w:rFonts w:ascii="Times New Roman" w:hAnsi="Times New Roman" w:cs="Times New Roman"/>
          <w:sz w:val="22"/>
          <w:szCs w:val="22"/>
        </w:rPr>
        <w:t xml:space="preserve">; </w:t>
      </w:r>
      <w:r w:rsidR="00576545" w:rsidRPr="00576545">
        <w:rPr>
          <w:rFonts w:ascii="Times New Roman" w:hAnsi="Times New Roman" w:cs="Times New Roman"/>
          <w:sz w:val="22"/>
          <w:szCs w:val="22"/>
        </w:rPr>
        <w:t>a recommendation by a search committee might be transmitted to the department or unit as a whole for further consideration and then transmitted to the department head/chair or unit head: or</w:t>
      </w:r>
      <w:r w:rsidR="00496A8B" w:rsidRPr="00496A8B">
        <w:rPr>
          <w:rFonts w:ascii="Times New Roman" w:hAnsi="Times New Roman" w:cs="Times New Roman"/>
          <w:sz w:val="22"/>
          <w:szCs w:val="22"/>
        </w:rPr>
        <w:t xml:space="preserve"> or</w:t>
      </w:r>
      <w:r w:rsidRPr="00496A8B">
        <w:rPr>
          <w:rFonts w:ascii="Times New Roman" w:hAnsi="Times New Roman" w:cs="Times New Roman"/>
          <w:sz w:val="22"/>
          <w:szCs w:val="22"/>
        </w:rPr>
        <w:t xml:space="preserve"> or it might be transmitted directly to the department head/chair or unit head. Whatever the procedure, it should be established in advance of need by the department or unit as a whole. The dean or unit head, in consultation with his or her faculty, should decide on the positions needed and the qualifications a successful candidate must have. Together they should develop a position description to be supplied to the candidates.</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Pr="00496A8B">
        <w:rPr>
          <w:rFonts w:ascii="Times New Roman" w:hAnsi="Times New Roman" w:cs="Times New Roman"/>
          <w:sz w:val="22"/>
          <w:szCs w:val="22"/>
        </w:rPr>
        <w:t xml:space="preserve">The unit head and the search committee shall be guided by the Provost’s Office and </w:t>
      </w:r>
      <w:r w:rsidR="002916C0" w:rsidRPr="002916C0">
        <w:rPr>
          <w:rFonts w:ascii="Times New Roman" w:hAnsi="Times New Roman" w:cs="Times New Roman"/>
          <w:sz w:val="22"/>
          <w:szCs w:val="22"/>
        </w:rPr>
        <w:t>Affirmative Action/Equal Employment Opportunity</w:t>
      </w:r>
      <w:r w:rsidR="002916C0">
        <w:rPr>
          <w:rFonts w:ascii="Times New Roman" w:hAnsi="Times New Roman" w:cs="Times New Roman"/>
          <w:sz w:val="22"/>
          <w:szCs w:val="22"/>
        </w:rPr>
        <w:t xml:space="preserve"> Office</w:t>
      </w:r>
      <w:r w:rsidRPr="00496A8B">
        <w:rPr>
          <w:rFonts w:ascii="Times New Roman" w:hAnsi="Times New Roman" w:cs="Times New Roman"/>
          <w:sz w:val="22"/>
          <w:szCs w:val="22"/>
        </w:rPr>
        <w:t xml:space="preserve"> in framing an advertisement for the position, in seeking permission to advertise, and in recommending an appointment. Guidelines from the</w:t>
      </w:r>
      <w:r w:rsidR="002916C0">
        <w:rPr>
          <w:rFonts w:ascii="Times New Roman" w:hAnsi="Times New Roman" w:cs="Times New Roman"/>
          <w:sz w:val="22"/>
          <w:szCs w:val="22"/>
        </w:rPr>
        <w:t xml:space="preserve"> </w:t>
      </w:r>
      <w:r w:rsidR="002916C0" w:rsidRPr="002916C0">
        <w:rPr>
          <w:rFonts w:ascii="Times New Roman" w:hAnsi="Times New Roman" w:cs="Times New Roman"/>
          <w:sz w:val="22"/>
          <w:szCs w:val="22"/>
        </w:rPr>
        <w:t>Affirmative Action/Equal Employment Opportunity Office</w:t>
      </w:r>
      <w:r w:rsidRPr="00496A8B">
        <w:rPr>
          <w:rFonts w:ascii="Times New Roman" w:hAnsi="Times New Roman" w:cs="Times New Roman"/>
          <w:sz w:val="22"/>
          <w:szCs w:val="22"/>
        </w:rPr>
        <w:t xml:space="preserve"> help ensure compliance with federal law and help ensure an open and fair search.</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Pr="00496A8B">
        <w:rPr>
          <w:rFonts w:ascii="Times New Roman" w:hAnsi="Times New Roman" w:cs="Times New Roman"/>
          <w:sz w:val="22"/>
          <w:szCs w:val="22"/>
        </w:rPr>
        <w:t>When making recommendations for appointments in the unit</w:t>
      </w:r>
      <w:r w:rsidR="00230B48" w:rsidRPr="00496A8B">
        <w:rPr>
          <w:rFonts w:ascii="Times New Roman" w:hAnsi="Times New Roman" w:cs="Times New Roman"/>
          <w:sz w:val="22"/>
          <w:szCs w:val="22"/>
        </w:rPr>
        <w:t>,</w:t>
      </w:r>
      <w:r w:rsidRPr="00496A8B">
        <w:rPr>
          <w:rFonts w:ascii="Times New Roman" w:hAnsi="Times New Roman" w:cs="Times New Roman"/>
          <w:sz w:val="22"/>
          <w:szCs w:val="22"/>
        </w:rPr>
        <w:t xml:space="preserve"> </w:t>
      </w:r>
      <w:r w:rsidR="00703B57" w:rsidRPr="00496A8B">
        <w:rPr>
          <w:rFonts w:ascii="Times New Roman" w:hAnsi="Times New Roman" w:cs="Times New Roman"/>
          <w:sz w:val="22"/>
          <w:szCs w:val="22"/>
        </w:rPr>
        <w:t xml:space="preserve">the </w:t>
      </w:r>
      <w:r w:rsidRPr="00496A8B">
        <w:rPr>
          <w:rFonts w:ascii="Times New Roman" w:hAnsi="Times New Roman" w:cs="Times New Roman"/>
          <w:sz w:val="22"/>
          <w:szCs w:val="22"/>
        </w:rPr>
        <w:t>head</w:t>
      </w:r>
      <w:r w:rsidR="00703B57" w:rsidRPr="00496A8B">
        <w:rPr>
          <w:rFonts w:ascii="Times New Roman" w:hAnsi="Times New Roman" w:cs="Times New Roman"/>
          <w:sz w:val="22"/>
          <w:szCs w:val="22"/>
        </w:rPr>
        <w:t>/chair or unit head</w:t>
      </w:r>
      <w:r w:rsidRPr="00496A8B">
        <w:rPr>
          <w:rFonts w:ascii="Times New Roman" w:hAnsi="Times New Roman" w:cs="Times New Roman"/>
          <w:sz w:val="22"/>
          <w:szCs w:val="22"/>
        </w:rPr>
        <w:t xml:space="preserve"> shall confer with all available members of the department holding professorial ranks or, if the unit does not include professorial faculty, with those faculty holding continuing appointments. He or she shall then transmit a written summary of the reactions of these faculty members along with appointment forms, through the appropriate dean and/or director, to the provost. Where the faculty members do not concur in an initial appointment, the head/chair </w:t>
      </w:r>
      <w:r w:rsidR="00703B57" w:rsidRPr="00496A8B">
        <w:rPr>
          <w:rFonts w:ascii="Times New Roman" w:hAnsi="Times New Roman" w:cs="Times New Roman"/>
          <w:sz w:val="22"/>
          <w:szCs w:val="22"/>
        </w:rPr>
        <w:t xml:space="preserve">or unit head </w:t>
      </w:r>
      <w:r w:rsidRPr="00496A8B">
        <w:rPr>
          <w:rFonts w:ascii="Times New Roman" w:hAnsi="Times New Roman" w:cs="Times New Roman"/>
          <w:sz w:val="22"/>
          <w:szCs w:val="22"/>
        </w:rPr>
        <w:t>may submit a recommendation for appointment with his or her justification and a report of non</w:t>
      </w:r>
      <w:r w:rsidR="001F7918" w:rsidRPr="00496A8B">
        <w:rPr>
          <w:rFonts w:ascii="Times New Roman" w:hAnsi="Times New Roman" w:cs="Times New Roman"/>
          <w:sz w:val="22"/>
          <w:szCs w:val="22"/>
        </w:rPr>
        <w:t>-</w:t>
      </w:r>
      <w:r w:rsidRPr="00496A8B">
        <w:rPr>
          <w:rFonts w:ascii="Times New Roman" w:hAnsi="Times New Roman" w:cs="Times New Roman"/>
          <w:sz w:val="22"/>
          <w:szCs w:val="22"/>
        </w:rPr>
        <w:t xml:space="preserve">concurrence of the faculty. </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Pr="00496A8B">
        <w:rPr>
          <w:rFonts w:ascii="Times New Roman" w:hAnsi="Times New Roman" w:cs="Times New Roman"/>
          <w:sz w:val="22"/>
          <w:szCs w:val="22"/>
        </w:rPr>
        <w:t xml:space="preserve">Each initial appointment must be confirmed by the appropriate department head/chair/unit head </w:t>
      </w:r>
      <w:r w:rsidRPr="00496A8B">
        <w:rPr>
          <w:rFonts w:ascii="Times New Roman" w:hAnsi="Times New Roman" w:cs="Times New Roman"/>
          <w:sz w:val="22"/>
          <w:szCs w:val="22"/>
        </w:rPr>
        <w:lastRenderedPageBreak/>
        <w:t>or dean in a written notice to the appointee after proper administrative approvals have been obtained. This letter constitutes the faculty member’s terms of initial employment.</w:t>
      </w:r>
    </w:p>
    <w:p w14:paraId="1407B5ED" w14:textId="77777777" w:rsidR="006D03EB" w:rsidRPr="00496A8B" w:rsidRDefault="006D03EB" w:rsidP="000C5E88">
      <w:pPr>
        <w:rPr>
          <w:rFonts w:ascii="Times New Roman" w:hAnsi="Times New Roman" w:cs="Times New Roman"/>
          <w:sz w:val="22"/>
          <w:szCs w:val="22"/>
        </w:rPr>
      </w:pPr>
    </w:p>
    <w:p w14:paraId="06DAFD39" w14:textId="3444293D" w:rsidR="000C5E88" w:rsidRPr="00496A8B" w:rsidRDefault="000C5E88" w:rsidP="00576545">
      <w:pPr>
        <w:pStyle w:val="ListParagraph"/>
        <w:numPr>
          <w:ilvl w:val="0"/>
          <w:numId w:val="5"/>
        </w:numPr>
        <w:tabs>
          <w:tab w:val="left" w:pos="2302"/>
        </w:tabs>
        <w:rPr>
          <w:rFonts w:ascii="Times New Roman" w:hAnsi="Times New Roman" w:cs="Times New Roman"/>
          <w:sz w:val="22"/>
          <w:szCs w:val="22"/>
        </w:rPr>
      </w:pPr>
      <w:r w:rsidRPr="00496A8B">
        <w:rPr>
          <w:rFonts w:ascii="Times New Roman" w:hAnsi="Times New Roman" w:cs="Times New Roman"/>
          <w:b/>
          <w:sz w:val="22"/>
          <w:szCs w:val="22"/>
        </w:rPr>
        <w:t>Areas of Activity</w:t>
      </w:r>
      <w:r w:rsidR="00EB6B5B" w:rsidRPr="00496A8B">
        <w:rPr>
          <w:rFonts w:ascii="Times New Roman" w:hAnsi="Times New Roman" w:cs="Times New Roman"/>
          <w:b/>
          <w:sz w:val="22"/>
          <w:szCs w:val="22"/>
        </w:rPr>
        <w:t>:</w:t>
      </w:r>
      <w:r w:rsidR="00EB6B5B" w:rsidRPr="00496A8B">
        <w:rPr>
          <w:rFonts w:ascii="Times New Roman" w:hAnsi="Times New Roman" w:cs="Times New Roman"/>
          <w:sz w:val="22"/>
          <w:szCs w:val="22"/>
        </w:rPr>
        <w:t xml:space="preserve"> </w:t>
      </w:r>
      <w:r w:rsidR="00653647" w:rsidRPr="00496A8B">
        <w:rPr>
          <w:rFonts w:ascii="Times New Roman" w:hAnsi="Times New Roman" w:cs="Times New Roman"/>
          <w:sz w:val="22"/>
          <w:szCs w:val="22"/>
        </w:rPr>
        <w:t>T</w:t>
      </w:r>
      <w:r w:rsidR="00A724AE">
        <w:rPr>
          <w:rFonts w:ascii="Times New Roman" w:hAnsi="Times New Roman" w:cs="Times New Roman"/>
          <w:sz w:val="22"/>
          <w:szCs w:val="22"/>
        </w:rPr>
        <w:t>wo</w:t>
      </w:r>
      <w:r w:rsidR="00653647" w:rsidRPr="00496A8B">
        <w:rPr>
          <w:rFonts w:ascii="Times New Roman" w:hAnsi="Times New Roman" w:cs="Times New Roman"/>
          <w:sz w:val="22"/>
          <w:szCs w:val="22"/>
        </w:rPr>
        <w:t xml:space="preserve"> </w:t>
      </w:r>
      <w:r w:rsidR="00EB6B5B" w:rsidRPr="00496A8B">
        <w:rPr>
          <w:rFonts w:ascii="Times New Roman" w:hAnsi="Times New Roman" w:cs="Times New Roman"/>
          <w:sz w:val="22"/>
          <w:szCs w:val="22"/>
        </w:rPr>
        <w:t>areas of activity are important in the evaluation of individuals for appointment as Professors of Practice: (1) documented</w:t>
      </w:r>
      <w:r w:rsidR="006D03EB" w:rsidRPr="00496A8B">
        <w:rPr>
          <w:rFonts w:ascii="Times New Roman" w:hAnsi="Times New Roman" w:cs="Times New Roman"/>
          <w:sz w:val="22"/>
          <w:szCs w:val="22"/>
        </w:rPr>
        <w:t xml:space="preserve"> evidence of effective </w:t>
      </w:r>
      <w:r w:rsidR="00EB6B5B" w:rsidRPr="00496A8B">
        <w:rPr>
          <w:rFonts w:ascii="Times New Roman" w:hAnsi="Times New Roman" w:cs="Times New Roman"/>
          <w:sz w:val="22"/>
          <w:szCs w:val="22"/>
        </w:rPr>
        <w:t xml:space="preserve">practice; </w:t>
      </w:r>
      <w:r w:rsidR="00A724AE">
        <w:rPr>
          <w:rFonts w:ascii="Times New Roman" w:hAnsi="Times New Roman" w:cs="Times New Roman"/>
          <w:sz w:val="22"/>
          <w:szCs w:val="22"/>
        </w:rPr>
        <w:t xml:space="preserve">and </w:t>
      </w:r>
      <w:r w:rsidR="00EB6B5B" w:rsidRPr="00496A8B">
        <w:rPr>
          <w:rFonts w:ascii="Times New Roman" w:hAnsi="Times New Roman" w:cs="Times New Roman"/>
          <w:sz w:val="22"/>
          <w:szCs w:val="22"/>
        </w:rPr>
        <w:t xml:space="preserve">(2) </w:t>
      </w:r>
      <w:r w:rsidR="00576545" w:rsidRPr="00576545">
        <w:rPr>
          <w:rFonts w:ascii="Times New Roman" w:hAnsi="Times New Roman" w:cs="Times New Roman"/>
          <w:sz w:val="22"/>
          <w:szCs w:val="22"/>
        </w:rPr>
        <w:t>documented evidence of other appropriate endeavors as relevant to the position</w:t>
      </w:r>
      <w:r w:rsidR="00EB6B5B" w:rsidRPr="00496A8B">
        <w:rPr>
          <w:rFonts w:ascii="Times New Roman" w:hAnsi="Times New Roman" w:cs="Times New Roman"/>
          <w:sz w:val="22"/>
          <w:szCs w:val="22"/>
        </w:rPr>
        <w:t xml:space="preserve">. </w:t>
      </w:r>
    </w:p>
    <w:p w14:paraId="1A31290F" w14:textId="77777777" w:rsidR="00CA7CC4" w:rsidRPr="00496A8B" w:rsidRDefault="00CA7CC4" w:rsidP="000C5E88">
      <w:pPr>
        <w:rPr>
          <w:rFonts w:ascii="Times New Roman" w:hAnsi="Times New Roman" w:cs="Times New Roman"/>
          <w:sz w:val="22"/>
          <w:szCs w:val="22"/>
        </w:rPr>
      </w:pPr>
    </w:p>
    <w:p w14:paraId="2B597714" w14:textId="63BC21A4" w:rsidR="007E45B4" w:rsidRPr="00496A8B" w:rsidRDefault="000C5E88" w:rsidP="00496A8B">
      <w:pPr>
        <w:pStyle w:val="ListParagraph"/>
        <w:numPr>
          <w:ilvl w:val="0"/>
          <w:numId w:val="15"/>
        </w:numPr>
        <w:rPr>
          <w:rFonts w:ascii="Times New Roman" w:hAnsi="Times New Roman" w:cs="Times New Roman"/>
          <w:sz w:val="22"/>
          <w:szCs w:val="22"/>
        </w:rPr>
      </w:pPr>
      <w:r w:rsidRPr="00496A8B">
        <w:rPr>
          <w:rFonts w:ascii="Times New Roman" w:hAnsi="Times New Roman" w:cs="Times New Roman"/>
          <w:b/>
          <w:sz w:val="22"/>
          <w:szCs w:val="22"/>
        </w:rPr>
        <w:t>Academic Rank and Criteria:</w:t>
      </w:r>
      <w:r w:rsidR="00CA7CC4" w:rsidRPr="00496A8B">
        <w:rPr>
          <w:rFonts w:ascii="Times New Roman" w:hAnsi="Times New Roman" w:cs="Times New Roman"/>
          <w:b/>
          <w:sz w:val="22"/>
          <w:szCs w:val="22"/>
        </w:rPr>
        <w:t xml:space="preserve"> </w:t>
      </w:r>
      <w:r w:rsidR="00230B48" w:rsidRPr="00496A8B">
        <w:rPr>
          <w:rFonts w:ascii="Times New Roman" w:hAnsi="Times New Roman" w:cs="Times New Roman"/>
          <w:sz w:val="22"/>
          <w:szCs w:val="22"/>
        </w:rPr>
        <w:t>The Professor of Practice</w:t>
      </w:r>
      <w:r w:rsidR="00230B48" w:rsidRPr="00496A8B" w:rsidDel="00230B48">
        <w:rPr>
          <w:rFonts w:ascii="Times New Roman" w:hAnsi="Times New Roman" w:cs="Times New Roman"/>
          <w:sz w:val="22"/>
          <w:szCs w:val="22"/>
        </w:rPr>
        <w:t xml:space="preserve"> </w:t>
      </w:r>
      <w:r w:rsidR="00230B48" w:rsidRPr="00496A8B">
        <w:rPr>
          <w:rFonts w:ascii="Times New Roman" w:hAnsi="Times New Roman" w:cs="Times New Roman"/>
          <w:sz w:val="22"/>
          <w:szCs w:val="22"/>
        </w:rPr>
        <w:t xml:space="preserve">is the only </w:t>
      </w:r>
      <w:r w:rsidR="00CA7CC4" w:rsidRPr="00496A8B">
        <w:rPr>
          <w:rFonts w:ascii="Times New Roman" w:hAnsi="Times New Roman" w:cs="Times New Roman"/>
          <w:sz w:val="22"/>
          <w:szCs w:val="22"/>
        </w:rPr>
        <w:t xml:space="preserve">academic rank title in </w:t>
      </w:r>
      <w:r w:rsidR="00496A8B">
        <w:rPr>
          <w:rFonts w:ascii="Times New Roman" w:hAnsi="Times New Roman" w:cs="Times New Roman"/>
          <w:sz w:val="22"/>
          <w:szCs w:val="22"/>
        </w:rPr>
        <w:t xml:space="preserve">this </w:t>
      </w:r>
      <w:r w:rsidR="00CA7CC4" w:rsidRPr="00496A8B">
        <w:rPr>
          <w:rFonts w:ascii="Times New Roman" w:hAnsi="Times New Roman" w:cs="Times New Roman"/>
          <w:sz w:val="22"/>
          <w:szCs w:val="22"/>
        </w:rPr>
        <w:t>series. Although it is not feasible to specify exact criteria for evaluating the credentials of an individual for appointment, the following statements are provided as guidelines.</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00CA7CC4" w:rsidRPr="00496A8B">
        <w:rPr>
          <w:rFonts w:ascii="Times New Roman" w:hAnsi="Times New Roman" w:cs="Times New Roman"/>
          <w:sz w:val="22"/>
          <w:szCs w:val="22"/>
        </w:rPr>
        <w:t xml:space="preserve">Professor of Practice: This nontenure-track faculty appointment is designated for those with an emphasis on the teaching, research, outreach, or mentorship at Auburn University who are qualified in their discipline/field. The appointments are not </w:t>
      </w:r>
      <w:proofErr w:type="spellStart"/>
      <w:r w:rsidR="00CA7CC4" w:rsidRPr="00496A8B">
        <w:rPr>
          <w:rFonts w:ascii="Times New Roman" w:hAnsi="Times New Roman" w:cs="Times New Roman"/>
          <w:sz w:val="22"/>
          <w:szCs w:val="22"/>
        </w:rPr>
        <w:t>tenurable</w:t>
      </w:r>
      <w:proofErr w:type="spellEnd"/>
      <w:r w:rsidR="00CA7CC4" w:rsidRPr="00496A8B">
        <w:rPr>
          <w:rFonts w:ascii="Times New Roman" w:hAnsi="Times New Roman" w:cs="Times New Roman"/>
          <w:sz w:val="22"/>
          <w:szCs w:val="22"/>
        </w:rPr>
        <w:t xml:space="preserve"> and are generally made on an annual basis with no right or expectation of employment beyond the period specified in the letter of appointment. These appointments may be renewable contingent upon availability of funds, the need for services, and</w:t>
      </w:r>
      <w:r w:rsidR="001F7918" w:rsidRPr="00496A8B">
        <w:rPr>
          <w:rFonts w:ascii="Times New Roman" w:hAnsi="Times New Roman" w:cs="Times New Roman"/>
          <w:sz w:val="22"/>
          <w:szCs w:val="22"/>
        </w:rPr>
        <w:t>/or</w:t>
      </w:r>
      <w:r w:rsidR="00CA7CC4" w:rsidRPr="00496A8B">
        <w:rPr>
          <w:rFonts w:ascii="Times New Roman" w:hAnsi="Times New Roman" w:cs="Times New Roman"/>
          <w:sz w:val="22"/>
          <w:szCs w:val="22"/>
        </w:rPr>
        <w:t xml:space="preserve"> </w:t>
      </w:r>
      <w:r w:rsidR="00230B48" w:rsidRPr="00496A8B">
        <w:rPr>
          <w:rFonts w:ascii="Times New Roman" w:hAnsi="Times New Roman" w:cs="Times New Roman"/>
          <w:sz w:val="22"/>
          <w:szCs w:val="22"/>
        </w:rPr>
        <w:t xml:space="preserve">evaluation of </w:t>
      </w:r>
      <w:r w:rsidR="00CA7CC4" w:rsidRPr="00496A8B">
        <w:rPr>
          <w:rFonts w:ascii="Times New Roman" w:hAnsi="Times New Roman" w:cs="Times New Roman"/>
          <w:sz w:val="22"/>
          <w:szCs w:val="22"/>
        </w:rPr>
        <w:t>performanc</w:t>
      </w:r>
      <w:r w:rsidR="00653647" w:rsidRPr="00496A8B">
        <w:rPr>
          <w:rFonts w:ascii="Times New Roman" w:hAnsi="Times New Roman" w:cs="Times New Roman"/>
          <w:sz w:val="22"/>
          <w:szCs w:val="22"/>
        </w:rPr>
        <w:t xml:space="preserve">e. </w:t>
      </w:r>
      <w:r w:rsidR="00653647" w:rsidRPr="00496A8B">
        <w:rPr>
          <w:rFonts w:ascii="Times New Roman" w:hAnsi="Times New Roman" w:cs="Times New Roman"/>
          <w:sz w:val="22"/>
          <w:szCs w:val="22"/>
        </w:rPr>
        <w:br/>
      </w:r>
      <w:r w:rsidR="00653647" w:rsidRPr="00496A8B">
        <w:rPr>
          <w:rFonts w:ascii="Times New Roman" w:hAnsi="Times New Roman" w:cs="Times New Roman"/>
          <w:sz w:val="22"/>
          <w:szCs w:val="22"/>
        </w:rPr>
        <w:br/>
      </w:r>
      <w:r w:rsidR="007E45B4" w:rsidRPr="00496A8B">
        <w:rPr>
          <w:rFonts w:ascii="Times New Roman" w:hAnsi="Times New Roman" w:cs="Times New Roman"/>
          <w:sz w:val="22"/>
          <w:szCs w:val="22"/>
        </w:rPr>
        <w:t>There is no promotion possible beyond professor of practice and</w:t>
      </w:r>
      <w:r w:rsidR="00230B48" w:rsidRPr="00496A8B">
        <w:rPr>
          <w:rFonts w:ascii="Times New Roman" w:hAnsi="Times New Roman" w:cs="Times New Roman"/>
          <w:sz w:val="22"/>
          <w:szCs w:val="22"/>
        </w:rPr>
        <w:t>;</w:t>
      </w:r>
      <w:r w:rsidR="007E45B4" w:rsidRPr="00496A8B">
        <w:rPr>
          <w:rFonts w:ascii="Times New Roman" w:hAnsi="Times New Roman" w:cs="Times New Roman"/>
          <w:sz w:val="22"/>
          <w:szCs w:val="22"/>
        </w:rPr>
        <w:t xml:space="preserve"> therefore, this title may be less desirable than the clinical, research or lecturer title series options.</w:t>
      </w:r>
    </w:p>
    <w:p w14:paraId="223A07BE" w14:textId="77777777" w:rsidR="007E45B4" w:rsidRPr="00496A8B" w:rsidRDefault="007E45B4" w:rsidP="000C5E88">
      <w:pPr>
        <w:rPr>
          <w:rFonts w:ascii="Times New Roman" w:hAnsi="Times New Roman" w:cs="Times New Roman"/>
          <w:sz w:val="22"/>
          <w:szCs w:val="22"/>
        </w:rPr>
      </w:pPr>
    </w:p>
    <w:p w14:paraId="2747D6D2" w14:textId="310AC947" w:rsidR="0083124E" w:rsidRPr="00496A8B" w:rsidRDefault="000C5E88" w:rsidP="00496A8B">
      <w:pPr>
        <w:pStyle w:val="ListParagraph"/>
        <w:numPr>
          <w:ilvl w:val="0"/>
          <w:numId w:val="7"/>
        </w:numPr>
        <w:rPr>
          <w:rFonts w:ascii="Times New Roman" w:hAnsi="Times New Roman" w:cs="Times New Roman"/>
          <w:sz w:val="22"/>
          <w:szCs w:val="22"/>
        </w:rPr>
      </w:pPr>
      <w:r w:rsidRPr="00496A8B">
        <w:rPr>
          <w:rFonts w:ascii="Times New Roman" w:hAnsi="Times New Roman" w:cs="Times New Roman"/>
          <w:b/>
          <w:sz w:val="22"/>
          <w:szCs w:val="22"/>
        </w:rPr>
        <w:t>Performance Evaluation:</w:t>
      </w:r>
      <w:r w:rsidR="0083124E" w:rsidRPr="00496A8B">
        <w:rPr>
          <w:rFonts w:ascii="Times New Roman" w:hAnsi="Times New Roman" w:cs="Times New Roman"/>
          <w:sz w:val="22"/>
          <w:szCs w:val="22"/>
        </w:rPr>
        <w:t xml:space="preserve"> Each department will have an annual evaluation system that includes student, peer, and administrator input. Evaluation metrics should be parallel to department faculty with similar duties and should be determined by the individual department or college.</w:t>
      </w:r>
    </w:p>
    <w:p w14:paraId="0A09051E" w14:textId="77777777" w:rsidR="0083124E" w:rsidRPr="00496A8B" w:rsidRDefault="0083124E" w:rsidP="0083124E">
      <w:pPr>
        <w:rPr>
          <w:rFonts w:ascii="Times New Roman" w:hAnsi="Times New Roman" w:cs="Times New Roman"/>
          <w:sz w:val="22"/>
          <w:szCs w:val="22"/>
        </w:rPr>
      </w:pPr>
    </w:p>
    <w:p w14:paraId="171606AD" w14:textId="77777777" w:rsidR="0083124E" w:rsidRPr="00496A8B" w:rsidRDefault="0083124E" w:rsidP="00653647">
      <w:pPr>
        <w:ind w:left="720"/>
        <w:rPr>
          <w:rFonts w:ascii="Times New Roman" w:hAnsi="Times New Roman" w:cs="Times New Roman"/>
          <w:sz w:val="22"/>
          <w:szCs w:val="22"/>
        </w:rPr>
      </w:pPr>
      <w:r w:rsidRPr="00496A8B">
        <w:rPr>
          <w:rFonts w:ascii="Times New Roman" w:hAnsi="Times New Roman" w:cs="Times New Roman"/>
          <w:sz w:val="22"/>
          <w:szCs w:val="22"/>
        </w:rPr>
        <w:t xml:space="preserve">All department heads/chairs and unit heads, such as center and institute directors, shall conduct at least one </w:t>
      </w:r>
      <w:r w:rsidR="00285951" w:rsidRPr="00496A8B">
        <w:rPr>
          <w:rFonts w:ascii="Times New Roman" w:hAnsi="Times New Roman" w:cs="Times New Roman"/>
          <w:sz w:val="22"/>
          <w:szCs w:val="22"/>
        </w:rPr>
        <w:t xml:space="preserve">annual evaluation </w:t>
      </w:r>
      <w:r w:rsidRPr="00496A8B">
        <w:rPr>
          <w:rFonts w:ascii="Times New Roman" w:hAnsi="Times New Roman" w:cs="Times New Roman"/>
          <w:sz w:val="22"/>
          <w:szCs w:val="22"/>
        </w:rPr>
        <w:t xml:space="preserve">as described in this </w:t>
      </w:r>
      <w:r w:rsidRPr="00496A8B">
        <w:rPr>
          <w:rFonts w:ascii="Times New Roman" w:hAnsi="Times New Roman" w:cs="Times New Roman"/>
          <w:i/>
          <w:sz w:val="22"/>
          <w:szCs w:val="22"/>
        </w:rPr>
        <w:t>Faculty Handbook</w:t>
      </w:r>
      <w:r w:rsidRPr="00496A8B">
        <w:rPr>
          <w:rFonts w:ascii="Times New Roman" w:hAnsi="Times New Roman" w:cs="Times New Roman"/>
          <w:sz w:val="22"/>
          <w:szCs w:val="22"/>
        </w:rPr>
        <w:t xml:space="preserve"> with each faculty member to evaluate his or her performance and to discuss his or her future development. </w:t>
      </w:r>
    </w:p>
    <w:p w14:paraId="430AC5DB" w14:textId="77777777" w:rsidR="0083124E" w:rsidRPr="00496A8B" w:rsidRDefault="0083124E" w:rsidP="00496A8B">
      <w:pPr>
        <w:ind w:left="720"/>
        <w:rPr>
          <w:rFonts w:ascii="Times New Roman" w:hAnsi="Times New Roman" w:cs="Times New Roman"/>
          <w:sz w:val="22"/>
          <w:szCs w:val="22"/>
        </w:rPr>
      </w:pPr>
    </w:p>
    <w:p w14:paraId="0F554671" w14:textId="77777777"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For the review, the faculty member will provide a current vita and any supporting material the head/chair or unit head or the faculty member deems appropriate.</w:t>
      </w:r>
    </w:p>
    <w:p w14:paraId="557C1565" w14:textId="77777777" w:rsidR="0083124E" w:rsidRPr="00496A8B" w:rsidRDefault="0083124E" w:rsidP="00496A8B">
      <w:pPr>
        <w:ind w:left="720"/>
        <w:rPr>
          <w:rFonts w:ascii="Times New Roman" w:hAnsi="Times New Roman" w:cs="Times New Roman"/>
          <w:sz w:val="22"/>
          <w:szCs w:val="22"/>
        </w:rPr>
      </w:pPr>
    </w:p>
    <w:p w14:paraId="144DB450" w14:textId="5A74FC6C"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 xml:space="preserve">The head/chair or unit head shall prepare a written report covering the major points of the conference. A copy of the report shall be provided to the faculty member within a </w:t>
      </w:r>
      <w:r w:rsidR="00230B48" w:rsidRPr="00496A8B">
        <w:rPr>
          <w:rFonts w:ascii="Times New Roman" w:hAnsi="Times New Roman" w:cs="Times New Roman"/>
          <w:sz w:val="22"/>
          <w:szCs w:val="22"/>
        </w:rPr>
        <w:t xml:space="preserve">week </w:t>
      </w:r>
      <w:r w:rsidRPr="00496A8B">
        <w:rPr>
          <w:rFonts w:ascii="Times New Roman" w:hAnsi="Times New Roman" w:cs="Times New Roman"/>
          <w:sz w:val="22"/>
          <w:szCs w:val="22"/>
        </w:rPr>
        <w:t>of the conference. The faculty member shall be asked to sign it as confirmation of having seen it. If the faculty member does not agree with material in the report, he or she may write a response to be appended to the report. One copy of the signed report and response, if there is one, is to be retained for the faculty member’s departmental personnel file and copied to the Office of the Provost; another copy is to be given to the faculty member. This report is to remain confidential</w:t>
      </w:r>
      <w:r w:rsidR="00230B48" w:rsidRPr="00496A8B">
        <w:rPr>
          <w:rFonts w:ascii="Times New Roman" w:hAnsi="Times New Roman" w:cs="Times New Roman"/>
          <w:sz w:val="22"/>
          <w:szCs w:val="22"/>
        </w:rPr>
        <w:t xml:space="preserve"> </w:t>
      </w:r>
      <w:r w:rsidR="00B52D4F" w:rsidRPr="00496A8B">
        <w:rPr>
          <w:rFonts w:ascii="Times New Roman" w:hAnsi="Times New Roman" w:cs="Times New Roman"/>
          <w:sz w:val="22"/>
          <w:szCs w:val="22"/>
        </w:rPr>
        <w:t xml:space="preserve">to the extent permitted by law, </w:t>
      </w:r>
      <w:r w:rsidRPr="00496A8B">
        <w:rPr>
          <w:rFonts w:ascii="Times New Roman" w:hAnsi="Times New Roman" w:cs="Times New Roman"/>
          <w:sz w:val="22"/>
          <w:szCs w:val="22"/>
        </w:rPr>
        <w:t>available only for the use of the concerned faculty member and appropriate University officials.</w:t>
      </w:r>
    </w:p>
    <w:p w14:paraId="040B14C4" w14:textId="77777777" w:rsidR="000C5E88" w:rsidRPr="00496A8B" w:rsidRDefault="000C5E88" w:rsidP="000C5E88">
      <w:pPr>
        <w:rPr>
          <w:rFonts w:ascii="Times New Roman" w:hAnsi="Times New Roman" w:cs="Times New Roman"/>
          <w:sz w:val="22"/>
          <w:szCs w:val="22"/>
        </w:rPr>
      </w:pPr>
    </w:p>
    <w:p w14:paraId="3828636B" w14:textId="77777777" w:rsidR="0083124E" w:rsidRPr="00496A8B" w:rsidRDefault="0083124E" w:rsidP="000C5E88">
      <w:pPr>
        <w:rPr>
          <w:rFonts w:ascii="Times New Roman" w:hAnsi="Times New Roman" w:cs="Times New Roman"/>
          <w:sz w:val="22"/>
          <w:szCs w:val="22"/>
        </w:rPr>
      </w:pPr>
    </w:p>
    <w:p w14:paraId="007ACCE7" w14:textId="3066D712" w:rsidR="0083124E" w:rsidRPr="00496A8B" w:rsidRDefault="000C5E88" w:rsidP="00496A8B">
      <w:pPr>
        <w:pStyle w:val="ListParagraph"/>
        <w:numPr>
          <w:ilvl w:val="0"/>
          <w:numId w:val="8"/>
        </w:numPr>
        <w:rPr>
          <w:rFonts w:ascii="Times New Roman" w:hAnsi="Times New Roman" w:cs="Times New Roman"/>
          <w:sz w:val="22"/>
          <w:szCs w:val="22"/>
        </w:rPr>
      </w:pPr>
      <w:r w:rsidRPr="00496A8B">
        <w:rPr>
          <w:rFonts w:ascii="Times New Roman" w:hAnsi="Times New Roman" w:cs="Times New Roman"/>
          <w:b/>
          <w:sz w:val="22"/>
          <w:szCs w:val="22"/>
        </w:rPr>
        <w:t>Terms and Continuation of Appointment:</w:t>
      </w:r>
      <w:r w:rsidR="0083124E" w:rsidRPr="00496A8B">
        <w:rPr>
          <w:rFonts w:ascii="Times New Roman" w:hAnsi="Times New Roman" w:cs="Times New Roman"/>
          <w:sz w:val="22"/>
          <w:szCs w:val="22"/>
        </w:rPr>
        <w:t xml:space="preserve"> Professors of Practice will be appointed with </w:t>
      </w:r>
      <w:r w:rsidR="00285951" w:rsidRPr="00496A8B">
        <w:rPr>
          <w:rFonts w:ascii="Times New Roman" w:hAnsi="Times New Roman" w:cs="Times New Roman"/>
          <w:sz w:val="22"/>
          <w:szCs w:val="22"/>
        </w:rPr>
        <w:t xml:space="preserve">annual </w:t>
      </w:r>
      <w:r w:rsidR="0083124E" w:rsidRPr="00496A8B">
        <w:rPr>
          <w:rFonts w:ascii="Times New Roman" w:hAnsi="Times New Roman" w:cs="Times New Roman"/>
          <w:sz w:val="22"/>
          <w:szCs w:val="22"/>
        </w:rPr>
        <w:t xml:space="preserve">written contracts. The following principles outline the policy on continuation of the contract </w:t>
      </w:r>
      <w:r w:rsidR="00FC250C" w:rsidRPr="00496A8B">
        <w:rPr>
          <w:rFonts w:ascii="Times New Roman" w:hAnsi="Times New Roman" w:cs="Times New Roman"/>
          <w:sz w:val="22"/>
          <w:szCs w:val="22"/>
        </w:rPr>
        <w:t>for Professor</w:t>
      </w:r>
      <w:r w:rsidR="00285951" w:rsidRPr="00496A8B">
        <w:rPr>
          <w:rFonts w:ascii="Times New Roman" w:hAnsi="Times New Roman" w:cs="Times New Roman"/>
          <w:sz w:val="22"/>
          <w:szCs w:val="22"/>
        </w:rPr>
        <w:t xml:space="preserve"> of Practice </w:t>
      </w:r>
      <w:r w:rsidR="0083124E" w:rsidRPr="00496A8B">
        <w:rPr>
          <w:rFonts w:ascii="Times New Roman" w:hAnsi="Times New Roman" w:cs="Times New Roman"/>
          <w:sz w:val="22"/>
          <w:szCs w:val="22"/>
        </w:rPr>
        <w:t>faculty members:</w:t>
      </w:r>
    </w:p>
    <w:p w14:paraId="021362E8" w14:textId="77777777" w:rsidR="0083124E" w:rsidRPr="00496A8B" w:rsidRDefault="0083124E" w:rsidP="0083124E">
      <w:pPr>
        <w:rPr>
          <w:rFonts w:ascii="Times New Roman" w:hAnsi="Times New Roman" w:cs="Times New Roman"/>
          <w:sz w:val="22"/>
          <w:szCs w:val="22"/>
        </w:rPr>
      </w:pPr>
    </w:p>
    <w:p w14:paraId="3CC61F78" w14:textId="77777777"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 xml:space="preserve">Professor of Practice positions are normally two semester contracts that may be renewed annually or, if for a lesser period of time, the period of funding from the contract, grant, or other designated funds. </w:t>
      </w:r>
    </w:p>
    <w:p w14:paraId="17B224FC" w14:textId="77777777" w:rsidR="0083124E" w:rsidRPr="00496A8B" w:rsidRDefault="0083124E" w:rsidP="00496A8B">
      <w:pPr>
        <w:ind w:left="720"/>
        <w:rPr>
          <w:rFonts w:ascii="Times New Roman" w:hAnsi="Times New Roman" w:cs="Times New Roman"/>
          <w:sz w:val="22"/>
          <w:szCs w:val="22"/>
        </w:rPr>
      </w:pPr>
    </w:p>
    <w:p w14:paraId="28418F5F" w14:textId="116B2F4C"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lastRenderedPageBreak/>
        <w:t xml:space="preserve">Renewal is contingent upon </w:t>
      </w:r>
      <w:r w:rsidR="00285951" w:rsidRPr="00496A8B">
        <w:rPr>
          <w:rFonts w:ascii="Times New Roman" w:hAnsi="Times New Roman" w:cs="Times New Roman"/>
          <w:sz w:val="22"/>
          <w:szCs w:val="22"/>
        </w:rPr>
        <w:t xml:space="preserve">need for services, </w:t>
      </w:r>
      <w:r w:rsidR="00461CFD" w:rsidRPr="00496A8B">
        <w:rPr>
          <w:rFonts w:ascii="Times New Roman" w:hAnsi="Times New Roman" w:cs="Times New Roman"/>
          <w:sz w:val="22"/>
          <w:szCs w:val="22"/>
        </w:rPr>
        <w:t>the availability of funding a</w:t>
      </w:r>
      <w:r w:rsidRPr="00496A8B">
        <w:rPr>
          <w:rFonts w:ascii="Times New Roman" w:hAnsi="Times New Roman" w:cs="Times New Roman"/>
          <w:sz w:val="22"/>
          <w:szCs w:val="22"/>
        </w:rPr>
        <w:t xml:space="preserve">nd </w:t>
      </w:r>
      <w:r w:rsidR="00285951" w:rsidRPr="00496A8B">
        <w:rPr>
          <w:rFonts w:ascii="Times New Roman" w:hAnsi="Times New Roman" w:cs="Times New Roman"/>
          <w:sz w:val="22"/>
          <w:szCs w:val="22"/>
        </w:rPr>
        <w:t xml:space="preserve">satisfactory </w:t>
      </w:r>
      <w:r w:rsidRPr="00496A8B">
        <w:rPr>
          <w:rFonts w:ascii="Times New Roman" w:hAnsi="Times New Roman" w:cs="Times New Roman"/>
          <w:sz w:val="22"/>
          <w:szCs w:val="22"/>
        </w:rPr>
        <w:t xml:space="preserve">performance. </w:t>
      </w:r>
    </w:p>
    <w:p w14:paraId="7625EF59" w14:textId="77777777" w:rsidR="0083124E" w:rsidRPr="00496A8B" w:rsidRDefault="0083124E" w:rsidP="00496A8B">
      <w:pPr>
        <w:ind w:left="720"/>
        <w:rPr>
          <w:rFonts w:ascii="Times New Roman" w:hAnsi="Times New Roman" w:cs="Times New Roman"/>
          <w:sz w:val="22"/>
          <w:szCs w:val="22"/>
        </w:rPr>
      </w:pPr>
    </w:p>
    <w:p w14:paraId="285C203F" w14:textId="51C2D492"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All department heads/chairs and unit heads shall conduct at least one annual review</w:t>
      </w:r>
      <w:r w:rsidR="00B52D4F" w:rsidRPr="00496A8B">
        <w:rPr>
          <w:rFonts w:ascii="Times New Roman" w:hAnsi="Times New Roman" w:cs="Times New Roman"/>
          <w:sz w:val="22"/>
          <w:szCs w:val="22"/>
        </w:rPr>
        <w:t xml:space="preserve"> </w:t>
      </w:r>
      <w:r w:rsidR="00B52D4F" w:rsidRPr="002916C0">
        <w:rPr>
          <w:rFonts w:ascii="Times New Roman" w:hAnsi="Times New Roman" w:cs="Times New Roman"/>
          <w:sz w:val="22"/>
          <w:szCs w:val="22"/>
        </w:rPr>
        <w:t xml:space="preserve">before April </w:t>
      </w:r>
      <w:r w:rsidR="001679D9" w:rsidRPr="002916C0">
        <w:rPr>
          <w:rFonts w:ascii="Times New Roman" w:hAnsi="Times New Roman" w:cs="Times New Roman"/>
          <w:sz w:val="22"/>
          <w:szCs w:val="22"/>
        </w:rPr>
        <w:t>30</w:t>
      </w:r>
      <w:r w:rsidR="00B52D4F" w:rsidRPr="002916C0">
        <w:rPr>
          <w:rFonts w:ascii="Times New Roman" w:hAnsi="Times New Roman" w:cs="Times New Roman"/>
          <w:sz w:val="22"/>
          <w:szCs w:val="22"/>
          <w:vertAlign w:val="superscript"/>
        </w:rPr>
        <w:t>th</w:t>
      </w:r>
      <w:r w:rsidRPr="00496A8B">
        <w:rPr>
          <w:rFonts w:ascii="Times New Roman" w:hAnsi="Times New Roman" w:cs="Times New Roman"/>
          <w:sz w:val="22"/>
          <w:szCs w:val="22"/>
        </w:rPr>
        <w:t xml:space="preserve"> with each faculty member to evaluate his or her performance and to discuss his or her future development. </w:t>
      </w:r>
    </w:p>
    <w:p w14:paraId="714DCE8D" w14:textId="77777777" w:rsidR="0083124E" w:rsidRPr="00496A8B" w:rsidRDefault="0083124E" w:rsidP="00496A8B">
      <w:pPr>
        <w:ind w:left="720"/>
        <w:rPr>
          <w:rFonts w:ascii="Times New Roman" w:hAnsi="Times New Roman" w:cs="Times New Roman"/>
          <w:sz w:val="22"/>
          <w:szCs w:val="22"/>
        </w:rPr>
      </w:pPr>
    </w:p>
    <w:p w14:paraId="50F9E3DE" w14:textId="77777777" w:rsidR="0083124E"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In order to review the faculty member fairly, the head/chair</w:t>
      </w:r>
      <w:r w:rsidR="00285951" w:rsidRPr="00496A8B">
        <w:rPr>
          <w:rFonts w:ascii="Times New Roman" w:hAnsi="Times New Roman" w:cs="Times New Roman"/>
          <w:sz w:val="22"/>
          <w:szCs w:val="22"/>
        </w:rPr>
        <w:t xml:space="preserve"> or unit head</w:t>
      </w:r>
      <w:r w:rsidRPr="00496A8B">
        <w:rPr>
          <w:rFonts w:ascii="Times New Roman" w:hAnsi="Times New Roman" w:cs="Times New Roman"/>
          <w:sz w:val="22"/>
          <w:szCs w:val="22"/>
        </w:rPr>
        <w:t xml:space="preserve"> shall request a current vita and any supporting material the head/chair</w:t>
      </w:r>
      <w:r w:rsidR="00285951" w:rsidRPr="00496A8B">
        <w:rPr>
          <w:rFonts w:ascii="Times New Roman" w:hAnsi="Times New Roman" w:cs="Times New Roman"/>
          <w:sz w:val="22"/>
          <w:szCs w:val="22"/>
        </w:rPr>
        <w:t xml:space="preserve"> or unit head</w:t>
      </w:r>
      <w:r w:rsidRPr="00496A8B">
        <w:rPr>
          <w:rFonts w:ascii="Times New Roman" w:hAnsi="Times New Roman" w:cs="Times New Roman"/>
          <w:sz w:val="22"/>
          <w:szCs w:val="22"/>
        </w:rPr>
        <w:t xml:space="preserve"> of the faculty member deems appropriate prior to the review. </w:t>
      </w:r>
      <w:r w:rsidRPr="002916C0">
        <w:rPr>
          <w:rFonts w:ascii="Times New Roman" w:hAnsi="Times New Roman" w:cs="Times New Roman"/>
          <w:sz w:val="22"/>
          <w:szCs w:val="22"/>
        </w:rPr>
        <w:t>More frequent reviews may be conducted at the discretion of the faculty member or the department head/chair.</w:t>
      </w:r>
    </w:p>
    <w:p w14:paraId="1DA7A42D" w14:textId="77777777" w:rsidR="00CE15BC" w:rsidRPr="00496A8B" w:rsidRDefault="00CE15BC" w:rsidP="00496A8B">
      <w:pPr>
        <w:ind w:left="720"/>
        <w:rPr>
          <w:rFonts w:ascii="Times New Roman" w:hAnsi="Times New Roman" w:cs="Times New Roman"/>
          <w:sz w:val="22"/>
          <w:szCs w:val="22"/>
        </w:rPr>
      </w:pPr>
    </w:p>
    <w:p w14:paraId="435214BC" w14:textId="5A871B55" w:rsidR="00CE15BC"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 xml:space="preserve">The initial letter of appointment should clearly define the length of the appointment, benefits, and duties/responsibilities. The offer letter should make clear that continuation of appointment is subject to the availability of funds, the need for services, and satisfactory performance. </w:t>
      </w:r>
    </w:p>
    <w:p w14:paraId="0C307349" w14:textId="3C3A8E6A" w:rsidR="00D17B4D" w:rsidRDefault="00D17B4D" w:rsidP="00496A8B">
      <w:pPr>
        <w:ind w:left="720"/>
        <w:rPr>
          <w:rFonts w:ascii="Times New Roman" w:hAnsi="Times New Roman" w:cs="Times New Roman"/>
          <w:sz w:val="22"/>
          <w:szCs w:val="22"/>
        </w:rPr>
      </w:pPr>
    </w:p>
    <w:p w14:paraId="2D76532C" w14:textId="4AA6399B" w:rsidR="00D17B4D" w:rsidRDefault="00435866" w:rsidP="00496A8B">
      <w:pPr>
        <w:ind w:left="720"/>
        <w:rPr>
          <w:rFonts w:ascii="Times New Roman" w:hAnsi="Times New Roman" w:cs="Times New Roman"/>
          <w:sz w:val="22"/>
          <w:szCs w:val="22"/>
        </w:rPr>
      </w:pPr>
      <w:r>
        <w:rPr>
          <w:rFonts w:ascii="Times New Roman" w:hAnsi="Times New Roman" w:cs="Times New Roman"/>
          <w:sz w:val="22"/>
          <w:szCs w:val="22"/>
        </w:rPr>
        <w:t xml:space="preserve">In addition to annual review by </w:t>
      </w:r>
      <w:r w:rsidR="0031384A">
        <w:rPr>
          <w:rFonts w:ascii="Times New Roman" w:hAnsi="Times New Roman" w:cs="Times New Roman"/>
          <w:sz w:val="22"/>
          <w:szCs w:val="22"/>
        </w:rPr>
        <w:t xml:space="preserve">the </w:t>
      </w:r>
      <w:r>
        <w:rPr>
          <w:rFonts w:ascii="Times New Roman" w:hAnsi="Times New Roman" w:cs="Times New Roman"/>
          <w:sz w:val="22"/>
          <w:szCs w:val="22"/>
        </w:rPr>
        <w:t>department</w:t>
      </w:r>
      <w:r w:rsidR="00502FA3">
        <w:rPr>
          <w:rFonts w:ascii="Times New Roman" w:hAnsi="Times New Roman" w:cs="Times New Roman"/>
          <w:sz w:val="22"/>
          <w:szCs w:val="22"/>
        </w:rPr>
        <w:t xml:space="preserve"> or unit</w:t>
      </w:r>
      <w:r>
        <w:rPr>
          <w:rFonts w:ascii="Times New Roman" w:hAnsi="Times New Roman" w:cs="Times New Roman"/>
          <w:sz w:val="22"/>
          <w:szCs w:val="22"/>
        </w:rPr>
        <w:t xml:space="preserve"> head/chair, </w:t>
      </w:r>
      <w:r w:rsidR="0031384A">
        <w:rPr>
          <w:rFonts w:ascii="Times New Roman" w:hAnsi="Times New Roman" w:cs="Times New Roman"/>
          <w:sz w:val="22"/>
          <w:szCs w:val="22"/>
        </w:rPr>
        <w:t>u</w:t>
      </w:r>
      <w:r w:rsidR="00D17B4D" w:rsidRPr="00D17B4D">
        <w:rPr>
          <w:rFonts w:ascii="Times New Roman" w:hAnsi="Times New Roman" w:cs="Times New Roman"/>
          <w:sz w:val="22"/>
          <w:szCs w:val="22"/>
        </w:rPr>
        <w:t xml:space="preserve">nit faculty </w:t>
      </w:r>
      <w:r w:rsidR="0031384A">
        <w:rPr>
          <w:rFonts w:ascii="Times New Roman" w:hAnsi="Times New Roman" w:cs="Times New Roman"/>
          <w:sz w:val="22"/>
          <w:szCs w:val="22"/>
        </w:rPr>
        <w:t>will also</w:t>
      </w:r>
      <w:r w:rsidR="00D17B4D" w:rsidRPr="00D17B4D">
        <w:rPr>
          <w:rFonts w:ascii="Times New Roman" w:hAnsi="Times New Roman" w:cs="Times New Roman"/>
          <w:sz w:val="22"/>
          <w:szCs w:val="22"/>
        </w:rPr>
        <w:t xml:space="preserve"> </w:t>
      </w:r>
      <w:r w:rsidR="0031384A" w:rsidRPr="00D17B4D">
        <w:rPr>
          <w:rFonts w:ascii="Times New Roman" w:hAnsi="Times New Roman" w:cs="Times New Roman"/>
          <w:sz w:val="22"/>
          <w:szCs w:val="22"/>
        </w:rPr>
        <w:t xml:space="preserve">periodically </w:t>
      </w:r>
      <w:r w:rsidR="00D17B4D" w:rsidRPr="00D17B4D">
        <w:rPr>
          <w:rFonts w:ascii="Times New Roman" w:hAnsi="Times New Roman" w:cs="Times New Roman"/>
          <w:sz w:val="22"/>
          <w:szCs w:val="22"/>
        </w:rPr>
        <w:t>review the Professor of Practice holders (e.g. after the first appointment is concluded and then every 2 to 3 years thereafter).</w:t>
      </w:r>
    </w:p>
    <w:p w14:paraId="3EF24797" w14:textId="77777777" w:rsidR="00CE15BC" w:rsidRPr="00496A8B" w:rsidRDefault="00CE15BC" w:rsidP="00496A8B">
      <w:pPr>
        <w:ind w:left="720"/>
        <w:rPr>
          <w:rFonts w:ascii="Times New Roman" w:hAnsi="Times New Roman" w:cs="Times New Roman"/>
          <w:sz w:val="22"/>
          <w:szCs w:val="22"/>
        </w:rPr>
      </w:pPr>
    </w:p>
    <w:p w14:paraId="6FB136C8" w14:textId="77777777" w:rsidR="000C5E88" w:rsidRPr="00496A8B" w:rsidRDefault="0083124E" w:rsidP="00496A8B">
      <w:pPr>
        <w:ind w:left="720"/>
        <w:rPr>
          <w:rFonts w:ascii="Times New Roman" w:hAnsi="Times New Roman" w:cs="Times New Roman"/>
          <w:sz w:val="22"/>
          <w:szCs w:val="22"/>
        </w:rPr>
      </w:pPr>
      <w:r w:rsidRPr="00496A8B">
        <w:rPr>
          <w:rFonts w:ascii="Times New Roman" w:hAnsi="Times New Roman" w:cs="Times New Roman"/>
          <w:sz w:val="22"/>
          <w:szCs w:val="22"/>
        </w:rPr>
        <w:t xml:space="preserve">Letters containing </w:t>
      </w:r>
      <w:r w:rsidR="001F7918" w:rsidRPr="00496A8B">
        <w:rPr>
          <w:rFonts w:ascii="Times New Roman" w:hAnsi="Times New Roman" w:cs="Times New Roman"/>
          <w:sz w:val="22"/>
          <w:szCs w:val="22"/>
        </w:rPr>
        <w:t xml:space="preserve">commitments </w:t>
      </w:r>
      <w:r w:rsidRPr="00496A8B">
        <w:rPr>
          <w:rFonts w:ascii="Times New Roman" w:hAnsi="Times New Roman" w:cs="Times New Roman"/>
          <w:sz w:val="22"/>
          <w:szCs w:val="22"/>
        </w:rPr>
        <w:t>not consistent with these procedures are not enforceable unless authorized in writing by the president of Auburn University.</w:t>
      </w:r>
    </w:p>
    <w:p w14:paraId="7C8F8912" w14:textId="77777777" w:rsidR="0083124E" w:rsidRPr="00496A8B" w:rsidRDefault="0083124E" w:rsidP="000C5E88">
      <w:pPr>
        <w:rPr>
          <w:rFonts w:ascii="Times New Roman" w:hAnsi="Times New Roman" w:cs="Times New Roman"/>
          <w:sz w:val="22"/>
          <w:szCs w:val="22"/>
        </w:rPr>
      </w:pPr>
    </w:p>
    <w:p w14:paraId="298A5F77" w14:textId="6831C759" w:rsidR="000C5E88" w:rsidRPr="00496A8B" w:rsidRDefault="000C5E88" w:rsidP="00496A8B">
      <w:pPr>
        <w:pStyle w:val="ListParagraph"/>
        <w:numPr>
          <w:ilvl w:val="0"/>
          <w:numId w:val="9"/>
        </w:numPr>
        <w:rPr>
          <w:rFonts w:ascii="Times New Roman" w:hAnsi="Times New Roman" w:cs="Times New Roman"/>
          <w:sz w:val="22"/>
          <w:szCs w:val="22"/>
        </w:rPr>
      </w:pPr>
      <w:r w:rsidRPr="00496A8B">
        <w:rPr>
          <w:rFonts w:ascii="Times New Roman" w:hAnsi="Times New Roman" w:cs="Times New Roman"/>
          <w:b/>
          <w:sz w:val="22"/>
          <w:szCs w:val="22"/>
        </w:rPr>
        <w:t xml:space="preserve">Dismissal: </w:t>
      </w:r>
      <w:r w:rsidRPr="00496A8B">
        <w:rPr>
          <w:rFonts w:ascii="Times New Roman" w:hAnsi="Times New Roman" w:cs="Times New Roman"/>
          <w:sz w:val="22"/>
          <w:szCs w:val="22"/>
        </w:rPr>
        <w:t xml:space="preserve">Termination of Professor </w:t>
      </w:r>
      <w:r w:rsidR="0083124E" w:rsidRPr="00496A8B">
        <w:rPr>
          <w:rFonts w:ascii="Times New Roman" w:hAnsi="Times New Roman" w:cs="Times New Roman"/>
          <w:sz w:val="22"/>
          <w:szCs w:val="22"/>
        </w:rPr>
        <w:t>of Practice</w:t>
      </w:r>
      <w:r w:rsidRPr="00496A8B">
        <w:rPr>
          <w:rFonts w:ascii="Times New Roman" w:hAnsi="Times New Roman" w:cs="Times New Roman"/>
          <w:sz w:val="22"/>
          <w:szCs w:val="22"/>
        </w:rPr>
        <w:t xml:space="preserve"> during the contract term shall be effected by the University only for lack of funding or adequate cause. If termination during the contract term is for reasons other than lack of funding, then Chapter 3, Section 9.2 of this </w:t>
      </w:r>
      <w:r w:rsidRPr="00496A8B">
        <w:rPr>
          <w:rFonts w:ascii="Times New Roman" w:hAnsi="Times New Roman" w:cs="Times New Roman"/>
          <w:i/>
          <w:sz w:val="22"/>
          <w:szCs w:val="22"/>
        </w:rPr>
        <w:t>Faculty Handbook</w:t>
      </w:r>
      <w:r w:rsidRPr="00496A8B">
        <w:rPr>
          <w:rFonts w:ascii="Times New Roman" w:hAnsi="Times New Roman" w:cs="Times New Roman"/>
          <w:sz w:val="22"/>
          <w:szCs w:val="22"/>
        </w:rPr>
        <w:t xml:space="preserve"> provides that “Rights of due process shall also apply to a nontenured faculty member dismissed before completion of his or her contractual term.” Dismissal shall not be used to restrain faculty members in their exercise of academic freedom or other rights of American citizens.</w:t>
      </w:r>
    </w:p>
    <w:p w14:paraId="3C7D2FAC" w14:textId="77777777" w:rsidR="000C5E88" w:rsidRPr="00496A8B" w:rsidRDefault="000C5E88" w:rsidP="000C5E88">
      <w:pPr>
        <w:rPr>
          <w:rFonts w:ascii="Times New Roman" w:hAnsi="Times New Roman" w:cs="Times New Roman"/>
          <w:sz w:val="22"/>
          <w:szCs w:val="22"/>
        </w:rPr>
      </w:pPr>
    </w:p>
    <w:p w14:paraId="299AB25A" w14:textId="63462426" w:rsidR="000C5E88" w:rsidRPr="00496A8B" w:rsidRDefault="000C5E88" w:rsidP="00496A8B">
      <w:pPr>
        <w:pStyle w:val="ListParagraph"/>
        <w:numPr>
          <w:ilvl w:val="0"/>
          <w:numId w:val="10"/>
        </w:numPr>
        <w:rPr>
          <w:rFonts w:ascii="Times New Roman" w:hAnsi="Times New Roman" w:cs="Times New Roman"/>
          <w:sz w:val="22"/>
          <w:szCs w:val="22"/>
        </w:rPr>
      </w:pPr>
      <w:r w:rsidRPr="00496A8B">
        <w:rPr>
          <w:rFonts w:ascii="Times New Roman" w:hAnsi="Times New Roman" w:cs="Times New Roman"/>
          <w:b/>
          <w:sz w:val="22"/>
          <w:szCs w:val="22"/>
        </w:rPr>
        <w:t>Noncontinuation of Appointment:</w:t>
      </w:r>
      <w:r w:rsidRPr="00496A8B">
        <w:rPr>
          <w:rFonts w:ascii="Times New Roman" w:hAnsi="Times New Roman" w:cs="Times New Roman"/>
          <w:sz w:val="22"/>
          <w:szCs w:val="22"/>
        </w:rPr>
        <w:t xml:space="preserve"> The standard contractual period for Professor of Practice faculty </w:t>
      </w:r>
      <w:r w:rsidR="0083124E" w:rsidRPr="00496A8B">
        <w:rPr>
          <w:rFonts w:ascii="Times New Roman" w:hAnsi="Times New Roman" w:cs="Times New Roman"/>
          <w:sz w:val="22"/>
          <w:szCs w:val="22"/>
        </w:rPr>
        <w:t xml:space="preserve">is two semesters </w:t>
      </w:r>
      <w:r w:rsidRPr="00496A8B">
        <w:rPr>
          <w:rFonts w:ascii="Times New Roman" w:hAnsi="Times New Roman" w:cs="Times New Roman"/>
          <w:sz w:val="22"/>
          <w:szCs w:val="22"/>
        </w:rPr>
        <w:t xml:space="preserve">and the university retains the right to continue </w:t>
      </w:r>
      <w:r w:rsidR="0083124E" w:rsidRPr="00496A8B">
        <w:rPr>
          <w:rFonts w:ascii="Times New Roman" w:hAnsi="Times New Roman" w:cs="Times New Roman"/>
          <w:sz w:val="22"/>
          <w:szCs w:val="22"/>
        </w:rPr>
        <w:t xml:space="preserve">or noncontinue </w:t>
      </w:r>
      <w:r w:rsidR="00461CFD" w:rsidRPr="00496A8B">
        <w:rPr>
          <w:rFonts w:ascii="Times New Roman" w:hAnsi="Times New Roman" w:cs="Times New Roman"/>
          <w:sz w:val="22"/>
          <w:szCs w:val="22"/>
        </w:rPr>
        <w:t xml:space="preserve">the appointment of </w:t>
      </w:r>
      <w:r w:rsidR="0083124E" w:rsidRPr="00496A8B">
        <w:rPr>
          <w:rFonts w:ascii="Times New Roman" w:hAnsi="Times New Roman" w:cs="Times New Roman"/>
          <w:sz w:val="22"/>
          <w:szCs w:val="22"/>
        </w:rPr>
        <w:t>a Professor of Practice</w:t>
      </w:r>
      <w:r w:rsidR="00461CFD" w:rsidRPr="00496A8B">
        <w:rPr>
          <w:rFonts w:ascii="Times New Roman" w:hAnsi="Times New Roman" w:cs="Times New Roman"/>
          <w:sz w:val="22"/>
          <w:szCs w:val="22"/>
        </w:rPr>
        <w:t xml:space="preserve"> faculty member</w:t>
      </w:r>
      <w:r w:rsidRPr="00496A8B">
        <w:rPr>
          <w:rFonts w:ascii="Times New Roman" w:hAnsi="Times New Roman" w:cs="Times New Roman"/>
          <w:sz w:val="22"/>
          <w:szCs w:val="22"/>
        </w:rPr>
        <w:t>.</w:t>
      </w:r>
    </w:p>
    <w:p w14:paraId="2EB8EA82" w14:textId="77777777" w:rsidR="000C5E88" w:rsidRPr="00496A8B" w:rsidRDefault="000C5E88" w:rsidP="000C5E88">
      <w:pPr>
        <w:rPr>
          <w:rFonts w:ascii="Times New Roman" w:hAnsi="Times New Roman" w:cs="Times New Roman"/>
          <w:sz w:val="22"/>
          <w:szCs w:val="22"/>
        </w:rPr>
      </w:pPr>
    </w:p>
    <w:p w14:paraId="07093F78" w14:textId="6D9D68C0" w:rsidR="000C5E88" w:rsidRPr="00496A8B" w:rsidRDefault="000C5E88" w:rsidP="00496A8B">
      <w:pPr>
        <w:pStyle w:val="ListParagraph"/>
        <w:numPr>
          <w:ilvl w:val="0"/>
          <w:numId w:val="10"/>
        </w:numPr>
        <w:rPr>
          <w:rFonts w:ascii="Times New Roman" w:hAnsi="Times New Roman" w:cs="Times New Roman"/>
          <w:sz w:val="22"/>
          <w:szCs w:val="22"/>
        </w:rPr>
      </w:pPr>
      <w:r w:rsidRPr="00496A8B">
        <w:rPr>
          <w:rFonts w:ascii="Times New Roman" w:hAnsi="Times New Roman" w:cs="Times New Roman"/>
          <w:b/>
          <w:sz w:val="22"/>
          <w:szCs w:val="22"/>
        </w:rPr>
        <w:t>Conditions of Appointment:</w:t>
      </w:r>
      <w:r w:rsidRPr="00496A8B">
        <w:rPr>
          <w:rFonts w:ascii="Times New Roman" w:hAnsi="Times New Roman" w:cs="Times New Roman"/>
          <w:sz w:val="22"/>
          <w:szCs w:val="22"/>
        </w:rPr>
        <w:t xml:space="preserve"> A faculty member on full</w:t>
      </w:r>
      <w:r w:rsidR="00461CFD" w:rsidRPr="00496A8B">
        <w:rPr>
          <w:rFonts w:ascii="Times New Roman" w:hAnsi="Times New Roman" w:cs="Times New Roman"/>
          <w:sz w:val="22"/>
          <w:szCs w:val="22"/>
        </w:rPr>
        <w:t>-</w:t>
      </w:r>
      <w:r w:rsidRPr="00496A8B">
        <w:rPr>
          <w:rFonts w:ascii="Times New Roman" w:hAnsi="Times New Roman" w:cs="Times New Roman"/>
          <w:sz w:val="22"/>
          <w:szCs w:val="22"/>
        </w:rPr>
        <w:t xml:space="preserve">time appointment as a Professor of Practice is eligible for benefits as provided </w:t>
      </w:r>
      <w:r w:rsidR="00461CFD" w:rsidRPr="00496A8B">
        <w:rPr>
          <w:rFonts w:ascii="Times New Roman" w:hAnsi="Times New Roman" w:cs="Times New Roman"/>
          <w:sz w:val="22"/>
          <w:szCs w:val="22"/>
        </w:rPr>
        <w:t xml:space="preserve">for </w:t>
      </w:r>
      <w:r w:rsidRPr="00496A8B">
        <w:rPr>
          <w:rFonts w:ascii="Times New Roman" w:hAnsi="Times New Roman" w:cs="Times New Roman"/>
          <w:sz w:val="22"/>
          <w:szCs w:val="22"/>
        </w:rPr>
        <w:t xml:space="preserve">in this handbook or </w:t>
      </w:r>
      <w:r w:rsidR="00461CFD" w:rsidRPr="00496A8B">
        <w:rPr>
          <w:rFonts w:ascii="Times New Roman" w:hAnsi="Times New Roman" w:cs="Times New Roman"/>
          <w:sz w:val="22"/>
          <w:szCs w:val="22"/>
        </w:rPr>
        <w:t xml:space="preserve">in </w:t>
      </w:r>
      <w:r w:rsidRPr="00496A8B">
        <w:rPr>
          <w:rFonts w:ascii="Times New Roman" w:hAnsi="Times New Roman" w:cs="Times New Roman"/>
          <w:sz w:val="22"/>
          <w:szCs w:val="22"/>
        </w:rPr>
        <w:t xml:space="preserve">other applicable University policies, </w:t>
      </w:r>
      <w:r w:rsidR="00461CFD" w:rsidRPr="00496A8B">
        <w:rPr>
          <w:rFonts w:ascii="Times New Roman" w:hAnsi="Times New Roman" w:cs="Times New Roman"/>
          <w:sz w:val="22"/>
          <w:szCs w:val="22"/>
        </w:rPr>
        <w:t>with the exception of</w:t>
      </w:r>
      <w:r w:rsidR="00461CFD" w:rsidRPr="00496A8B" w:rsidDel="00461CFD">
        <w:rPr>
          <w:rFonts w:ascii="Times New Roman" w:hAnsi="Times New Roman" w:cs="Times New Roman"/>
          <w:sz w:val="22"/>
          <w:szCs w:val="22"/>
        </w:rPr>
        <w:t xml:space="preserve"> </w:t>
      </w:r>
      <w:r w:rsidRPr="00496A8B">
        <w:rPr>
          <w:rFonts w:ascii="Times New Roman" w:hAnsi="Times New Roman" w:cs="Times New Roman"/>
          <w:sz w:val="22"/>
          <w:szCs w:val="22"/>
        </w:rPr>
        <w:t>tenure, de facto tenure, and professional improvement leave. University contributions toward retirement, social security, annual and sick leave, and insurance benefits shall be covered through the contract, grant, generated income, or other designated funds that provide support for the position.</w:t>
      </w:r>
    </w:p>
    <w:p w14:paraId="08D48197" w14:textId="77777777" w:rsidR="000C5E88" w:rsidRPr="00496A8B" w:rsidRDefault="000C5E88" w:rsidP="000C5E88">
      <w:pPr>
        <w:rPr>
          <w:rFonts w:ascii="Times New Roman" w:hAnsi="Times New Roman" w:cs="Times New Roman"/>
          <w:sz w:val="22"/>
          <w:szCs w:val="22"/>
        </w:rPr>
      </w:pPr>
    </w:p>
    <w:p w14:paraId="5B7C2AA9" w14:textId="0B061AE0" w:rsidR="000C5E88" w:rsidRPr="00496A8B" w:rsidRDefault="000C5E88" w:rsidP="00496A8B">
      <w:pPr>
        <w:pStyle w:val="ListParagraph"/>
        <w:numPr>
          <w:ilvl w:val="0"/>
          <w:numId w:val="10"/>
        </w:numPr>
        <w:rPr>
          <w:rFonts w:ascii="Times New Roman" w:hAnsi="Times New Roman" w:cs="Times New Roman"/>
          <w:sz w:val="22"/>
          <w:szCs w:val="22"/>
        </w:rPr>
      </w:pPr>
      <w:r w:rsidRPr="00496A8B">
        <w:rPr>
          <w:rFonts w:ascii="Times New Roman" w:hAnsi="Times New Roman" w:cs="Times New Roman"/>
          <w:b/>
          <w:sz w:val="22"/>
          <w:szCs w:val="22"/>
        </w:rPr>
        <w:t>University Membership:</w:t>
      </w:r>
      <w:r w:rsidRPr="00496A8B">
        <w:rPr>
          <w:rFonts w:ascii="Times New Roman" w:hAnsi="Times New Roman" w:cs="Times New Roman"/>
          <w:sz w:val="22"/>
          <w:szCs w:val="22"/>
        </w:rPr>
        <w:t xml:space="preserve"> A full-time Professor of Practice may be eligible to vote on faculty matters according to department and/or school/college governance rules; this may include the ability to serve on committees.</w:t>
      </w:r>
      <w:r w:rsidR="008B0C32" w:rsidRPr="00496A8B">
        <w:rPr>
          <w:rFonts w:ascii="Times New Roman" w:hAnsi="Times New Roman" w:cs="Times New Roman"/>
          <w:sz w:val="22"/>
          <w:szCs w:val="22"/>
        </w:rPr>
        <w:t xml:space="preserve"> </w:t>
      </w:r>
      <w:r w:rsidRPr="00496A8B">
        <w:rPr>
          <w:rFonts w:ascii="Times New Roman" w:hAnsi="Times New Roman" w:cs="Times New Roman"/>
          <w:sz w:val="22"/>
          <w:szCs w:val="22"/>
        </w:rPr>
        <w:t xml:space="preserve">If they teach, </w:t>
      </w:r>
      <w:r w:rsidR="00461CFD" w:rsidRPr="00496A8B">
        <w:rPr>
          <w:rFonts w:ascii="Times New Roman" w:hAnsi="Times New Roman" w:cs="Times New Roman"/>
          <w:sz w:val="22"/>
          <w:szCs w:val="22"/>
        </w:rPr>
        <w:t>Professor of Practice faculty members</w:t>
      </w:r>
      <w:r w:rsidR="00461CFD" w:rsidRPr="00496A8B" w:rsidDel="00461CFD">
        <w:rPr>
          <w:rFonts w:ascii="Times New Roman" w:hAnsi="Times New Roman" w:cs="Times New Roman"/>
          <w:sz w:val="22"/>
          <w:szCs w:val="22"/>
        </w:rPr>
        <w:t xml:space="preserve"> </w:t>
      </w:r>
      <w:r w:rsidRPr="00496A8B">
        <w:rPr>
          <w:rFonts w:ascii="Times New Roman" w:hAnsi="Times New Roman" w:cs="Times New Roman"/>
          <w:sz w:val="22"/>
          <w:szCs w:val="22"/>
        </w:rPr>
        <w:t>are encouraged to improve their instructional qualifications and are eligible for departmental/college resources earmarked for such purposes; this may include eligibility for travel and other resources.</w:t>
      </w:r>
    </w:p>
    <w:p w14:paraId="457D8710" w14:textId="77777777" w:rsidR="000C5E88" w:rsidRPr="00496A8B" w:rsidRDefault="000C5E88" w:rsidP="000C5E88">
      <w:pPr>
        <w:rPr>
          <w:rFonts w:ascii="Times New Roman" w:hAnsi="Times New Roman" w:cs="Times New Roman"/>
          <w:sz w:val="22"/>
          <w:szCs w:val="22"/>
        </w:rPr>
      </w:pPr>
    </w:p>
    <w:p w14:paraId="7BB33957" w14:textId="2E97FEA6" w:rsidR="000C5E88" w:rsidRPr="00496A8B" w:rsidRDefault="000C5E88" w:rsidP="00496A8B">
      <w:pPr>
        <w:pStyle w:val="ListParagraph"/>
        <w:numPr>
          <w:ilvl w:val="0"/>
          <w:numId w:val="10"/>
        </w:numPr>
        <w:rPr>
          <w:rFonts w:ascii="Times New Roman" w:hAnsi="Times New Roman" w:cs="Times New Roman"/>
          <w:sz w:val="22"/>
          <w:szCs w:val="22"/>
        </w:rPr>
      </w:pPr>
      <w:r w:rsidRPr="00496A8B">
        <w:rPr>
          <w:rFonts w:ascii="Times New Roman" w:hAnsi="Times New Roman" w:cs="Times New Roman"/>
          <w:b/>
          <w:sz w:val="22"/>
          <w:szCs w:val="22"/>
        </w:rPr>
        <w:t xml:space="preserve">Change from Nontenure-Track to Tenure-Track Faculty: </w:t>
      </w:r>
      <w:r w:rsidRPr="00496A8B">
        <w:rPr>
          <w:rFonts w:ascii="Times New Roman" w:hAnsi="Times New Roman" w:cs="Times New Roman"/>
          <w:sz w:val="22"/>
          <w:szCs w:val="22"/>
        </w:rPr>
        <w:t xml:space="preserve">An appointment of a </w:t>
      </w:r>
      <w:r w:rsidR="00CD3CC6" w:rsidRPr="00496A8B">
        <w:rPr>
          <w:rFonts w:ascii="Times New Roman" w:hAnsi="Times New Roman" w:cs="Times New Roman"/>
          <w:sz w:val="22"/>
          <w:szCs w:val="22"/>
        </w:rPr>
        <w:t xml:space="preserve">Professor of Practice </w:t>
      </w:r>
      <w:r w:rsidRPr="00496A8B">
        <w:rPr>
          <w:rFonts w:ascii="Times New Roman" w:hAnsi="Times New Roman" w:cs="Times New Roman"/>
          <w:sz w:val="22"/>
          <w:szCs w:val="22"/>
        </w:rPr>
        <w:t xml:space="preserve">to tenure-track faculty may only occur through </w:t>
      </w:r>
      <w:r w:rsidR="00461CFD" w:rsidRPr="00496A8B">
        <w:rPr>
          <w:rFonts w:ascii="Times New Roman" w:hAnsi="Times New Roman" w:cs="Times New Roman"/>
          <w:sz w:val="22"/>
          <w:szCs w:val="22"/>
        </w:rPr>
        <w:t>standard, institutionally endorsed hiring procedures for tenure-track positions</w:t>
      </w:r>
      <w:r w:rsidRPr="00496A8B">
        <w:rPr>
          <w:rFonts w:ascii="Times New Roman" w:hAnsi="Times New Roman" w:cs="Times New Roman"/>
          <w:sz w:val="22"/>
          <w:szCs w:val="22"/>
        </w:rPr>
        <w:t xml:space="preserve">. Professor of Practice time will not count </w:t>
      </w:r>
      <w:r w:rsidRPr="00502FA3">
        <w:rPr>
          <w:rFonts w:ascii="Times New Roman" w:hAnsi="Times New Roman" w:cs="Times New Roman"/>
          <w:sz w:val="22"/>
          <w:szCs w:val="22"/>
        </w:rPr>
        <w:t>toward</w:t>
      </w:r>
      <w:r w:rsidR="00502FA3" w:rsidRPr="00502FA3">
        <w:rPr>
          <w:rFonts w:ascii="Times New Roman" w:hAnsi="Times New Roman" w:cs="Times New Roman"/>
          <w:color w:val="000000"/>
          <w:sz w:val="22"/>
          <w:szCs w:val="22"/>
        </w:rPr>
        <w:t xml:space="preserve"> years in rank for tenure and promotion purposes</w:t>
      </w:r>
      <w:r w:rsidRPr="00502FA3">
        <w:rPr>
          <w:rFonts w:ascii="Times New Roman" w:hAnsi="Times New Roman" w:cs="Times New Roman"/>
          <w:sz w:val="22"/>
          <w:szCs w:val="22"/>
        </w:rPr>
        <w:t>.</w:t>
      </w:r>
    </w:p>
    <w:p w14:paraId="25ABB837" w14:textId="77777777" w:rsidR="000C5E88" w:rsidRPr="00496A8B" w:rsidRDefault="000C5E88" w:rsidP="000C5E88">
      <w:pPr>
        <w:rPr>
          <w:rFonts w:ascii="Times New Roman" w:hAnsi="Times New Roman" w:cs="Times New Roman"/>
          <w:sz w:val="22"/>
          <w:szCs w:val="22"/>
        </w:rPr>
      </w:pPr>
    </w:p>
    <w:p w14:paraId="2D1A044F" w14:textId="6FD47BE2" w:rsidR="005F4418" w:rsidRDefault="000C5E88" w:rsidP="006A0A99">
      <w:pPr>
        <w:pStyle w:val="ListParagraph"/>
        <w:numPr>
          <w:ilvl w:val="0"/>
          <w:numId w:val="10"/>
        </w:numPr>
        <w:rPr>
          <w:rFonts w:ascii="Times New Roman" w:hAnsi="Times New Roman" w:cs="Times New Roman"/>
          <w:sz w:val="22"/>
          <w:szCs w:val="22"/>
        </w:rPr>
      </w:pPr>
      <w:r w:rsidRPr="00496A8B">
        <w:rPr>
          <w:rFonts w:ascii="Times New Roman" w:hAnsi="Times New Roman" w:cs="Times New Roman"/>
          <w:b/>
          <w:sz w:val="22"/>
          <w:szCs w:val="22"/>
        </w:rPr>
        <w:t>AAUP Guidelines:</w:t>
      </w:r>
      <w:r w:rsidRPr="00496A8B">
        <w:rPr>
          <w:rFonts w:ascii="Times New Roman" w:hAnsi="Times New Roman" w:cs="Times New Roman"/>
          <w:sz w:val="22"/>
          <w:szCs w:val="22"/>
        </w:rPr>
        <w:t xml:space="preserve"> Auburn endorses AAUP guidelines stating that no more than 15 percent of the total instruction within an institution and no more than 25 percent of the total instruction within any department should be provided by faculty with nontenure-track appointments. In Auburn University’s efforts to adhere to these guidelines, any exceptions to these percentages must be approved in writing by the provost</w:t>
      </w:r>
      <w:r w:rsidR="006A0A99">
        <w:rPr>
          <w:rFonts w:ascii="Times New Roman" w:hAnsi="Times New Roman" w:cs="Times New Roman"/>
          <w:sz w:val="22"/>
          <w:szCs w:val="22"/>
        </w:rPr>
        <w:t>.</w:t>
      </w:r>
    </w:p>
    <w:p w14:paraId="45A17B2C" w14:textId="51722B31" w:rsidR="00C705B4" w:rsidRDefault="00C705B4" w:rsidP="00C705B4">
      <w:pPr>
        <w:rPr>
          <w:rFonts w:ascii="Times New Roman" w:hAnsi="Times New Roman" w:cs="Times New Roman"/>
          <w:sz w:val="22"/>
          <w:szCs w:val="22"/>
        </w:rPr>
      </w:pPr>
    </w:p>
    <w:p w14:paraId="3958C691" w14:textId="2CFDC041" w:rsidR="00C705B4" w:rsidRPr="00C705B4" w:rsidRDefault="00675D5B" w:rsidP="00C705B4">
      <w:pPr>
        <w:rPr>
          <w:rFonts w:ascii="Times New Roman" w:hAnsi="Times New Roman" w:cs="Times New Roman"/>
          <w:sz w:val="22"/>
          <w:szCs w:val="22"/>
        </w:rPr>
      </w:pPr>
      <w:r>
        <w:rPr>
          <w:rFonts w:ascii="Times New Roman" w:hAnsi="Times New Roman" w:cs="Times New Roman"/>
          <w:sz w:val="22"/>
          <w:szCs w:val="22"/>
        </w:rPr>
        <w:t>Approved 4/11/19 by President Leath</w:t>
      </w:r>
    </w:p>
    <w:sectPr w:rsidR="00C705B4" w:rsidRPr="00C705B4" w:rsidSect="00B653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7558A" w14:textId="77777777" w:rsidR="00AA6EEF" w:rsidRDefault="00AA6EEF" w:rsidP="004C6767">
      <w:r>
        <w:separator/>
      </w:r>
    </w:p>
  </w:endnote>
  <w:endnote w:type="continuationSeparator" w:id="0">
    <w:p w14:paraId="6D736876" w14:textId="77777777" w:rsidR="00AA6EEF" w:rsidRDefault="00AA6EEF" w:rsidP="004C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9FB8" w14:textId="77777777" w:rsidR="00D17B4D" w:rsidRDefault="00D17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CCB40" w14:textId="77777777" w:rsidR="00D17B4D" w:rsidRDefault="00D17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DB74" w14:textId="77777777" w:rsidR="00D17B4D" w:rsidRDefault="00D17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E98E" w14:textId="77777777" w:rsidR="00AA6EEF" w:rsidRDefault="00AA6EEF" w:rsidP="004C6767">
      <w:r>
        <w:separator/>
      </w:r>
    </w:p>
  </w:footnote>
  <w:footnote w:type="continuationSeparator" w:id="0">
    <w:p w14:paraId="3807DE53" w14:textId="77777777" w:rsidR="00AA6EEF" w:rsidRDefault="00AA6EEF" w:rsidP="004C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197D" w14:textId="01E237B3" w:rsidR="004C6767" w:rsidRDefault="004C6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42B8" w14:textId="5E7F73B7" w:rsidR="004C6767" w:rsidRDefault="004C6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A948" w14:textId="4D6A4B93" w:rsidR="004C6767" w:rsidRDefault="004C6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F35"/>
    <w:multiLevelType w:val="hybridMultilevel"/>
    <w:tmpl w:val="F7EA6104"/>
    <w:lvl w:ilvl="0" w:tplc="DD5E04D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23C20"/>
    <w:multiLevelType w:val="hybridMultilevel"/>
    <w:tmpl w:val="9168C2B4"/>
    <w:lvl w:ilvl="0" w:tplc="CF78E8D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764AE"/>
    <w:multiLevelType w:val="hybridMultilevel"/>
    <w:tmpl w:val="67C6B06A"/>
    <w:lvl w:ilvl="0" w:tplc="C990587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64975"/>
    <w:multiLevelType w:val="hybridMultilevel"/>
    <w:tmpl w:val="18A6FCDA"/>
    <w:lvl w:ilvl="0" w:tplc="DB421BA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6333F"/>
    <w:multiLevelType w:val="hybridMultilevel"/>
    <w:tmpl w:val="07B4C464"/>
    <w:lvl w:ilvl="0" w:tplc="A5E03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70171"/>
    <w:multiLevelType w:val="hybridMultilevel"/>
    <w:tmpl w:val="D4DE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27DA4"/>
    <w:multiLevelType w:val="hybridMultilevel"/>
    <w:tmpl w:val="EC4E156C"/>
    <w:lvl w:ilvl="0" w:tplc="54E0842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20FB7"/>
    <w:multiLevelType w:val="hybridMultilevel"/>
    <w:tmpl w:val="713C824A"/>
    <w:lvl w:ilvl="0" w:tplc="362A615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34F35"/>
    <w:multiLevelType w:val="hybridMultilevel"/>
    <w:tmpl w:val="BFD83AB4"/>
    <w:lvl w:ilvl="0" w:tplc="CF78E8D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DD7B78"/>
    <w:multiLevelType w:val="hybridMultilevel"/>
    <w:tmpl w:val="DCD45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32AAA"/>
    <w:multiLevelType w:val="hybridMultilevel"/>
    <w:tmpl w:val="E91C7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329CB"/>
    <w:multiLevelType w:val="hybridMultilevel"/>
    <w:tmpl w:val="F342F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F513A"/>
    <w:multiLevelType w:val="hybridMultilevel"/>
    <w:tmpl w:val="A9E0A34C"/>
    <w:lvl w:ilvl="0" w:tplc="A5E03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0C43E4"/>
    <w:multiLevelType w:val="hybridMultilevel"/>
    <w:tmpl w:val="B72826B2"/>
    <w:lvl w:ilvl="0" w:tplc="F7C292B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41002"/>
    <w:multiLevelType w:val="hybridMultilevel"/>
    <w:tmpl w:val="D34A346C"/>
    <w:lvl w:ilvl="0" w:tplc="2836033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1"/>
  </w:num>
  <w:num w:numId="5">
    <w:abstractNumId w:val="14"/>
  </w:num>
  <w:num w:numId="6">
    <w:abstractNumId w:val="0"/>
  </w:num>
  <w:num w:numId="7">
    <w:abstractNumId w:val="7"/>
  </w:num>
  <w:num w:numId="8">
    <w:abstractNumId w:val="13"/>
  </w:num>
  <w:num w:numId="9">
    <w:abstractNumId w:val="6"/>
  </w:num>
  <w:num w:numId="10">
    <w:abstractNumId w:val="3"/>
  </w:num>
  <w:num w:numId="11">
    <w:abstractNumId w:val="11"/>
  </w:num>
  <w:num w:numId="12">
    <w:abstractNumId w:val="5"/>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18"/>
    <w:rsid w:val="00040A52"/>
    <w:rsid w:val="00080E89"/>
    <w:rsid w:val="000C5E88"/>
    <w:rsid w:val="000E0884"/>
    <w:rsid w:val="00121083"/>
    <w:rsid w:val="001379CB"/>
    <w:rsid w:val="00137B19"/>
    <w:rsid w:val="001615B0"/>
    <w:rsid w:val="00166E19"/>
    <w:rsid w:val="001679D9"/>
    <w:rsid w:val="00175762"/>
    <w:rsid w:val="00181F74"/>
    <w:rsid w:val="00196F63"/>
    <w:rsid w:val="001C2C65"/>
    <w:rsid w:val="001C3578"/>
    <w:rsid w:val="001C369A"/>
    <w:rsid w:val="001C4593"/>
    <w:rsid w:val="001E6E45"/>
    <w:rsid w:val="001F7918"/>
    <w:rsid w:val="00230B48"/>
    <w:rsid w:val="00237BE0"/>
    <w:rsid w:val="00254C8F"/>
    <w:rsid w:val="002603CD"/>
    <w:rsid w:val="002626EE"/>
    <w:rsid w:val="00281B3E"/>
    <w:rsid w:val="00285951"/>
    <w:rsid w:val="002916C0"/>
    <w:rsid w:val="00293B04"/>
    <w:rsid w:val="002A67E8"/>
    <w:rsid w:val="002B0E9B"/>
    <w:rsid w:val="002C09B5"/>
    <w:rsid w:val="00307F27"/>
    <w:rsid w:val="0031384A"/>
    <w:rsid w:val="0031397D"/>
    <w:rsid w:val="00341D5E"/>
    <w:rsid w:val="003D3693"/>
    <w:rsid w:val="003D4B9A"/>
    <w:rsid w:val="003F7187"/>
    <w:rsid w:val="00405213"/>
    <w:rsid w:val="00415A02"/>
    <w:rsid w:val="00435866"/>
    <w:rsid w:val="00440248"/>
    <w:rsid w:val="004459DE"/>
    <w:rsid w:val="00461CFD"/>
    <w:rsid w:val="004648B3"/>
    <w:rsid w:val="00496A8B"/>
    <w:rsid w:val="004A404F"/>
    <w:rsid w:val="004C6767"/>
    <w:rsid w:val="004F4046"/>
    <w:rsid w:val="00502FA3"/>
    <w:rsid w:val="0052636F"/>
    <w:rsid w:val="005416FD"/>
    <w:rsid w:val="00550E6C"/>
    <w:rsid w:val="00575F09"/>
    <w:rsid w:val="00576545"/>
    <w:rsid w:val="00597AAE"/>
    <w:rsid w:val="005B14D1"/>
    <w:rsid w:val="005B4245"/>
    <w:rsid w:val="005B70DD"/>
    <w:rsid w:val="005F4418"/>
    <w:rsid w:val="00620BFA"/>
    <w:rsid w:val="0064134B"/>
    <w:rsid w:val="00653647"/>
    <w:rsid w:val="00675D5B"/>
    <w:rsid w:val="006A0A99"/>
    <w:rsid w:val="006B1DBF"/>
    <w:rsid w:val="006D03EB"/>
    <w:rsid w:val="006D0DB4"/>
    <w:rsid w:val="00703B57"/>
    <w:rsid w:val="007212B9"/>
    <w:rsid w:val="00777096"/>
    <w:rsid w:val="00782AB1"/>
    <w:rsid w:val="00784ADD"/>
    <w:rsid w:val="007E1979"/>
    <w:rsid w:val="007E45B4"/>
    <w:rsid w:val="007F06D4"/>
    <w:rsid w:val="008109B0"/>
    <w:rsid w:val="0083124E"/>
    <w:rsid w:val="00860E65"/>
    <w:rsid w:val="0089125D"/>
    <w:rsid w:val="008B0C32"/>
    <w:rsid w:val="008D765D"/>
    <w:rsid w:val="008F19A8"/>
    <w:rsid w:val="009252D6"/>
    <w:rsid w:val="009319DC"/>
    <w:rsid w:val="009552E4"/>
    <w:rsid w:val="0097474B"/>
    <w:rsid w:val="009B3347"/>
    <w:rsid w:val="009B7BE2"/>
    <w:rsid w:val="009E2A66"/>
    <w:rsid w:val="00A206DA"/>
    <w:rsid w:val="00A25A1F"/>
    <w:rsid w:val="00A724AE"/>
    <w:rsid w:val="00A77C6D"/>
    <w:rsid w:val="00A83CE6"/>
    <w:rsid w:val="00AA6673"/>
    <w:rsid w:val="00AA68B9"/>
    <w:rsid w:val="00AA6EEF"/>
    <w:rsid w:val="00AA6F06"/>
    <w:rsid w:val="00B52D4F"/>
    <w:rsid w:val="00B64CB0"/>
    <w:rsid w:val="00B65369"/>
    <w:rsid w:val="00B86CFF"/>
    <w:rsid w:val="00C4441B"/>
    <w:rsid w:val="00C458E5"/>
    <w:rsid w:val="00C5355E"/>
    <w:rsid w:val="00C705B4"/>
    <w:rsid w:val="00C97815"/>
    <w:rsid w:val="00CA7CC4"/>
    <w:rsid w:val="00CB0B99"/>
    <w:rsid w:val="00CB36A0"/>
    <w:rsid w:val="00CD3CC6"/>
    <w:rsid w:val="00CE15BC"/>
    <w:rsid w:val="00CE7366"/>
    <w:rsid w:val="00D17B4D"/>
    <w:rsid w:val="00D354CA"/>
    <w:rsid w:val="00D44FF9"/>
    <w:rsid w:val="00DB00EA"/>
    <w:rsid w:val="00E24C49"/>
    <w:rsid w:val="00E253C4"/>
    <w:rsid w:val="00E41D77"/>
    <w:rsid w:val="00E7400A"/>
    <w:rsid w:val="00EB6B5B"/>
    <w:rsid w:val="00ED296E"/>
    <w:rsid w:val="00EF17E3"/>
    <w:rsid w:val="00FC250C"/>
    <w:rsid w:val="00FD63BF"/>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67"/>
    <w:pPr>
      <w:tabs>
        <w:tab w:val="center" w:pos="4680"/>
        <w:tab w:val="right" w:pos="9360"/>
      </w:tabs>
    </w:pPr>
  </w:style>
  <w:style w:type="character" w:customStyle="1" w:styleId="HeaderChar">
    <w:name w:val="Header Char"/>
    <w:basedOn w:val="DefaultParagraphFont"/>
    <w:link w:val="Header"/>
    <w:uiPriority w:val="99"/>
    <w:rsid w:val="004C6767"/>
  </w:style>
  <w:style w:type="paragraph" w:styleId="Footer">
    <w:name w:val="footer"/>
    <w:basedOn w:val="Normal"/>
    <w:link w:val="FooterChar"/>
    <w:uiPriority w:val="99"/>
    <w:unhideWhenUsed/>
    <w:rsid w:val="004C6767"/>
    <w:pPr>
      <w:tabs>
        <w:tab w:val="center" w:pos="4680"/>
        <w:tab w:val="right" w:pos="9360"/>
      </w:tabs>
    </w:pPr>
  </w:style>
  <w:style w:type="character" w:customStyle="1" w:styleId="FooterChar">
    <w:name w:val="Footer Char"/>
    <w:basedOn w:val="DefaultParagraphFont"/>
    <w:link w:val="Footer"/>
    <w:uiPriority w:val="99"/>
    <w:rsid w:val="004C6767"/>
  </w:style>
  <w:style w:type="paragraph" w:styleId="ListParagraph">
    <w:name w:val="List Paragraph"/>
    <w:basedOn w:val="Normal"/>
    <w:uiPriority w:val="34"/>
    <w:qFormat/>
    <w:rsid w:val="00CD3CC6"/>
    <w:pPr>
      <w:ind w:left="720"/>
      <w:contextualSpacing/>
    </w:pPr>
  </w:style>
  <w:style w:type="paragraph" w:styleId="BalloonText">
    <w:name w:val="Balloon Text"/>
    <w:basedOn w:val="Normal"/>
    <w:link w:val="BalloonTextChar"/>
    <w:uiPriority w:val="99"/>
    <w:semiHidden/>
    <w:unhideWhenUsed/>
    <w:rsid w:val="00CD3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C6"/>
    <w:rPr>
      <w:rFonts w:ascii="Segoe UI" w:hAnsi="Segoe UI" w:cs="Segoe UI"/>
      <w:sz w:val="18"/>
      <w:szCs w:val="18"/>
    </w:rPr>
  </w:style>
  <w:style w:type="paragraph" w:styleId="NormalWeb">
    <w:name w:val="Normal (Web)"/>
    <w:basedOn w:val="Normal"/>
    <w:uiPriority w:val="99"/>
    <w:semiHidden/>
    <w:unhideWhenUsed/>
    <w:rsid w:val="00FF7008"/>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7E45B4"/>
    <w:rPr>
      <w:sz w:val="16"/>
      <w:szCs w:val="16"/>
    </w:rPr>
  </w:style>
  <w:style w:type="paragraph" w:styleId="CommentText">
    <w:name w:val="annotation text"/>
    <w:basedOn w:val="Normal"/>
    <w:link w:val="CommentTextChar"/>
    <w:uiPriority w:val="99"/>
    <w:semiHidden/>
    <w:unhideWhenUsed/>
    <w:rsid w:val="007E45B4"/>
    <w:rPr>
      <w:sz w:val="20"/>
      <w:szCs w:val="20"/>
    </w:rPr>
  </w:style>
  <w:style w:type="character" w:customStyle="1" w:styleId="CommentTextChar">
    <w:name w:val="Comment Text Char"/>
    <w:basedOn w:val="DefaultParagraphFont"/>
    <w:link w:val="CommentText"/>
    <w:uiPriority w:val="99"/>
    <w:semiHidden/>
    <w:rsid w:val="007E45B4"/>
    <w:rPr>
      <w:sz w:val="20"/>
      <w:szCs w:val="20"/>
    </w:rPr>
  </w:style>
  <w:style w:type="paragraph" w:styleId="CommentSubject">
    <w:name w:val="annotation subject"/>
    <w:basedOn w:val="CommentText"/>
    <w:next w:val="CommentText"/>
    <w:link w:val="CommentSubjectChar"/>
    <w:uiPriority w:val="99"/>
    <w:semiHidden/>
    <w:unhideWhenUsed/>
    <w:rsid w:val="007E45B4"/>
    <w:rPr>
      <w:b/>
      <w:bCs/>
    </w:rPr>
  </w:style>
  <w:style w:type="character" w:customStyle="1" w:styleId="CommentSubjectChar">
    <w:name w:val="Comment Subject Char"/>
    <w:basedOn w:val="CommentTextChar"/>
    <w:link w:val="CommentSubject"/>
    <w:uiPriority w:val="99"/>
    <w:semiHidden/>
    <w:rsid w:val="007E45B4"/>
    <w:rPr>
      <w:b/>
      <w:bCs/>
      <w:sz w:val="20"/>
      <w:szCs w:val="20"/>
    </w:rPr>
  </w:style>
  <w:style w:type="character" w:customStyle="1" w:styleId="highlight">
    <w:name w:val="highlight"/>
    <w:basedOn w:val="DefaultParagraphFont"/>
    <w:rsid w:val="00435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67"/>
    <w:pPr>
      <w:tabs>
        <w:tab w:val="center" w:pos="4680"/>
        <w:tab w:val="right" w:pos="9360"/>
      </w:tabs>
    </w:pPr>
  </w:style>
  <w:style w:type="character" w:customStyle="1" w:styleId="HeaderChar">
    <w:name w:val="Header Char"/>
    <w:basedOn w:val="DefaultParagraphFont"/>
    <w:link w:val="Header"/>
    <w:uiPriority w:val="99"/>
    <w:rsid w:val="004C6767"/>
  </w:style>
  <w:style w:type="paragraph" w:styleId="Footer">
    <w:name w:val="footer"/>
    <w:basedOn w:val="Normal"/>
    <w:link w:val="FooterChar"/>
    <w:uiPriority w:val="99"/>
    <w:unhideWhenUsed/>
    <w:rsid w:val="004C6767"/>
    <w:pPr>
      <w:tabs>
        <w:tab w:val="center" w:pos="4680"/>
        <w:tab w:val="right" w:pos="9360"/>
      </w:tabs>
    </w:pPr>
  </w:style>
  <w:style w:type="character" w:customStyle="1" w:styleId="FooterChar">
    <w:name w:val="Footer Char"/>
    <w:basedOn w:val="DefaultParagraphFont"/>
    <w:link w:val="Footer"/>
    <w:uiPriority w:val="99"/>
    <w:rsid w:val="004C6767"/>
  </w:style>
  <w:style w:type="paragraph" w:styleId="ListParagraph">
    <w:name w:val="List Paragraph"/>
    <w:basedOn w:val="Normal"/>
    <w:uiPriority w:val="34"/>
    <w:qFormat/>
    <w:rsid w:val="00CD3CC6"/>
    <w:pPr>
      <w:ind w:left="720"/>
      <w:contextualSpacing/>
    </w:pPr>
  </w:style>
  <w:style w:type="paragraph" w:styleId="BalloonText">
    <w:name w:val="Balloon Text"/>
    <w:basedOn w:val="Normal"/>
    <w:link w:val="BalloonTextChar"/>
    <w:uiPriority w:val="99"/>
    <w:semiHidden/>
    <w:unhideWhenUsed/>
    <w:rsid w:val="00CD3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C6"/>
    <w:rPr>
      <w:rFonts w:ascii="Segoe UI" w:hAnsi="Segoe UI" w:cs="Segoe UI"/>
      <w:sz w:val="18"/>
      <w:szCs w:val="18"/>
    </w:rPr>
  </w:style>
  <w:style w:type="paragraph" w:styleId="NormalWeb">
    <w:name w:val="Normal (Web)"/>
    <w:basedOn w:val="Normal"/>
    <w:uiPriority w:val="99"/>
    <w:semiHidden/>
    <w:unhideWhenUsed/>
    <w:rsid w:val="00FF7008"/>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7E45B4"/>
    <w:rPr>
      <w:sz w:val="16"/>
      <w:szCs w:val="16"/>
    </w:rPr>
  </w:style>
  <w:style w:type="paragraph" w:styleId="CommentText">
    <w:name w:val="annotation text"/>
    <w:basedOn w:val="Normal"/>
    <w:link w:val="CommentTextChar"/>
    <w:uiPriority w:val="99"/>
    <w:semiHidden/>
    <w:unhideWhenUsed/>
    <w:rsid w:val="007E45B4"/>
    <w:rPr>
      <w:sz w:val="20"/>
      <w:szCs w:val="20"/>
    </w:rPr>
  </w:style>
  <w:style w:type="character" w:customStyle="1" w:styleId="CommentTextChar">
    <w:name w:val="Comment Text Char"/>
    <w:basedOn w:val="DefaultParagraphFont"/>
    <w:link w:val="CommentText"/>
    <w:uiPriority w:val="99"/>
    <w:semiHidden/>
    <w:rsid w:val="007E45B4"/>
    <w:rPr>
      <w:sz w:val="20"/>
      <w:szCs w:val="20"/>
    </w:rPr>
  </w:style>
  <w:style w:type="paragraph" w:styleId="CommentSubject">
    <w:name w:val="annotation subject"/>
    <w:basedOn w:val="CommentText"/>
    <w:next w:val="CommentText"/>
    <w:link w:val="CommentSubjectChar"/>
    <w:uiPriority w:val="99"/>
    <w:semiHidden/>
    <w:unhideWhenUsed/>
    <w:rsid w:val="007E45B4"/>
    <w:rPr>
      <w:b/>
      <w:bCs/>
    </w:rPr>
  </w:style>
  <w:style w:type="character" w:customStyle="1" w:styleId="CommentSubjectChar">
    <w:name w:val="Comment Subject Char"/>
    <w:basedOn w:val="CommentTextChar"/>
    <w:link w:val="CommentSubject"/>
    <w:uiPriority w:val="99"/>
    <w:semiHidden/>
    <w:rsid w:val="007E45B4"/>
    <w:rPr>
      <w:b/>
      <w:bCs/>
      <w:sz w:val="20"/>
      <w:szCs w:val="20"/>
    </w:rPr>
  </w:style>
  <w:style w:type="character" w:customStyle="1" w:styleId="highlight">
    <w:name w:val="highlight"/>
    <w:basedOn w:val="DefaultParagraphFont"/>
    <w:rsid w:val="0043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175">
      <w:bodyDiv w:val="1"/>
      <w:marLeft w:val="0"/>
      <w:marRight w:val="0"/>
      <w:marTop w:val="0"/>
      <w:marBottom w:val="0"/>
      <w:divBdr>
        <w:top w:val="none" w:sz="0" w:space="0" w:color="auto"/>
        <w:left w:val="none" w:sz="0" w:space="0" w:color="auto"/>
        <w:bottom w:val="none" w:sz="0" w:space="0" w:color="auto"/>
        <w:right w:val="none" w:sz="0" w:space="0" w:color="auto"/>
      </w:divBdr>
    </w:div>
    <w:div w:id="324473396">
      <w:bodyDiv w:val="1"/>
      <w:marLeft w:val="0"/>
      <w:marRight w:val="0"/>
      <w:marTop w:val="0"/>
      <w:marBottom w:val="0"/>
      <w:divBdr>
        <w:top w:val="none" w:sz="0" w:space="0" w:color="auto"/>
        <w:left w:val="none" w:sz="0" w:space="0" w:color="auto"/>
        <w:bottom w:val="none" w:sz="0" w:space="0" w:color="auto"/>
        <w:right w:val="none" w:sz="0" w:space="0" w:color="auto"/>
      </w:divBdr>
    </w:div>
    <w:div w:id="387844866">
      <w:bodyDiv w:val="1"/>
      <w:marLeft w:val="0"/>
      <w:marRight w:val="0"/>
      <w:marTop w:val="0"/>
      <w:marBottom w:val="0"/>
      <w:divBdr>
        <w:top w:val="none" w:sz="0" w:space="0" w:color="auto"/>
        <w:left w:val="none" w:sz="0" w:space="0" w:color="auto"/>
        <w:bottom w:val="none" w:sz="0" w:space="0" w:color="auto"/>
        <w:right w:val="none" w:sz="0" w:space="0" w:color="auto"/>
      </w:divBdr>
    </w:div>
    <w:div w:id="473640722">
      <w:bodyDiv w:val="1"/>
      <w:marLeft w:val="0"/>
      <w:marRight w:val="0"/>
      <w:marTop w:val="0"/>
      <w:marBottom w:val="0"/>
      <w:divBdr>
        <w:top w:val="none" w:sz="0" w:space="0" w:color="auto"/>
        <w:left w:val="none" w:sz="0" w:space="0" w:color="auto"/>
        <w:bottom w:val="none" w:sz="0" w:space="0" w:color="auto"/>
        <w:right w:val="none" w:sz="0" w:space="0" w:color="auto"/>
      </w:divBdr>
    </w:div>
    <w:div w:id="787626948">
      <w:bodyDiv w:val="1"/>
      <w:marLeft w:val="0"/>
      <w:marRight w:val="0"/>
      <w:marTop w:val="0"/>
      <w:marBottom w:val="0"/>
      <w:divBdr>
        <w:top w:val="none" w:sz="0" w:space="0" w:color="auto"/>
        <w:left w:val="none" w:sz="0" w:space="0" w:color="auto"/>
        <w:bottom w:val="none" w:sz="0" w:space="0" w:color="auto"/>
        <w:right w:val="none" w:sz="0" w:space="0" w:color="auto"/>
      </w:divBdr>
    </w:div>
    <w:div w:id="800345873">
      <w:bodyDiv w:val="1"/>
      <w:marLeft w:val="0"/>
      <w:marRight w:val="0"/>
      <w:marTop w:val="0"/>
      <w:marBottom w:val="0"/>
      <w:divBdr>
        <w:top w:val="none" w:sz="0" w:space="0" w:color="auto"/>
        <w:left w:val="none" w:sz="0" w:space="0" w:color="auto"/>
        <w:bottom w:val="none" w:sz="0" w:space="0" w:color="auto"/>
        <w:right w:val="none" w:sz="0" w:space="0" w:color="auto"/>
      </w:divBdr>
    </w:div>
    <w:div w:id="850487832">
      <w:bodyDiv w:val="1"/>
      <w:marLeft w:val="0"/>
      <w:marRight w:val="0"/>
      <w:marTop w:val="0"/>
      <w:marBottom w:val="0"/>
      <w:divBdr>
        <w:top w:val="none" w:sz="0" w:space="0" w:color="auto"/>
        <w:left w:val="none" w:sz="0" w:space="0" w:color="auto"/>
        <w:bottom w:val="none" w:sz="0" w:space="0" w:color="auto"/>
        <w:right w:val="none" w:sz="0" w:space="0" w:color="auto"/>
      </w:divBdr>
    </w:div>
    <w:div w:id="962730419">
      <w:bodyDiv w:val="1"/>
      <w:marLeft w:val="0"/>
      <w:marRight w:val="0"/>
      <w:marTop w:val="0"/>
      <w:marBottom w:val="0"/>
      <w:divBdr>
        <w:top w:val="none" w:sz="0" w:space="0" w:color="auto"/>
        <w:left w:val="none" w:sz="0" w:space="0" w:color="auto"/>
        <w:bottom w:val="none" w:sz="0" w:space="0" w:color="auto"/>
        <w:right w:val="none" w:sz="0" w:space="0" w:color="auto"/>
      </w:divBdr>
    </w:div>
    <w:div w:id="972172107">
      <w:bodyDiv w:val="1"/>
      <w:marLeft w:val="0"/>
      <w:marRight w:val="0"/>
      <w:marTop w:val="0"/>
      <w:marBottom w:val="0"/>
      <w:divBdr>
        <w:top w:val="none" w:sz="0" w:space="0" w:color="auto"/>
        <w:left w:val="none" w:sz="0" w:space="0" w:color="auto"/>
        <w:bottom w:val="none" w:sz="0" w:space="0" w:color="auto"/>
        <w:right w:val="none" w:sz="0" w:space="0" w:color="auto"/>
      </w:divBdr>
    </w:div>
    <w:div w:id="1053579500">
      <w:bodyDiv w:val="1"/>
      <w:marLeft w:val="0"/>
      <w:marRight w:val="0"/>
      <w:marTop w:val="0"/>
      <w:marBottom w:val="0"/>
      <w:divBdr>
        <w:top w:val="none" w:sz="0" w:space="0" w:color="auto"/>
        <w:left w:val="none" w:sz="0" w:space="0" w:color="auto"/>
        <w:bottom w:val="none" w:sz="0" w:space="0" w:color="auto"/>
        <w:right w:val="none" w:sz="0" w:space="0" w:color="auto"/>
      </w:divBdr>
    </w:div>
    <w:div w:id="1109355736">
      <w:bodyDiv w:val="1"/>
      <w:marLeft w:val="0"/>
      <w:marRight w:val="0"/>
      <w:marTop w:val="0"/>
      <w:marBottom w:val="0"/>
      <w:divBdr>
        <w:top w:val="none" w:sz="0" w:space="0" w:color="auto"/>
        <w:left w:val="none" w:sz="0" w:space="0" w:color="auto"/>
        <w:bottom w:val="none" w:sz="0" w:space="0" w:color="auto"/>
        <w:right w:val="none" w:sz="0" w:space="0" w:color="auto"/>
      </w:divBdr>
      <w:divsChild>
        <w:div w:id="2011712007">
          <w:marLeft w:val="0"/>
          <w:marRight w:val="0"/>
          <w:marTop w:val="0"/>
          <w:marBottom w:val="0"/>
          <w:divBdr>
            <w:top w:val="none" w:sz="0" w:space="0" w:color="auto"/>
            <w:left w:val="none" w:sz="0" w:space="0" w:color="auto"/>
            <w:bottom w:val="none" w:sz="0" w:space="0" w:color="auto"/>
            <w:right w:val="none" w:sz="0" w:space="0" w:color="auto"/>
          </w:divBdr>
        </w:div>
        <w:div w:id="2060931142">
          <w:marLeft w:val="0"/>
          <w:marRight w:val="0"/>
          <w:marTop w:val="0"/>
          <w:marBottom w:val="0"/>
          <w:divBdr>
            <w:top w:val="none" w:sz="0" w:space="0" w:color="auto"/>
            <w:left w:val="none" w:sz="0" w:space="0" w:color="auto"/>
            <w:bottom w:val="none" w:sz="0" w:space="0" w:color="auto"/>
            <w:right w:val="none" w:sz="0" w:space="0" w:color="auto"/>
          </w:divBdr>
        </w:div>
        <w:div w:id="1005590359">
          <w:marLeft w:val="0"/>
          <w:marRight w:val="0"/>
          <w:marTop w:val="0"/>
          <w:marBottom w:val="0"/>
          <w:divBdr>
            <w:top w:val="none" w:sz="0" w:space="0" w:color="auto"/>
            <w:left w:val="none" w:sz="0" w:space="0" w:color="auto"/>
            <w:bottom w:val="none" w:sz="0" w:space="0" w:color="auto"/>
            <w:right w:val="none" w:sz="0" w:space="0" w:color="auto"/>
          </w:divBdr>
        </w:div>
        <w:div w:id="2100365472">
          <w:marLeft w:val="0"/>
          <w:marRight w:val="0"/>
          <w:marTop w:val="0"/>
          <w:marBottom w:val="0"/>
          <w:divBdr>
            <w:top w:val="none" w:sz="0" w:space="0" w:color="auto"/>
            <w:left w:val="none" w:sz="0" w:space="0" w:color="auto"/>
            <w:bottom w:val="none" w:sz="0" w:space="0" w:color="auto"/>
            <w:right w:val="none" w:sz="0" w:space="0" w:color="auto"/>
          </w:divBdr>
        </w:div>
        <w:div w:id="2068870567">
          <w:marLeft w:val="0"/>
          <w:marRight w:val="0"/>
          <w:marTop w:val="0"/>
          <w:marBottom w:val="0"/>
          <w:divBdr>
            <w:top w:val="none" w:sz="0" w:space="0" w:color="auto"/>
            <w:left w:val="none" w:sz="0" w:space="0" w:color="auto"/>
            <w:bottom w:val="none" w:sz="0" w:space="0" w:color="auto"/>
            <w:right w:val="none" w:sz="0" w:space="0" w:color="auto"/>
          </w:divBdr>
        </w:div>
      </w:divsChild>
    </w:div>
    <w:div w:id="1243416304">
      <w:bodyDiv w:val="1"/>
      <w:marLeft w:val="0"/>
      <w:marRight w:val="0"/>
      <w:marTop w:val="0"/>
      <w:marBottom w:val="0"/>
      <w:divBdr>
        <w:top w:val="none" w:sz="0" w:space="0" w:color="auto"/>
        <w:left w:val="none" w:sz="0" w:space="0" w:color="auto"/>
        <w:bottom w:val="none" w:sz="0" w:space="0" w:color="auto"/>
        <w:right w:val="none" w:sz="0" w:space="0" w:color="auto"/>
      </w:divBdr>
    </w:div>
    <w:div w:id="1359813423">
      <w:bodyDiv w:val="1"/>
      <w:marLeft w:val="0"/>
      <w:marRight w:val="0"/>
      <w:marTop w:val="0"/>
      <w:marBottom w:val="0"/>
      <w:divBdr>
        <w:top w:val="none" w:sz="0" w:space="0" w:color="auto"/>
        <w:left w:val="none" w:sz="0" w:space="0" w:color="auto"/>
        <w:bottom w:val="none" w:sz="0" w:space="0" w:color="auto"/>
        <w:right w:val="none" w:sz="0" w:space="0" w:color="auto"/>
      </w:divBdr>
      <w:divsChild>
        <w:div w:id="1420831265">
          <w:marLeft w:val="240"/>
          <w:marRight w:val="0"/>
          <w:marTop w:val="0"/>
          <w:marBottom w:val="0"/>
          <w:divBdr>
            <w:top w:val="none" w:sz="0" w:space="0" w:color="auto"/>
            <w:left w:val="none" w:sz="0" w:space="0" w:color="auto"/>
            <w:bottom w:val="none" w:sz="0" w:space="0" w:color="auto"/>
            <w:right w:val="none" w:sz="0" w:space="0" w:color="auto"/>
          </w:divBdr>
        </w:div>
      </w:divsChild>
    </w:div>
    <w:div w:id="1476989481">
      <w:bodyDiv w:val="1"/>
      <w:marLeft w:val="0"/>
      <w:marRight w:val="0"/>
      <w:marTop w:val="0"/>
      <w:marBottom w:val="0"/>
      <w:divBdr>
        <w:top w:val="none" w:sz="0" w:space="0" w:color="auto"/>
        <w:left w:val="none" w:sz="0" w:space="0" w:color="auto"/>
        <w:bottom w:val="none" w:sz="0" w:space="0" w:color="auto"/>
        <w:right w:val="none" w:sz="0" w:space="0" w:color="auto"/>
      </w:divBdr>
    </w:div>
    <w:div w:id="20824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2527-C346-4FEA-981B-4286CB62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Kloberg</cp:lastModifiedBy>
  <cp:revision>2</cp:revision>
  <cp:lastPrinted>2019-01-25T21:18:00Z</cp:lastPrinted>
  <dcterms:created xsi:type="dcterms:W3CDTF">2019-05-17T15:07:00Z</dcterms:created>
  <dcterms:modified xsi:type="dcterms:W3CDTF">2019-05-17T15:07:00Z</dcterms:modified>
</cp:coreProperties>
</file>