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4EE" w:rsidRDefault="00EB35E2" w:rsidP="00F04189">
      <w:pPr>
        <w:pStyle w:val="BodyText"/>
        <w:jc w:val="center"/>
        <w:rPr>
          <w:rFonts w:ascii="Times New Roman"/>
          <w:sz w:val="20"/>
        </w:rPr>
      </w:pPr>
      <w:bookmarkStart w:id="0" w:name="_GoBack"/>
      <w:bookmarkEnd w:id="0"/>
      <w:r>
        <w:rPr>
          <w:rFonts w:ascii="Times New Roman"/>
          <w:noProof/>
          <w:sz w:val="20"/>
        </w:rPr>
        <w:drawing>
          <wp:inline distT="0" distB="0" distL="0" distR="0">
            <wp:extent cx="1332245" cy="11723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32245" cy="1172336"/>
                    </a:xfrm>
                    <a:prstGeom prst="rect">
                      <a:avLst/>
                    </a:prstGeom>
                  </pic:spPr>
                </pic:pic>
              </a:graphicData>
            </a:graphic>
          </wp:inline>
        </w:drawing>
      </w:r>
    </w:p>
    <w:p w:rsidR="008D04EE" w:rsidRDefault="008D04EE">
      <w:pPr>
        <w:pStyle w:val="BodyText"/>
        <w:rPr>
          <w:rFonts w:ascii="Times New Roman"/>
          <w:sz w:val="20"/>
        </w:rPr>
      </w:pPr>
    </w:p>
    <w:p w:rsidR="008D04EE" w:rsidRDefault="008D04EE">
      <w:pPr>
        <w:pStyle w:val="BodyText"/>
        <w:rPr>
          <w:rFonts w:ascii="Times New Roman"/>
          <w:sz w:val="20"/>
        </w:rPr>
      </w:pPr>
    </w:p>
    <w:p w:rsidR="008D04EE" w:rsidRDefault="008D04EE">
      <w:pPr>
        <w:pStyle w:val="BodyText"/>
        <w:rPr>
          <w:rFonts w:ascii="Times New Roman"/>
          <w:sz w:val="19"/>
        </w:rPr>
      </w:pPr>
    </w:p>
    <w:p w:rsidR="008D04EE" w:rsidRPr="00F36FB3" w:rsidRDefault="009803BE" w:rsidP="00F04189">
      <w:pPr>
        <w:jc w:val="center"/>
        <w:rPr>
          <w:rFonts w:ascii="Arial" w:hAnsi="Arial" w:cs="Arial"/>
          <w:b/>
          <w:color w:val="03244D"/>
          <w:sz w:val="96"/>
          <w:szCs w:val="96"/>
        </w:rPr>
      </w:pPr>
      <w:r w:rsidRPr="00F36FB3">
        <w:rPr>
          <w:rFonts w:ascii="Arial" w:hAnsi="Arial" w:cs="Arial"/>
          <w:b/>
          <w:color w:val="03244D"/>
          <w:sz w:val="96"/>
          <w:szCs w:val="96"/>
        </w:rPr>
        <w:t>Benefits at a Glance</w:t>
      </w:r>
    </w:p>
    <w:p w:rsidR="005427F5" w:rsidRDefault="005427F5" w:rsidP="00C613A3">
      <w:pPr>
        <w:spacing w:before="80" w:line="262" w:lineRule="auto"/>
        <w:jc w:val="center"/>
        <w:rPr>
          <w:rFonts w:ascii="Arial" w:hAnsi="Arial" w:cs="Arial"/>
          <w:color w:val="03244D"/>
          <w:sz w:val="48"/>
          <w:szCs w:val="48"/>
        </w:rPr>
      </w:pPr>
      <w:r>
        <w:rPr>
          <w:rFonts w:ascii="Arial" w:hAnsi="Arial" w:cs="Arial"/>
          <w:color w:val="03244D"/>
          <w:sz w:val="48"/>
          <w:szCs w:val="48"/>
        </w:rPr>
        <w:t>Auburn University Human Resources</w:t>
      </w:r>
    </w:p>
    <w:p w:rsidR="008D04EE" w:rsidRPr="00F36FB3" w:rsidRDefault="00EB35E2" w:rsidP="00C613A3">
      <w:pPr>
        <w:spacing w:before="80" w:line="262" w:lineRule="auto"/>
        <w:jc w:val="center"/>
        <w:rPr>
          <w:rFonts w:ascii="Arial" w:hAnsi="Arial" w:cs="Arial"/>
          <w:color w:val="03244D"/>
          <w:sz w:val="48"/>
          <w:szCs w:val="48"/>
        </w:rPr>
      </w:pPr>
      <w:r w:rsidRPr="00F36FB3">
        <w:rPr>
          <w:rFonts w:ascii="Arial" w:hAnsi="Arial" w:cs="Arial"/>
          <w:color w:val="03244D"/>
          <w:sz w:val="48"/>
          <w:szCs w:val="48"/>
        </w:rPr>
        <w:t>Post-Doctoral Fellows</w:t>
      </w:r>
    </w:p>
    <w:p w:rsidR="00EB35E2" w:rsidRPr="00F36FB3" w:rsidRDefault="00EB35E2" w:rsidP="00C613A3">
      <w:pPr>
        <w:spacing w:before="80" w:line="262" w:lineRule="auto"/>
        <w:jc w:val="center"/>
        <w:rPr>
          <w:rFonts w:ascii="Arial" w:hAnsi="Arial" w:cs="Arial"/>
          <w:color w:val="03244D"/>
          <w:sz w:val="48"/>
          <w:szCs w:val="48"/>
        </w:rPr>
      </w:pPr>
      <w:r w:rsidRPr="00F36FB3">
        <w:rPr>
          <w:rFonts w:ascii="Arial" w:hAnsi="Arial" w:cs="Arial"/>
          <w:color w:val="03244D"/>
          <w:sz w:val="48"/>
          <w:szCs w:val="48"/>
        </w:rPr>
        <w:t>Calendar Year 2022</w:t>
      </w:r>
    </w:p>
    <w:p w:rsidR="008D04EE" w:rsidRDefault="008D04EE">
      <w:pPr>
        <w:pStyle w:val="BodyText"/>
        <w:rPr>
          <w:rFonts w:ascii="Gill Sans MT"/>
          <w:sz w:val="20"/>
        </w:rPr>
      </w:pPr>
    </w:p>
    <w:p w:rsidR="008D04EE" w:rsidRDefault="00EB35E2">
      <w:pPr>
        <w:pStyle w:val="BodyText"/>
        <w:spacing w:before="6"/>
        <w:rPr>
          <w:rFonts w:ascii="Gill Sans MT"/>
          <w:sz w:val="24"/>
        </w:rPr>
      </w:pPr>
      <w:r>
        <w:rPr>
          <w:noProof/>
        </w:rPr>
        <w:drawing>
          <wp:anchor distT="0" distB="0" distL="0" distR="0" simplePos="0" relativeHeight="251658240" behindDoc="0" locked="0" layoutInCell="1" allowOverlap="1">
            <wp:simplePos x="0" y="0"/>
            <wp:positionH relativeFrom="page">
              <wp:posOffset>525780</wp:posOffset>
            </wp:positionH>
            <wp:positionV relativeFrom="paragraph">
              <wp:posOffset>483235</wp:posOffset>
            </wp:positionV>
            <wp:extent cx="6685915" cy="4457065"/>
            <wp:effectExtent l="0" t="0" r="635" b="63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85915" cy="4457065"/>
                    </a:xfrm>
                    <a:prstGeom prst="rect">
                      <a:avLst/>
                    </a:prstGeom>
                  </pic:spPr>
                </pic:pic>
              </a:graphicData>
            </a:graphic>
            <wp14:sizeRelH relativeFrom="margin">
              <wp14:pctWidth>0</wp14:pctWidth>
            </wp14:sizeRelH>
            <wp14:sizeRelV relativeFrom="margin">
              <wp14:pctHeight>0</wp14:pctHeight>
            </wp14:sizeRelV>
          </wp:anchor>
        </w:drawing>
      </w:r>
    </w:p>
    <w:p w:rsidR="008D04EE" w:rsidRDefault="008D04EE">
      <w:pPr>
        <w:rPr>
          <w:rFonts w:ascii="Gill Sans MT"/>
          <w:sz w:val="24"/>
        </w:rPr>
        <w:sectPr w:rsidR="008D04EE" w:rsidSect="004E665B">
          <w:headerReference w:type="default" r:id="rId10"/>
          <w:footerReference w:type="default" r:id="rId11"/>
          <w:type w:val="continuous"/>
          <w:pgSz w:w="12240" w:h="15840"/>
          <w:pgMar w:top="720" w:right="720" w:bottom="720" w:left="720" w:header="0" w:footer="292" w:gutter="0"/>
          <w:pgNumType w:start="1"/>
          <w:cols w:space="720"/>
          <w:docGrid w:linePitch="299"/>
        </w:sectPr>
      </w:pPr>
    </w:p>
    <w:p w:rsidR="008D04EE" w:rsidRPr="00F36FB3" w:rsidRDefault="00EB35E2" w:rsidP="00AB6D48">
      <w:pPr>
        <w:pStyle w:val="Heading2"/>
      </w:pPr>
      <w:bookmarkStart w:id="1" w:name="_Toc81312701"/>
      <w:r w:rsidRPr="00F36FB3">
        <w:lastRenderedPageBreak/>
        <w:t>TABLE OF CONTENTS</w:t>
      </w:r>
      <w:bookmarkEnd w:id="1"/>
    </w:p>
    <w:sdt>
      <w:sdtPr>
        <w:rPr>
          <w:sz w:val="22"/>
          <w:szCs w:val="22"/>
        </w:rPr>
        <w:id w:val="2044790128"/>
        <w:docPartObj>
          <w:docPartGallery w:val="Table of Contents"/>
          <w:docPartUnique/>
        </w:docPartObj>
      </w:sdtPr>
      <w:sdtEndPr>
        <w:rPr>
          <w:rFonts w:ascii="Arial" w:hAnsi="Arial" w:cs="Arial"/>
          <w:b/>
          <w:bCs/>
          <w:noProof/>
          <w:sz w:val="24"/>
          <w:szCs w:val="24"/>
        </w:rPr>
      </w:sdtEndPr>
      <w:sdtContent>
        <w:p w:rsidR="00B014B3" w:rsidRDefault="00B014B3" w:rsidP="00B014B3">
          <w:pPr>
            <w:pStyle w:val="BodyText"/>
          </w:pPr>
        </w:p>
        <w:p w:rsidR="00B014B3" w:rsidRPr="005427F5" w:rsidRDefault="00B014B3">
          <w:pPr>
            <w:pStyle w:val="TOC1"/>
            <w:tabs>
              <w:tab w:val="right" w:leader="dot" w:pos="10790"/>
            </w:tabs>
            <w:rPr>
              <w:rFonts w:ascii="Arial" w:hAnsi="Arial" w:cs="Arial"/>
              <w:noProof/>
            </w:rPr>
          </w:pPr>
          <w:r w:rsidRPr="00B014B3">
            <w:rPr>
              <w:rFonts w:ascii="Arial" w:hAnsi="Arial" w:cs="Arial"/>
              <w:sz w:val="24"/>
              <w:szCs w:val="24"/>
            </w:rPr>
            <w:fldChar w:fldCharType="begin"/>
          </w:r>
          <w:r w:rsidRPr="00B014B3">
            <w:rPr>
              <w:rFonts w:ascii="Arial" w:hAnsi="Arial" w:cs="Arial"/>
              <w:sz w:val="24"/>
              <w:szCs w:val="24"/>
            </w:rPr>
            <w:instrText xml:space="preserve"> TOC \o "1-3" \h \z \u </w:instrText>
          </w:r>
          <w:r w:rsidRPr="00B014B3">
            <w:rPr>
              <w:rFonts w:ascii="Arial" w:hAnsi="Arial" w:cs="Arial"/>
              <w:sz w:val="24"/>
              <w:szCs w:val="24"/>
            </w:rPr>
            <w:fldChar w:fldCharType="separate"/>
          </w:r>
          <w:hyperlink w:anchor="_Toc81312701" w:history="1">
            <w:r w:rsidRPr="005427F5">
              <w:rPr>
                <w:rStyle w:val="Hyperlink"/>
                <w:rFonts w:ascii="Arial" w:hAnsi="Arial" w:cs="Arial"/>
                <w:b/>
                <w:noProof/>
                <w:color w:val="auto"/>
              </w:rPr>
              <w:t>HEALTH BENEFITS</w:t>
            </w:r>
          </w:hyperlink>
        </w:p>
        <w:p w:rsidR="00B014B3" w:rsidRPr="005427F5" w:rsidRDefault="00333121">
          <w:pPr>
            <w:pStyle w:val="TOC3"/>
            <w:tabs>
              <w:tab w:val="right" w:leader="dot" w:pos="10790"/>
            </w:tabs>
            <w:rPr>
              <w:rFonts w:ascii="Arial" w:hAnsi="Arial" w:cs="Arial"/>
              <w:noProof/>
            </w:rPr>
          </w:pPr>
          <w:hyperlink w:anchor="_Toc81312702" w:history="1">
            <w:r w:rsidR="00B014B3" w:rsidRPr="005427F5">
              <w:rPr>
                <w:rStyle w:val="Hyperlink"/>
                <w:rFonts w:ascii="Arial" w:hAnsi="Arial" w:cs="Arial"/>
                <w:noProof/>
                <w:color w:val="auto"/>
              </w:rPr>
              <w:t>Health Insurance</w:t>
            </w:r>
            <w:r w:rsidR="00B014B3" w:rsidRPr="005427F5">
              <w:rPr>
                <w:rFonts w:ascii="Arial" w:hAnsi="Arial" w:cs="Arial"/>
                <w:noProof/>
                <w:webHidden/>
              </w:rPr>
              <w:tab/>
              <w:t>3</w:t>
            </w:r>
          </w:hyperlink>
        </w:p>
        <w:p w:rsidR="00B014B3" w:rsidRPr="005427F5" w:rsidRDefault="00333121" w:rsidP="00B014B3">
          <w:pPr>
            <w:pStyle w:val="TOC3"/>
            <w:tabs>
              <w:tab w:val="right" w:leader="dot" w:pos="10790"/>
            </w:tabs>
            <w:rPr>
              <w:rFonts w:ascii="Arial" w:hAnsi="Arial" w:cs="Arial"/>
              <w:noProof/>
              <w:u w:val="single"/>
            </w:rPr>
          </w:pPr>
          <w:hyperlink w:anchor="_Toc81312703" w:history="1">
            <w:r w:rsidR="00B014B3" w:rsidRPr="005427F5">
              <w:rPr>
                <w:rStyle w:val="Hyperlink"/>
                <w:rFonts w:ascii="Arial" w:hAnsi="Arial" w:cs="Arial"/>
                <w:noProof/>
                <w:color w:val="auto"/>
              </w:rPr>
              <w:t>Mental Health and Substance Abuse Coverage</w:t>
            </w:r>
            <w:r w:rsidR="00B014B3" w:rsidRPr="005427F5">
              <w:rPr>
                <w:rFonts w:ascii="Arial" w:hAnsi="Arial" w:cs="Arial"/>
                <w:noProof/>
                <w:webHidden/>
              </w:rPr>
              <w:tab/>
              <w:t>3</w:t>
            </w:r>
          </w:hyperlink>
        </w:p>
        <w:p w:rsidR="00B014B3" w:rsidRPr="005427F5" w:rsidRDefault="00333121">
          <w:pPr>
            <w:pStyle w:val="TOC3"/>
            <w:tabs>
              <w:tab w:val="right" w:leader="dot" w:pos="10790"/>
            </w:tabs>
            <w:rPr>
              <w:rStyle w:val="Hyperlink"/>
              <w:rFonts w:ascii="Arial" w:hAnsi="Arial" w:cs="Arial"/>
              <w:noProof/>
              <w:color w:val="auto"/>
            </w:rPr>
          </w:pPr>
          <w:hyperlink w:anchor="_Toc81312704" w:history="1">
            <w:r w:rsidR="00B014B3" w:rsidRPr="005427F5">
              <w:rPr>
                <w:rStyle w:val="Hyperlink"/>
                <w:rFonts w:ascii="Arial" w:hAnsi="Arial" w:cs="Arial"/>
                <w:noProof/>
                <w:color w:val="auto"/>
              </w:rPr>
              <w:t>Dental Insurance</w:t>
            </w:r>
            <w:r w:rsidR="00B014B3" w:rsidRPr="005427F5">
              <w:rPr>
                <w:rFonts w:ascii="Arial" w:hAnsi="Arial" w:cs="Arial"/>
                <w:noProof/>
                <w:webHidden/>
              </w:rPr>
              <w:tab/>
              <w:t>4</w:t>
            </w:r>
          </w:hyperlink>
        </w:p>
        <w:p w:rsidR="00B014B3" w:rsidRPr="005427F5" w:rsidRDefault="00333121">
          <w:pPr>
            <w:pStyle w:val="TOC3"/>
            <w:tabs>
              <w:tab w:val="right" w:leader="dot" w:pos="10790"/>
            </w:tabs>
            <w:rPr>
              <w:rFonts w:ascii="Arial" w:hAnsi="Arial" w:cs="Arial"/>
              <w:noProof/>
            </w:rPr>
          </w:pPr>
          <w:hyperlink w:anchor="_Toc81312706" w:history="1">
            <w:r w:rsidR="00B014B3" w:rsidRPr="005427F5">
              <w:rPr>
                <w:rStyle w:val="Hyperlink"/>
                <w:rFonts w:ascii="Arial" w:hAnsi="Arial" w:cs="Arial"/>
                <w:noProof/>
                <w:color w:val="auto"/>
              </w:rPr>
              <w:t>Vision Insurance</w:t>
            </w:r>
            <w:r w:rsidR="00B014B3" w:rsidRPr="005427F5">
              <w:rPr>
                <w:rFonts w:ascii="Arial" w:hAnsi="Arial" w:cs="Arial"/>
                <w:noProof/>
                <w:webHidden/>
              </w:rPr>
              <w:tab/>
              <w:t>4</w:t>
            </w:r>
          </w:hyperlink>
        </w:p>
        <w:p w:rsidR="00B014B3" w:rsidRPr="005427F5" w:rsidRDefault="00333121">
          <w:pPr>
            <w:pStyle w:val="TOC3"/>
            <w:tabs>
              <w:tab w:val="right" w:leader="dot" w:pos="10790"/>
            </w:tabs>
            <w:rPr>
              <w:rFonts w:ascii="Arial" w:hAnsi="Arial" w:cs="Arial"/>
              <w:noProof/>
            </w:rPr>
          </w:pPr>
          <w:hyperlink w:anchor="_Toc81312707" w:history="1">
            <w:r w:rsidR="00B014B3" w:rsidRPr="005427F5">
              <w:rPr>
                <w:rStyle w:val="Hyperlink"/>
                <w:rFonts w:ascii="Arial" w:hAnsi="Arial" w:cs="Arial"/>
                <w:noProof/>
                <w:color w:val="auto"/>
              </w:rPr>
              <w:t>Cancer Insurance</w:t>
            </w:r>
            <w:r w:rsidR="00B014B3" w:rsidRPr="005427F5">
              <w:rPr>
                <w:rFonts w:ascii="Arial" w:hAnsi="Arial" w:cs="Arial"/>
                <w:noProof/>
                <w:webHidden/>
              </w:rPr>
              <w:tab/>
              <w:t>5</w:t>
            </w:r>
          </w:hyperlink>
        </w:p>
        <w:p w:rsidR="00B014B3" w:rsidRPr="005427F5" w:rsidRDefault="00333121">
          <w:pPr>
            <w:pStyle w:val="TOC3"/>
            <w:tabs>
              <w:tab w:val="right" w:leader="dot" w:pos="10790"/>
            </w:tabs>
            <w:rPr>
              <w:rFonts w:ascii="Arial" w:hAnsi="Arial" w:cs="Arial"/>
              <w:noProof/>
            </w:rPr>
          </w:pPr>
          <w:hyperlink w:anchor="_Toc81312708" w:history="1">
            <w:r w:rsidR="00B014B3" w:rsidRPr="005427F5">
              <w:rPr>
                <w:rStyle w:val="Hyperlink"/>
                <w:rFonts w:ascii="Arial" w:hAnsi="Arial" w:cs="Arial"/>
                <w:noProof/>
                <w:color w:val="auto"/>
              </w:rPr>
              <w:t>Critical Illness Insurance</w:t>
            </w:r>
            <w:r w:rsidR="00B014B3" w:rsidRPr="005427F5">
              <w:rPr>
                <w:rFonts w:ascii="Arial" w:hAnsi="Arial" w:cs="Arial"/>
                <w:noProof/>
                <w:webHidden/>
              </w:rPr>
              <w:tab/>
              <w:t>5</w:t>
            </w:r>
          </w:hyperlink>
        </w:p>
        <w:p w:rsidR="00B014B3" w:rsidRPr="005427F5" w:rsidRDefault="00333121">
          <w:pPr>
            <w:pStyle w:val="TOC3"/>
            <w:tabs>
              <w:tab w:val="right" w:leader="dot" w:pos="10790"/>
            </w:tabs>
            <w:rPr>
              <w:rFonts w:ascii="Arial" w:hAnsi="Arial" w:cs="Arial"/>
              <w:noProof/>
            </w:rPr>
          </w:pPr>
          <w:hyperlink w:anchor="_Toc81312709" w:history="1">
            <w:r w:rsidR="00B014B3" w:rsidRPr="005427F5">
              <w:rPr>
                <w:rStyle w:val="Hyperlink"/>
                <w:rFonts w:ascii="Arial" w:hAnsi="Arial" w:cs="Arial"/>
                <w:noProof/>
                <w:color w:val="auto"/>
              </w:rPr>
              <w:t>Flexible Spending Accounts</w:t>
            </w:r>
            <w:r w:rsidR="00B014B3" w:rsidRPr="005427F5">
              <w:rPr>
                <w:rFonts w:ascii="Arial" w:hAnsi="Arial" w:cs="Arial"/>
                <w:noProof/>
                <w:webHidden/>
              </w:rPr>
              <w:tab/>
              <w:t>5</w:t>
            </w:r>
          </w:hyperlink>
        </w:p>
        <w:p w:rsidR="00B014B3" w:rsidRPr="005427F5" w:rsidRDefault="00333121">
          <w:pPr>
            <w:pStyle w:val="TOC1"/>
            <w:tabs>
              <w:tab w:val="right" w:leader="dot" w:pos="10790"/>
            </w:tabs>
            <w:rPr>
              <w:rFonts w:ascii="Arial" w:hAnsi="Arial" w:cs="Arial"/>
              <w:noProof/>
            </w:rPr>
          </w:pPr>
          <w:hyperlink w:anchor="_Toc81312712" w:history="1">
            <w:r w:rsidR="00B014B3" w:rsidRPr="005427F5">
              <w:rPr>
                <w:rStyle w:val="Hyperlink"/>
                <w:rFonts w:ascii="Arial" w:hAnsi="Arial" w:cs="Arial"/>
                <w:b/>
                <w:noProof/>
                <w:color w:val="auto"/>
              </w:rPr>
              <w:t>LIFE AND DISABILITY INSURANCES</w:t>
            </w:r>
          </w:hyperlink>
        </w:p>
        <w:p w:rsidR="00B014B3" w:rsidRPr="005427F5" w:rsidRDefault="00333121">
          <w:pPr>
            <w:pStyle w:val="TOC3"/>
            <w:tabs>
              <w:tab w:val="right" w:leader="dot" w:pos="10790"/>
            </w:tabs>
            <w:rPr>
              <w:rFonts w:ascii="Arial" w:hAnsi="Arial" w:cs="Arial"/>
              <w:noProof/>
            </w:rPr>
          </w:pPr>
          <w:hyperlink w:anchor="_Toc81312713" w:history="1">
            <w:r w:rsidR="00B014B3" w:rsidRPr="005427F5">
              <w:rPr>
                <w:rFonts w:ascii="Arial" w:hAnsi="Arial" w:cs="Arial"/>
              </w:rPr>
              <w:t>Group Term Life and Accidental Death and Dismemberment Insurance</w:t>
            </w:r>
            <w:r w:rsidR="00B014B3" w:rsidRPr="005427F5">
              <w:rPr>
                <w:rFonts w:ascii="Arial" w:hAnsi="Arial" w:cs="Arial"/>
                <w:noProof/>
                <w:webHidden/>
              </w:rPr>
              <w:tab/>
              <w:t>6</w:t>
            </w:r>
          </w:hyperlink>
        </w:p>
        <w:p w:rsidR="00B014B3" w:rsidRPr="005427F5" w:rsidRDefault="00333121">
          <w:pPr>
            <w:pStyle w:val="TOC3"/>
            <w:tabs>
              <w:tab w:val="right" w:leader="dot" w:pos="10790"/>
            </w:tabs>
            <w:rPr>
              <w:rFonts w:ascii="Arial" w:hAnsi="Arial" w:cs="Arial"/>
              <w:noProof/>
            </w:rPr>
          </w:pPr>
          <w:hyperlink w:anchor="_Toc81312714" w:history="1">
            <w:r w:rsidR="00B014B3" w:rsidRPr="005427F5">
              <w:rPr>
                <w:rFonts w:ascii="Arial" w:hAnsi="Arial" w:cs="Arial"/>
              </w:rPr>
              <w:t>Supplemental Whole Life Insurance</w:t>
            </w:r>
            <w:r w:rsidR="00B014B3" w:rsidRPr="005427F5">
              <w:rPr>
                <w:rFonts w:ascii="Arial" w:hAnsi="Arial" w:cs="Arial"/>
                <w:noProof/>
                <w:webHidden/>
              </w:rPr>
              <w:tab/>
              <w:t>6</w:t>
            </w:r>
          </w:hyperlink>
        </w:p>
        <w:p w:rsidR="00B014B3" w:rsidRPr="005427F5" w:rsidRDefault="00333121">
          <w:pPr>
            <w:pStyle w:val="TOC3"/>
            <w:tabs>
              <w:tab w:val="right" w:leader="dot" w:pos="10790"/>
            </w:tabs>
            <w:rPr>
              <w:rFonts w:ascii="Arial" w:hAnsi="Arial" w:cs="Arial"/>
              <w:noProof/>
            </w:rPr>
          </w:pPr>
          <w:hyperlink w:anchor="_Toc81312715" w:history="1">
            <w:r w:rsidR="00B014B3" w:rsidRPr="005427F5">
              <w:rPr>
                <w:rFonts w:ascii="Arial" w:hAnsi="Arial" w:cs="Arial"/>
              </w:rPr>
              <w:t>Supplemental Long-Term Disability Insurance</w:t>
            </w:r>
            <w:r w:rsidR="00B014B3" w:rsidRPr="005427F5">
              <w:rPr>
                <w:rFonts w:ascii="Arial" w:hAnsi="Arial" w:cs="Arial"/>
                <w:noProof/>
                <w:webHidden/>
              </w:rPr>
              <w:tab/>
              <w:t>6</w:t>
            </w:r>
          </w:hyperlink>
        </w:p>
        <w:p w:rsidR="00B014B3" w:rsidRPr="005427F5" w:rsidRDefault="00333121">
          <w:pPr>
            <w:pStyle w:val="TOC1"/>
            <w:tabs>
              <w:tab w:val="right" w:leader="dot" w:pos="10790"/>
            </w:tabs>
            <w:rPr>
              <w:rFonts w:ascii="Arial" w:hAnsi="Arial" w:cs="Arial"/>
              <w:noProof/>
            </w:rPr>
          </w:pPr>
          <w:hyperlink w:anchor="_Toc81312717" w:history="1">
            <w:r w:rsidR="00B014B3" w:rsidRPr="005427F5">
              <w:rPr>
                <w:rStyle w:val="Hyperlink"/>
                <w:rFonts w:ascii="Arial" w:hAnsi="Arial" w:cs="Arial"/>
                <w:b/>
                <w:noProof/>
                <w:color w:val="auto"/>
              </w:rPr>
              <w:t>RETIREMENT</w:t>
            </w:r>
          </w:hyperlink>
        </w:p>
        <w:p w:rsidR="00B014B3" w:rsidRPr="005427F5" w:rsidRDefault="00333121">
          <w:pPr>
            <w:pStyle w:val="TOC3"/>
            <w:tabs>
              <w:tab w:val="right" w:leader="dot" w:pos="10790"/>
            </w:tabs>
            <w:rPr>
              <w:rFonts w:ascii="Arial" w:hAnsi="Arial" w:cs="Arial"/>
              <w:noProof/>
            </w:rPr>
          </w:pPr>
          <w:hyperlink w:anchor="_Toc81312718" w:history="1">
            <w:r w:rsidR="00B014B3" w:rsidRPr="005427F5">
              <w:rPr>
                <w:rFonts w:ascii="Arial" w:hAnsi="Arial" w:cs="Arial"/>
              </w:rPr>
              <w:t>Tax Deferred Plan 403(b)</w:t>
            </w:r>
            <w:r w:rsidR="00B014B3" w:rsidRPr="005427F5">
              <w:rPr>
                <w:rFonts w:ascii="Arial" w:hAnsi="Arial" w:cs="Arial"/>
                <w:noProof/>
                <w:webHidden/>
              </w:rPr>
              <w:tab/>
              <w:t>7</w:t>
            </w:r>
          </w:hyperlink>
        </w:p>
        <w:p w:rsidR="00B014B3" w:rsidRPr="005427F5" w:rsidRDefault="00333121" w:rsidP="00B014B3">
          <w:pPr>
            <w:pStyle w:val="TOC3"/>
            <w:tabs>
              <w:tab w:val="right" w:leader="dot" w:pos="10790"/>
            </w:tabs>
            <w:rPr>
              <w:rFonts w:ascii="Arial" w:hAnsi="Arial" w:cs="Arial"/>
              <w:noProof/>
            </w:rPr>
          </w:pPr>
          <w:hyperlink w:anchor="_Toc81312718" w:history="1">
            <w:r w:rsidR="00B014B3" w:rsidRPr="005427F5">
              <w:rPr>
                <w:rFonts w:ascii="Arial" w:hAnsi="Arial" w:cs="Arial"/>
              </w:rPr>
              <w:t>Deferred Compensation Plan 457(b)</w:t>
            </w:r>
            <w:r w:rsidR="00B014B3" w:rsidRPr="005427F5">
              <w:rPr>
                <w:rFonts w:ascii="Arial" w:hAnsi="Arial" w:cs="Arial"/>
                <w:noProof/>
                <w:webHidden/>
              </w:rPr>
              <w:tab/>
              <w:t>7</w:t>
            </w:r>
          </w:hyperlink>
        </w:p>
        <w:p w:rsidR="00B014B3" w:rsidRPr="00B014B3" w:rsidRDefault="00B014B3" w:rsidP="00B014B3">
          <w:pPr>
            <w:pStyle w:val="TOC3"/>
            <w:tabs>
              <w:tab w:val="right" w:leader="dot" w:pos="10790"/>
            </w:tabs>
          </w:pPr>
          <w:r w:rsidRPr="00B014B3">
            <w:rPr>
              <w:rFonts w:ascii="Arial" w:hAnsi="Arial" w:cs="Arial"/>
              <w:b/>
              <w:bCs/>
              <w:noProof/>
              <w:sz w:val="24"/>
              <w:szCs w:val="24"/>
            </w:rPr>
            <w:fldChar w:fldCharType="end"/>
          </w:r>
        </w:p>
      </w:sdtContent>
    </w:sdt>
    <w:p w:rsidR="00AB6D48" w:rsidRPr="00A24EDC" w:rsidRDefault="00AB6D48" w:rsidP="00AB6D48">
      <w:pPr>
        <w:pStyle w:val="Heading2"/>
        <w:rPr>
          <w:sz w:val="16"/>
          <w:szCs w:val="16"/>
        </w:rPr>
      </w:pPr>
      <w:bookmarkStart w:id="2" w:name="_Toc81312705"/>
    </w:p>
    <w:p w:rsidR="00D044BD" w:rsidRPr="00350B7B" w:rsidRDefault="00D044BD" w:rsidP="00AB6D48">
      <w:pPr>
        <w:pStyle w:val="Heading2"/>
      </w:pPr>
      <w:r w:rsidRPr="00350B7B">
        <w:t>ELIGIBILITY</w:t>
      </w:r>
      <w:bookmarkEnd w:id="2"/>
    </w:p>
    <w:p w:rsidR="00D044BD" w:rsidRPr="00F36FB3" w:rsidRDefault="00D044BD" w:rsidP="00AB6D48">
      <w:pPr>
        <w:pStyle w:val="Heading4"/>
      </w:pPr>
      <w:bookmarkStart w:id="3" w:name="_Toc81312706"/>
      <w:r w:rsidRPr="00F36FB3">
        <w:t>Which employees are eligible?</w:t>
      </w:r>
      <w:bookmarkEnd w:id="3"/>
    </w:p>
    <w:p w:rsidR="00D044BD" w:rsidRPr="00D044BD" w:rsidRDefault="00D044BD" w:rsidP="00F04189">
      <w:pPr>
        <w:widowControl/>
        <w:autoSpaceDE/>
        <w:autoSpaceDN/>
        <w:rPr>
          <w:rFonts w:ascii="Arial" w:eastAsia="Times New Roman" w:hAnsi="Arial" w:cs="Arial"/>
        </w:rPr>
      </w:pPr>
      <w:r w:rsidRPr="00D044BD">
        <w:rPr>
          <w:rFonts w:ascii="Arial" w:eastAsia="Times New Roman" w:hAnsi="Arial" w:cs="Arial"/>
          <w:color w:val="333333"/>
        </w:rPr>
        <w:t>Active full-time employees</w:t>
      </w:r>
      <w:r w:rsidR="005427F5">
        <w:rPr>
          <w:rFonts w:ascii="Arial" w:eastAsia="Times New Roman" w:hAnsi="Arial" w:cs="Arial"/>
          <w:color w:val="333333"/>
        </w:rPr>
        <w:t xml:space="preserve"> who are not students</w:t>
      </w:r>
      <w:r w:rsidRPr="00D044BD">
        <w:rPr>
          <w:rFonts w:ascii="Arial" w:eastAsia="Times New Roman" w:hAnsi="Arial" w:cs="Arial"/>
          <w:color w:val="333333"/>
        </w:rPr>
        <w:t xml:space="preserve"> are eligible if the</w:t>
      </w:r>
      <w:r w:rsidR="005427F5">
        <w:rPr>
          <w:rFonts w:ascii="Arial" w:eastAsia="Times New Roman" w:hAnsi="Arial" w:cs="Arial"/>
          <w:color w:val="333333"/>
        </w:rPr>
        <w:t>ir</w:t>
      </w:r>
      <w:r w:rsidRPr="00D044BD">
        <w:rPr>
          <w:rFonts w:ascii="Arial" w:eastAsia="Times New Roman" w:hAnsi="Arial" w:cs="Arial"/>
          <w:color w:val="333333"/>
        </w:rPr>
        <w:t xml:space="preserve"> most recent appointment period is continuous for a minimum of one year (nine or 12 months as appropriate to the appointment).</w:t>
      </w:r>
    </w:p>
    <w:p w:rsidR="00D044BD" w:rsidRPr="00F36FB3" w:rsidRDefault="00D044BD" w:rsidP="00AB6D48">
      <w:pPr>
        <w:pStyle w:val="Heading4"/>
      </w:pPr>
      <w:bookmarkStart w:id="4" w:name="_Toc81312707"/>
      <w:r w:rsidRPr="00F36FB3">
        <w:t>Which dependents are eligible?</w:t>
      </w:r>
      <w:bookmarkEnd w:id="4"/>
      <w:r w:rsidRPr="00F36FB3">
        <w:t xml:space="preserve"> </w:t>
      </w:r>
    </w:p>
    <w:p w:rsidR="00D044BD" w:rsidRPr="004E665B" w:rsidRDefault="005427F5" w:rsidP="00F04189">
      <w:pPr>
        <w:pStyle w:val="ListParagraph"/>
        <w:widowControl/>
        <w:numPr>
          <w:ilvl w:val="0"/>
          <w:numId w:val="3"/>
        </w:numPr>
        <w:autoSpaceDE/>
        <w:autoSpaceDN/>
        <w:spacing w:after="40"/>
        <w:ind w:left="720"/>
        <w:rPr>
          <w:rFonts w:ascii="Arial" w:eastAsia="Times New Roman" w:hAnsi="Arial" w:cs="Arial"/>
          <w:color w:val="333333"/>
        </w:rPr>
      </w:pPr>
      <w:r>
        <w:rPr>
          <w:rFonts w:ascii="Arial" w:eastAsia="Times New Roman" w:hAnsi="Arial" w:cs="Arial"/>
          <w:b/>
          <w:bCs/>
          <w:color w:val="333333"/>
        </w:rPr>
        <w:t>S</w:t>
      </w:r>
      <w:r w:rsidR="00D044BD" w:rsidRPr="004E665B">
        <w:rPr>
          <w:rFonts w:ascii="Arial" w:eastAsia="Times New Roman" w:hAnsi="Arial" w:cs="Arial"/>
          <w:b/>
          <w:bCs/>
          <w:color w:val="333333"/>
        </w:rPr>
        <w:t>pouse/sponsored adult dependent</w:t>
      </w:r>
    </w:p>
    <w:p w:rsidR="00D044BD" w:rsidRPr="004E665B" w:rsidRDefault="005427F5" w:rsidP="00F04189">
      <w:pPr>
        <w:pStyle w:val="ListParagraph"/>
        <w:widowControl/>
        <w:numPr>
          <w:ilvl w:val="0"/>
          <w:numId w:val="3"/>
        </w:numPr>
        <w:autoSpaceDE/>
        <w:autoSpaceDN/>
        <w:spacing w:after="100"/>
        <w:ind w:left="720"/>
        <w:rPr>
          <w:rFonts w:ascii="Arial" w:eastAsia="Times New Roman" w:hAnsi="Arial" w:cs="Arial"/>
          <w:color w:val="333333"/>
        </w:rPr>
      </w:pPr>
      <w:r>
        <w:rPr>
          <w:rFonts w:ascii="Arial" w:eastAsia="Times New Roman" w:hAnsi="Arial" w:cs="Arial"/>
          <w:b/>
          <w:bCs/>
          <w:color w:val="333333"/>
        </w:rPr>
        <w:t>Children</w:t>
      </w:r>
      <w:r w:rsidR="00D044BD" w:rsidRPr="004E665B">
        <w:rPr>
          <w:rFonts w:ascii="Arial" w:eastAsia="Times New Roman" w:hAnsi="Arial" w:cs="Arial"/>
          <w:color w:val="333333"/>
        </w:rPr>
        <w:t xml:space="preserve"> </w:t>
      </w:r>
      <w:r w:rsidR="00D044BD" w:rsidRPr="005427F5">
        <w:rPr>
          <w:rFonts w:ascii="Arial" w:eastAsia="Times New Roman" w:hAnsi="Arial" w:cs="Arial"/>
          <w:b/>
          <w:color w:val="333333"/>
        </w:rPr>
        <w:t>under age 26</w:t>
      </w:r>
      <w:r w:rsidR="00D044BD" w:rsidRPr="004E665B">
        <w:rPr>
          <w:rFonts w:ascii="Arial" w:eastAsia="Times New Roman" w:hAnsi="Arial" w:cs="Arial"/>
          <w:color w:val="333333"/>
        </w:rPr>
        <w:t xml:space="preserve"> regardless of marital status or enrollment in school. Family coverage does not automatically include all children. Each child must be actively enrolled in the specific plan to be included in the coverage under that plan. </w:t>
      </w:r>
    </w:p>
    <w:p w:rsidR="00D044BD" w:rsidRPr="00F36FB3" w:rsidRDefault="00D044BD" w:rsidP="00AB6D48">
      <w:pPr>
        <w:pStyle w:val="Heading4"/>
      </w:pPr>
      <w:bookmarkStart w:id="5" w:name="_Toc81312708"/>
      <w:r w:rsidRPr="00F36FB3">
        <w:t>Which documents are required?</w:t>
      </w:r>
      <w:bookmarkEnd w:id="5"/>
    </w:p>
    <w:p w:rsidR="004E665B" w:rsidRPr="005427F5" w:rsidRDefault="005427F5" w:rsidP="005427F5">
      <w:pPr>
        <w:pStyle w:val="ListParagraph"/>
        <w:widowControl/>
        <w:numPr>
          <w:ilvl w:val="0"/>
          <w:numId w:val="2"/>
        </w:numPr>
        <w:autoSpaceDE/>
        <w:autoSpaceDN/>
        <w:spacing w:after="40"/>
        <w:rPr>
          <w:rFonts w:ascii="Arial" w:eastAsia="Times New Roman" w:hAnsi="Arial" w:cs="Arial"/>
          <w:color w:val="333333"/>
        </w:rPr>
      </w:pPr>
      <w:r>
        <w:rPr>
          <w:rFonts w:ascii="Arial" w:eastAsia="Times New Roman" w:hAnsi="Arial" w:cs="Arial"/>
          <w:b/>
          <w:bCs/>
          <w:color w:val="333333"/>
        </w:rPr>
        <w:t>S</w:t>
      </w:r>
      <w:r w:rsidRPr="004E665B">
        <w:rPr>
          <w:rFonts w:ascii="Arial" w:eastAsia="Times New Roman" w:hAnsi="Arial" w:cs="Arial"/>
          <w:b/>
          <w:bCs/>
          <w:color w:val="333333"/>
        </w:rPr>
        <w:t>pouse/sponsored adult dependent</w:t>
      </w:r>
      <w:r w:rsidR="00D044BD" w:rsidRPr="005427F5">
        <w:rPr>
          <w:rFonts w:ascii="Arial" w:eastAsia="Times New Roman" w:hAnsi="Arial" w:cs="Arial"/>
          <w:b/>
          <w:bCs/>
          <w:color w:val="333333"/>
        </w:rPr>
        <w:t xml:space="preserve">: </w:t>
      </w:r>
      <w:r w:rsidR="00D044BD" w:rsidRPr="005427F5">
        <w:rPr>
          <w:rFonts w:ascii="Arial" w:eastAsia="Times New Roman" w:hAnsi="Arial" w:cs="Arial"/>
          <w:color w:val="333333"/>
        </w:rPr>
        <w:t xml:space="preserve">Marriage certificate and one other document </w:t>
      </w:r>
    </w:p>
    <w:p w:rsidR="00D044BD" w:rsidRPr="00D044BD" w:rsidRDefault="005427F5" w:rsidP="00F04189">
      <w:pPr>
        <w:widowControl/>
        <w:numPr>
          <w:ilvl w:val="0"/>
          <w:numId w:val="2"/>
        </w:numPr>
        <w:autoSpaceDE/>
        <w:autoSpaceDN/>
        <w:spacing w:afterLines="40" w:after="96"/>
        <w:ind w:right="360"/>
        <w:rPr>
          <w:rFonts w:ascii="Arial" w:eastAsia="Times New Roman" w:hAnsi="Arial" w:cs="Arial"/>
          <w:color w:val="333333"/>
        </w:rPr>
      </w:pPr>
      <w:r>
        <w:rPr>
          <w:rFonts w:ascii="Arial" w:eastAsia="Times New Roman" w:hAnsi="Arial" w:cs="Arial"/>
          <w:b/>
          <w:bCs/>
          <w:color w:val="333333"/>
        </w:rPr>
        <w:t>Children</w:t>
      </w:r>
      <w:r w:rsidR="00D044BD" w:rsidRPr="00D044BD">
        <w:rPr>
          <w:rFonts w:ascii="Arial" w:eastAsia="Times New Roman" w:hAnsi="Arial" w:cs="Arial"/>
          <w:b/>
          <w:bCs/>
          <w:color w:val="333333"/>
        </w:rPr>
        <w:t>:</w:t>
      </w:r>
      <w:r w:rsidR="00D044BD" w:rsidRPr="00D044BD">
        <w:rPr>
          <w:rFonts w:ascii="Arial" w:eastAsia="Times New Roman" w:hAnsi="Arial" w:cs="Arial"/>
          <w:color w:val="333333"/>
        </w:rPr>
        <w:t xml:space="preserve"> Birth certificate (and marriage certificate if step-child) or valid court order of adoption</w:t>
      </w:r>
    </w:p>
    <w:p w:rsidR="004E665B" w:rsidRPr="00F36FB3" w:rsidRDefault="00D044BD" w:rsidP="00AB6D48">
      <w:pPr>
        <w:pStyle w:val="Heading4"/>
      </w:pPr>
      <w:bookmarkStart w:id="6" w:name="_Toc81312709"/>
      <w:r w:rsidRPr="00F36FB3">
        <w:t>When are employees and dependents eligible?</w:t>
      </w:r>
      <w:bookmarkEnd w:id="6"/>
    </w:p>
    <w:p w:rsidR="00D044BD" w:rsidRPr="00D044BD" w:rsidRDefault="00D044BD" w:rsidP="00F04189">
      <w:pPr>
        <w:widowControl/>
        <w:autoSpaceDE/>
        <w:autoSpaceDN/>
        <w:rPr>
          <w:rFonts w:ascii="Arial" w:eastAsia="Times New Roman" w:hAnsi="Arial" w:cs="Arial"/>
        </w:rPr>
      </w:pPr>
      <w:r w:rsidRPr="00D044BD">
        <w:rPr>
          <w:rFonts w:ascii="Arial" w:eastAsia="Times New Roman" w:hAnsi="Arial" w:cs="Arial"/>
        </w:rPr>
        <w:t xml:space="preserve">The date of hire into full-time employee class for all benefits except for </w:t>
      </w:r>
      <w:r w:rsidR="00DF1353">
        <w:rPr>
          <w:rFonts w:ascii="Arial" w:eastAsia="Times New Roman" w:hAnsi="Arial" w:cs="Arial"/>
        </w:rPr>
        <w:t xml:space="preserve">the employee-provided </w:t>
      </w:r>
      <w:r w:rsidRPr="00D044BD">
        <w:rPr>
          <w:rFonts w:ascii="Arial" w:eastAsia="Times New Roman" w:hAnsi="Arial" w:cs="Arial"/>
        </w:rPr>
        <w:t xml:space="preserve">group </w:t>
      </w:r>
      <w:r w:rsidR="00C25C89">
        <w:rPr>
          <w:rFonts w:ascii="Arial" w:eastAsia="Times New Roman" w:hAnsi="Arial" w:cs="Arial"/>
        </w:rPr>
        <w:t xml:space="preserve">life and </w:t>
      </w:r>
      <w:r w:rsidRPr="00D044BD">
        <w:rPr>
          <w:rFonts w:ascii="Arial" w:eastAsia="Times New Roman" w:hAnsi="Arial" w:cs="Arial"/>
        </w:rPr>
        <w:t>disability plans.</w:t>
      </w:r>
    </w:p>
    <w:p w:rsidR="00D044BD" w:rsidRPr="00F36FB3" w:rsidRDefault="00D044BD" w:rsidP="00AB6D48">
      <w:pPr>
        <w:pStyle w:val="Heading4"/>
      </w:pPr>
      <w:bookmarkStart w:id="7" w:name="_Toc81312710"/>
      <w:r w:rsidRPr="00F36FB3">
        <w:t>When do employees enroll for insurance?</w:t>
      </w:r>
      <w:bookmarkEnd w:id="7"/>
    </w:p>
    <w:p w:rsidR="00D044BD" w:rsidRPr="00D044BD" w:rsidRDefault="00D044BD" w:rsidP="00F04189">
      <w:pPr>
        <w:widowControl/>
        <w:autoSpaceDE/>
        <w:autoSpaceDN/>
        <w:rPr>
          <w:rFonts w:ascii="Arial" w:eastAsia="Times New Roman" w:hAnsi="Arial" w:cs="Arial"/>
        </w:rPr>
      </w:pPr>
      <w:r w:rsidRPr="00D044BD">
        <w:rPr>
          <w:rFonts w:ascii="Arial" w:eastAsia="Times New Roman" w:hAnsi="Arial" w:cs="Arial"/>
        </w:rPr>
        <w:t xml:space="preserve">Employees must enroll in the benefit plans within the first 30 days of eligibility. Otherwise, unless there is a change in family status (within 45 days), they must apply for enrollment or make changes during the annual Open Enrollment period in November. </w:t>
      </w:r>
    </w:p>
    <w:p w:rsidR="004E665B" w:rsidRDefault="004E665B" w:rsidP="004E665B">
      <w:pPr>
        <w:widowControl/>
        <w:autoSpaceDE/>
        <w:autoSpaceDN/>
        <w:ind w:left="360"/>
        <w:rPr>
          <w:rFonts w:ascii="Arial" w:eastAsia="Times New Roman" w:hAnsi="Arial" w:cs="Arial"/>
        </w:rPr>
      </w:pPr>
    </w:p>
    <w:p w:rsidR="004E665B" w:rsidRPr="00D044BD" w:rsidRDefault="004E665B" w:rsidP="004E665B">
      <w:pPr>
        <w:widowControl/>
        <w:autoSpaceDE/>
        <w:autoSpaceDN/>
        <w:jc w:val="center"/>
        <w:rPr>
          <w:rFonts w:ascii="Arial" w:eastAsia="Times New Roman" w:hAnsi="Arial" w:cs="Arial"/>
          <w:i/>
        </w:rPr>
      </w:pPr>
      <w:r w:rsidRPr="00D044BD">
        <w:rPr>
          <w:rFonts w:ascii="Arial" w:eastAsia="Times New Roman" w:hAnsi="Arial" w:cs="Arial"/>
          <w:i/>
        </w:rPr>
        <w:t xml:space="preserve">Visit </w:t>
      </w:r>
      <w:hyperlink r:id="rId12" w:history="1">
        <w:r w:rsidRPr="004E665B">
          <w:rPr>
            <w:rFonts w:ascii="Arial" w:eastAsia="Times New Roman" w:hAnsi="Arial" w:cs="Arial"/>
            <w:i/>
            <w:color w:val="2D95EC"/>
            <w:u w:val="single"/>
          </w:rPr>
          <w:t>auburn.edu/hr/benefits/dependent-eligibility.html</w:t>
        </w:r>
      </w:hyperlink>
      <w:r w:rsidRPr="00D044BD">
        <w:rPr>
          <w:rFonts w:ascii="Arial" w:eastAsia="Times New Roman" w:hAnsi="Arial" w:cs="Arial"/>
          <w:i/>
        </w:rPr>
        <w:t xml:space="preserve"> for more information.</w:t>
      </w:r>
    </w:p>
    <w:p w:rsidR="008D04EE" w:rsidRDefault="008D04EE">
      <w:pPr>
        <w:rPr>
          <w:rFonts w:ascii="Calibri"/>
          <w:sz w:val="15"/>
        </w:rPr>
        <w:sectPr w:rsidR="008D04EE" w:rsidSect="00A172AC">
          <w:pgSz w:w="12240" w:h="15840"/>
          <w:pgMar w:top="720" w:right="720" w:bottom="720" w:left="720" w:header="0" w:footer="292" w:gutter="0"/>
          <w:cols w:space="720"/>
          <w:docGrid w:linePitch="299"/>
        </w:sectPr>
      </w:pPr>
    </w:p>
    <w:p w:rsidR="00DF1353" w:rsidRPr="00C20E8A" w:rsidRDefault="00DF1353" w:rsidP="00DF1353">
      <w:pPr>
        <w:pStyle w:val="Heading2"/>
      </w:pPr>
      <w:bookmarkStart w:id="8" w:name="_Toc81312711"/>
      <w:r w:rsidRPr="00C20E8A">
        <w:lastRenderedPageBreak/>
        <w:t>HEALTH INSURANCE</w:t>
      </w:r>
      <w:bookmarkEnd w:id="8"/>
    </w:p>
    <w:tbl>
      <w:tblPr>
        <w:tblStyle w:val="GridTable4-Accent1"/>
        <w:tblW w:w="0" w:type="auto"/>
        <w:jc w:val="center"/>
        <w:tblLook w:val="04A0" w:firstRow="1" w:lastRow="0" w:firstColumn="1" w:lastColumn="0" w:noHBand="0" w:noVBand="1"/>
      </w:tblPr>
      <w:tblGrid>
        <w:gridCol w:w="3235"/>
        <w:gridCol w:w="7673"/>
      </w:tblGrid>
      <w:tr w:rsidR="00DF1353" w:rsidTr="00B54033">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235" w:type="dxa"/>
          </w:tcPr>
          <w:p w:rsidR="00DF1353" w:rsidRPr="004A4540" w:rsidRDefault="00DF1353" w:rsidP="00B54033">
            <w:pPr>
              <w:spacing w:before="40" w:after="40"/>
              <w:rPr>
                <w:rFonts w:ascii="Arial" w:hAnsi="Arial" w:cs="Arial"/>
                <w:sz w:val="18"/>
                <w:szCs w:val="18"/>
              </w:rPr>
            </w:pPr>
            <w:r>
              <w:rPr>
                <w:rFonts w:ascii="Arial" w:hAnsi="Arial" w:cs="Arial"/>
                <w:sz w:val="18"/>
                <w:szCs w:val="18"/>
              </w:rPr>
              <w:t>Type/Provider</w:t>
            </w:r>
          </w:p>
        </w:tc>
        <w:tc>
          <w:tcPr>
            <w:tcW w:w="7673" w:type="dxa"/>
          </w:tcPr>
          <w:p w:rsidR="00DF1353" w:rsidRPr="004A4540"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Coverage Highlights</w:t>
            </w:r>
          </w:p>
        </w:tc>
      </w:tr>
      <w:tr w:rsidR="00DF1353" w:rsidTr="00B54033">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235" w:type="dxa"/>
          </w:tcPr>
          <w:p w:rsidR="00DF1353" w:rsidRPr="00AB6D48" w:rsidRDefault="00DF1353" w:rsidP="00B54033">
            <w:pPr>
              <w:spacing w:before="80" w:after="40"/>
              <w:rPr>
                <w:rFonts w:ascii="Arial" w:hAnsi="Arial" w:cs="Arial"/>
                <w:color w:val="323232"/>
                <w:sz w:val="20"/>
                <w:szCs w:val="20"/>
              </w:rPr>
            </w:pPr>
            <w:r w:rsidRPr="00AB6D48">
              <w:rPr>
                <w:rFonts w:ascii="Arial" w:hAnsi="Arial" w:cs="Arial"/>
                <w:color w:val="323232"/>
                <w:sz w:val="20"/>
                <w:szCs w:val="20"/>
              </w:rPr>
              <w:t>Health Insurance (PPO)</w:t>
            </w:r>
          </w:p>
          <w:p w:rsidR="00DF1353" w:rsidRPr="00AB6D48" w:rsidRDefault="00DF1353" w:rsidP="00B54033">
            <w:pPr>
              <w:spacing w:before="40" w:after="40"/>
              <w:rPr>
                <w:rFonts w:ascii="Arial" w:hAnsi="Arial" w:cs="Arial"/>
                <w:b w:val="0"/>
                <w:i/>
                <w:color w:val="323232"/>
                <w:sz w:val="20"/>
                <w:szCs w:val="20"/>
              </w:rPr>
            </w:pPr>
            <w:r w:rsidRPr="00AB6D48">
              <w:rPr>
                <w:rFonts w:ascii="Arial" w:hAnsi="Arial" w:cs="Arial"/>
                <w:b w:val="0"/>
                <w:i/>
                <w:color w:val="323232"/>
                <w:sz w:val="20"/>
                <w:szCs w:val="20"/>
              </w:rPr>
              <w:t>Self-Insured, administered by Blue Cross Blue Shield of Alabama</w:t>
            </w:r>
          </w:p>
        </w:tc>
        <w:tc>
          <w:tcPr>
            <w:tcW w:w="7673" w:type="dxa"/>
          </w:tcPr>
          <w:p w:rsidR="00DF1353" w:rsidRPr="00AB6D48" w:rsidRDefault="00DF1353" w:rsidP="00B54033">
            <w:pPr>
              <w:pStyle w:val="TableParagraph"/>
              <w:numPr>
                <w:ilvl w:val="0"/>
                <w:numId w:val="4"/>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The calendar year deductible is $500</w:t>
            </w:r>
            <w:r>
              <w:rPr>
                <w:rFonts w:ascii="Arial" w:hAnsi="Arial" w:cs="Arial"/>
                <w:sz w:val="20"/>
                <w:szCs w:val="20"/>
              </w:rPr>
              <w:t xml:space="preserve"> with</w:t>
            </w:r>
            <w:r w:rsidRPr="00AB6D48">
              <w:rPr>
                <w:rFonts w:ascii="Arial" w:hAnsi="Arial" w:cs="Arial"/>
                <w:sz w:val="20"/>
                <w:szCs w:val="20"/>
              </w:rPr>
              <w:t xml:space="preserve"> a maximum of three per family.</w:t>
            </w:r>
          </w:p>
          <w:p w:rsidR="00DF1353" w:rsidRPr="006B3F3A" w:rsidRDefault="00DF1353" w:rsidP="00B54033">
            <w:pPr>
              <w:pStyle w:val="TableParagraph"/>
              <w:numPr>
                <w:ilvl w:val="0"/>
                <w:numId w:val="4"/>
              </w:numPr>
              <w:spacing w:before="4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There is a $300 co-pay per occurrence for hospital in-patient charges, outpatient charges</w:t>
            </w:r>
            <w:r>
              <w:rPr>
                <w:rFonts w:ascii="Arial" w:hAnsi="Arial" w:cs="Arial"/>
                <w:sz w:val="20"/>
                <w:szCs w:val="20"/>
              </w:rPr>
              <w:t>,</w:t>
            </w:r>
            <w:r w:rsidRPr="00AB6D48">
              <w:rPr>
                <w:rFonts w:ascii="Arial" w:hAnsi="Arial" w:cs="Arial"/>
                <w:sz w:val="20"/>
                <w:szCs w:val="20"/>
              </w:rPr>
              <w:t xml:space="preserve"> and emergency room charges</w:t>
            </w:r>
            <w:r>
              <w:rPr>
                <w:rFonts w:ascii="Arial" w:hAnsi="Arial" w:cs="Arial"/>
                <w:sz w:val="20"/>
                <w:szCs w:val="20"/>
              </w:rPr>
              <w:t xml:space="preserve">, </w:t>
            </w:r>
            <w:r w:rsidRPr="006B3F3A">
              <w:rPr>
                <w:rFonts w:ascii="Arial" w:hAnsi="Arial" w:cs="Arial"/>
                <w:sz w:val="20"/>
                <w:szCs w:val="20"/>
              </w:rPr>
              <w:t>a $30 co-pay for a primary doctor and a $40 co-pay for a specialist.</w:t>
            </w:r>
          </w:p>
          <w:p w:rsidR="00DF1353" w:rsidRPr="00AB6D48" w:rsidRDefault="00DF1353" w:rsidP="00B54033">
            <w:pPr>
              <w:pStyle w:val="TableParagraph"/>
              <w:numPr>
                <w:ilvl w:val="0"/>
                <w:numId w:val="4"/>
              </w:numPr>
              <w:spacing w:before="4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Affordable Care Act (ACA) preventive visits are covered.</w:t>
            </w:r>
          </w:p>
          <w:p w:rsidR="00DF1353" w:rsidRPr="00AB6D48" w:rsidRDefault="00DF1353" w:rsidP="00B54033">
            <w:pPr>
              <w:pStyle w:val="TableParagraph"/>
              <w:numPr>
                <w:ilvl w:val="0"/>
                <w:numId w:val="4"/>
              </w:numPr>
              <w:spacing w:before="4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Prescription drugs purchased from a participating pharmacy and dispensed by a licensed pharmacist are covered in full after a $15 or $25 co-pay for generic drugs, a $55 co-pay for preferred brand drugs, an $85 co-pay for non-preferred drugs</w:t>
            </w:r>
            <w:r>
              <w:rPr>
                <w:rFonts w:ascii="Arial" w:hAnsi="Arial" w:cs="Arial"/>
                <w:sz w:val="20"/>
                <w:szCs w:val="20"/>
              </w:rPr>
              <w:t>,</w:t>
            </w:r>
            <w:r w:rsidRPr="00AB6D48">
              <w:rPr>
                <w:rFonts w:ascii="Arial" w:hAnsi="Arial" w:cs="Arial"/>
                <w:sz w:val="20"/>
                <w:szCs w:val="20"/>
              </w:rPr>
              <w:t xml:space="preserve"> and 25 percent coinsurance with an $800 maximum. (Additional co-pays are applicable at CVS/Target pharmacies)</w:t>
            </w:r>
          </w:p>
          <w:p w:rsidR="00DF1353" w:rsidRPr="00AB6D48" w:rsidRDefault="00DF1353" w:rsidP="00B54033">
            <w:pPr>
              <w:pStyle w:val="ListParagraph"/>
              <w:numPr>
                <w:ilvl w:val="0"/>
                <w:numId w:val="4"/>
              </w:numPr>
              <w:spacing w:before="40" w:after="8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color w:val="323232"/>
                <w:sz w:val="20"/>
                <w:szCs w:val="20"/>
              </w:rPr>
            </w:pPr>
            <w:r w:rsidRPr="00AB6D48">
              <w:rPr>
                <w:rFonts w:ascii="Arial" w:hAnsi="Arial" w:cs="Arial"/>
                <w:sz w:val="20"/>
                <w:szCs w:val="20"/>
              </w:rPr>
              <w:t>Tier I generic drugs are covered with no co-pay at the Auburn University Pharmaceutical Care Center (AUPCC) under the Tiger Meds Program.</w:t>
            </w:r>
          </w:p>
        </w:tc>
      </w:tr>
      <w:tr w:rsidR="00DF1353" w:rsidTr="00B54033">
        <w:trPr>
          <w:trHeight w:val="336"/>
          <w:jc w:val="center"/>
        </w:trPr>
        <w:tc>
          <w:tcPr>
            <w:cnfStyle w:val="001000000000" w:firstRow="0" w:lastRow="0" w:firstColumn="1" w:lastColumn="0" w:oddVBand="0" w:evenVBand="0" w:oddHBand="0" w:evenHBand="0" w:firstRowFirstColumn="0" w:firstRowLastColumn="0" w:lastRowFirstColumn="0" w:lastRowLastColumn="0"/>
            <w:tcW w:w="3235" w:type="dxa"/>
          </w:tcPr>
          <w:p w:rsidR="00DF1353" w:rsidRPr="00AB6D48" w:rsidRDefault="00DF1353" w:rsidP="00B54033">
            <w:pPr>
              <w:spacing w:before="80" w:after="40"/>
              <w:rPr>
                <w:rFonts w:ascii="Arial" w:hAnsi="Arial" w:cs="Arial"/>
                <w:color w:val="323232"/>
                <w:sz w:val="20"/>
                <w:szCs w:val="20"/>
              </w:rPr>
            </w:pPr>
            <w:r w:rsidRPr="00AB6D48">
              <w:rPr>
                <w:rFonts w:ascii="Arial" w:hAnsi="Arial" w:cs="Arial"/>
                <w:color w:val="323232"/>
                <w:sz w:val="20"/>
                <w:szCs w:val="20"/>
              </w:rPr>
              <w:t>Mental Health and Substance Abuse</w:t>
            </w:r>
          </w:p>
          <w:p w:rsidR="00DF1353" w:rsidRPr="00AB6D48" w:rsidRDefault="00DF1353" w:rsidP="00B54033">
            <w:pPr>
              <w:spacing w:before="40" w:after="80"/>
              <w:rPr>
                <w:rFonts w:ascii="Arial" w:hAnsi="Arial" w:cs="Arial"/>
                <w:color w:val="323232"/>
                <w:sz w:val="20"/>
                <w:szCs w:val="20"/>
              </w:rPr>
            </w:pPr>
            <w:r w:rsidRPr="00AB6D48">
              <w:rPr>
                <w:rFonts w:ascii="Arial" w:hAnsi="Arial" w:cs="Arial"/>
                <w:b w:val="0"/>
                <w:i/>
                <w:color w:val="323232"/>
                <w:sz w:val="20"/>
                <w:szCs w:val="20"/>
              </w:rPr>
              <w:t>American Behavioral</w:t>
            </w:r>
          </w:p>
        </w:tc>
        <w:tc>
          <w:tcPr>
            <w:tcW w:w="7673" w:type="dxa"/>
          </w:tcPr>
          <w:p w:rsidR="00DF1353" w:rsidRPr="00AB6D48" w:rsidRDefault="00DF1353" w:rsidP="00B54033">
            <w:pPr>
              <w:pStyle w:val="BodyText"/>
              <w:numPr>
                <w:ilvl w:val="0"/>
                <w:numId w:val="6"/>
              </w:numPr>
              <w:spacing w:before="80" w:after="40"/>
              <w:ind w:left="576"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The Employee Assistance Program (EAP) includes three free visits, whether or not the employee carries Auburn's health insurance. (During COVID-19, the number of free visits has increased to six.)</w:t>
            </w:r>
          </w:p>
          <w:p w:rsidR="00DF1353" w:rsidRPr="00AB6D48" w:rsidRDefault="00DF1353" w:rsidP="00B54033">
            <w:pPr>
              <w:pStyle w:val="BodyText"/>
              <w:numPr>
                <w:ilvl w:val="0"/>
                <w:numId w:val="6"/>
              </w:numPr>
              <w:spacing w:after="40"/>
              <w:ind w:left="576"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If the employee is enrolled in Auburn’s health insurance and if ongoing care is needed, treatment will continue and follow the schedule of benefits for mental health and substance abuse treatment.</w:t>
            </w:r>
          </w:p>
          <w:p w:rsidR="00DF1353" w:rsidRPr="00AB6D48" w:rsidRDefault="00DF1353" w:rsidP="00B54033">
            <w:pPr>
              <w:pStyle w:val="BodyText"/>
              <w:numPr>
                <w:ilvl w:val="0"/>
                <w:numId w:val="6"/>
              </w:numPr>
              <w:spacing w:after="80"/>
              <w:ind w:left="576"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Coverage is not elected separately and there is no additional premium.</w:t>
            </w:r>
          </w:p>
        </w:tc>
      </w:tr>
    </w:tbl>
    <w:p w:rsidR="00DF1353" w:rsidRPr="00AB6D48" w:rsidRDefault="00DF1353" w:rsidP="00DF1353">
      <w:pPr>
        <w:pStyle w:val="Heading2"/>
        <w:spacing w:before="400" w:after="80"/>
      </w:pPr>
      <w:bookmarkStart w:id="9" w:name="_Toc81312712"/>
      <w:r w:rsidRPr="00AB6D48">
        <w:t>HEALTH INSURANCE PREMIUM COSTS</w:t>
      </w:r>
      <w:bookmarkEnd w:id="9"/>
    </w:p>
    <w:p w:rsidR="00DF1353" w:rsidRPr="000439D4" w:rsidRDefault="00DF1353" w:rsidP="00DF1353">
      <w:pPr>
        <w:pStyle w:val="Heading3"/>
      </w:pPr>
      <w:bookmarkStart w:id="10" w:name="_Toc81312714"/>
      <w:r w:rsidRPr="000439D4">
        <w:t>Salary $40,799</w:t>
      </w:r>
      <w:bookmarkEnd w:id="10"/>
      <w:r>
        <w:t xml:space="preserve"> or below</w:t>
      </w:r>
    </w:p>
    <w:tbl>
      <w:tblPr>
        <w:tblStyle w:val="GridTable4-Accent1"/>
        <w:tblW w:w="10830" w:type="dxa"/>
        <w:jc w:val="center"/>
        <w:tblLook w:val="04A0" w:firstRow="1" w:lastRow="0" w:firstColumn="1" w:lastColumn="0" w:noHBand="0" w:noVBand="1"/>
      </w:tblPr>
      <w:tblGrid>
        <w:gridCol w:w="2166"/>
        <w:gridCol w:w="2166"/>
        <w:gridCol w:w="2166"/>
        <w:gridCol w:w="2166"/>
        <w:gridCol w:w="2166"/>
      </w:tblGrid>
      <w:tr w:rsidR="00DF1353" w:rsidTr="00B54033">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sz w:val="20"/>
                <w:szCs w:val="20"/>
              </w:rPr>
            </w:pPr>
            <w:r w:rsidRPr="00AB6D48">
              <w:rPr>
                <w:rFonts w:ascii="Arial" w:hAnsi="Arial" w:cs="Arial"/>
                <w:sz w:val="20"/>
                <w:szCs w:val="20"/>
              </w:rPr>
              <w:t>Pay Frequency</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Employee (EE)</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EE+Spouse</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EE+Children</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Family</w:t>
            </w:r>
          </w:p>
        </w:tc>
      </w:tr>
      <w:tr w:rsidR="00DF1353" w:rsidTr="00B54033">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b w:val="0"/>
                <w:i/>
                <w:color w:val="323232"/>
                <w:sz w:val="20"/>
                <w:szCs w:val="20"/>
              </w:rPr>
            </w:pPr>
            <w:r w:rsidRPr="00AB6D48">
              <w:rPr>
                <w:rFonts w:ascii="Arial" w:hAnsi="Arial" w:cs="Arial"/>
                <w:color w:val="323232"/>
                <w:sz w:val="20"/>
                <w:szCs w:val="20"/>
              </w:rPr>
              <w:t>Biweekly</w:t>
            </w:r>
          </w:p>
        </w:tc>
        <w:tc>
          <w:tcPr>
            <w:tcW w:w="2160" w:type="dxa"/>
          </w:tcPr>
          <w:p w:rsidR="00DF1353" w:rsidRPr="00AB6D48" w:rsidRDefault="00DF1353" w:rsidP="00B54033">
            <w:pPr>
              <w:spacing w:before="40" w:after="40"/>
              <w:ind w:right="360"/>
              <w:cnfStyle w:val="000000100000" w:firstRow="0" w:lastRow="0" w:firstColumn="0" w:lastColumn="0" w:oddVBand="0" w:evenVBand="0" w:oddHBand="1" w:evenHBand="0" w:firstRowFirstColumn="0" w:firstRowLastColumn="0" w:lastRowFirstColumn="0" w:lastRowLastColumn="0"/>
              <w:rPr>
                <w:rFonts w:ascii="Arial" w:hAnsi="Arial" w:cs="Arial"/>
                <w:color w:val="323232"/>
                <w:sz w:val="20"/>
                <w:szCs w:val="20"/>
              </w:rPr>
            </w:pPr>
            <w:r>
              <w:rPr>
                <w:rFonts w:ascii="Arial" w:hAnsi="Arial" w:cs="Arial"/>
                <w:color w:val="323232"/>
                <w:sz w:val="20"/>
                <w:szCs w:val="20"/>
              </w:rPr>
              <w:t>$80.29</w:t>
            </w:r>
          </w:p>
        </w:tc>
        <w:tc>
          <w:tcPr>
            <w:tcW w:w="2160"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$181.15</w:t>
            </w:r>
          </w:p>
        </w:tc>
        <w:tc>
          <w:tcPr>
            <w:tcW w:w="2160"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$152.56</w:t>
            </w:r>
          </w:p>
        </w:tc>
        <w:tc>
          <w:tcPr>
            <w:tcW w:w="2160"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$210.10</w:t>
            </w:r>
          </w:p>
        </w:tc>
      </w:tr>
      <w:tr w:rsidR="00DF1353" w:rsidTr="00B54033">
        <w:trPr>
          <w:trHeight w:val="336"/>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Monthly</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$173.96</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$392.51</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$330.54</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$455.21</w:t>
            </w:r>
          </w:p>
        </w:tc>
      </w:tr>
      <w:tr w:rsidR="00DF1353" w:rsidTr="00B5403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18-Pay</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$115.97</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$261.67</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$220.36</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$303.47</w:t>
            </w:r>
          </w:p>
        </w:tc>
      </w:tr>
    </w:tbl>
    <w:p w:rsidR="00DF1353" w:rsidRDefault="00DF1353" w:rsidP="00DF1353">
      <w:pPr>
        <w:pStyle w:val="Heading3"/>
        <w:tabs>
          <w:tab w:val="left" w:pos="978"/>
        </w:tabs>
        <w:spacing w:before="0" w:after="0"/>
      </w:pPr>
      <w:r>
        <w:tab/>
      </w:r>
    </w:p>
    <w:p w:rsidR="00DF1353" w:rsidRPr="000439D4" w:rsidRDefault="00DF1353" w:rsidP="00DF1353">
      <w:pPr>
        <w:pStyle w:val="Heading3"/>
        <w:spacing w:before="0"/>
      </w:pPr>
      <w:bookmarkStart w:id="11" w:name="_Toc81312715"/>
      <w:r w:rsidRPr="000439D4">
        <w:t xml:space="preserve">Salary $40,800 or </w:t>
      </w:r>
      <w:bookmarkEnd w:id="11"/>
      <w:r>
        <w:t>above</w:t>
      </w:r>
    </w:p>
    <w:tbl>
      <w:tblPr>
        <w:tblStyle w:val="GridTable4-Accent1"/>
        <w:tblW w:w="10830" w:type="dxa"/>
        <w:jc w:val="center"/>
        <w:tblLook w:val="04A0" w:firstRow="1" w:lastRow="0" w:firstColumn="1" w:lastColumn="0" w:noHBand="0" w:noVBand="1"/>
      </w:tblPr>
      <w:tblGrid>
        <w:gridCol w:w="2166"/>
        <w:gridCol w:w="2166"/>
        <w:gridCol w:w="2166"/>
        <w:gridCol w:w="2166"/>
        <w:gridCol w:w="2166"/>
      </w:tblGrid>
      <w:tr w:rsidR="00DF1353" w:rsidTr="00B54033">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66" w:type="dxa"/>
          </w:tcPr>
          <w:p w:rsidR="00DF1353" w:rsidRPr="00AB6D48" w:rsidRDefault="00DF1353" w:rsidP="00B54033">
            <w:pPr>
              <w:spacing w:before="40" w:after="40"/>
              <w:rPr>
                <w:rFonts w:ascii="Arial" w:hAnsi="Arial" w:cs="Arial"/>
                <w:sz w:val="20"/>
                <w:szCs w:val="20"/>
              </w:rPr>
            </w:pPr>
            <w:r w:rsidRPr="00AB6D48">
              <w:rPr>
                <w:rFonts w:ascii="Arial" w:hAnsi="Arial" w:cs="Arial"/>
                <w:sz w:val="20"/>
                <w:szCs w:val="20"/>
              </w:rPr>
              <w:t>Pay Frequency</w:t>
            </w:r>
          </w:p>
        </w:tc>
        <w:tc>
          <w:tcPr>
            <w:tcW w:w="2166"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Employee (EE)</w:t>
            </w:r>
          </w:p>
        </w:tc>
        <w:tc>
          <w:tcPr>
            <w:tcW w:w="2166"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EE+Spouse</w:t>
            </w:r>
          </w:p>
        </w:tc>
        <w:tc>
          <w:tcPr>
            <w:tcW w:w="2166"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EE+Children</w:t>
            </w:r>
          </w:p>
        </w:tc>
        <w:tc>
          <w:tcPr>
            <w:tcW w:w="2166"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Family</w:t>
            </w:r>
          </w:p>
        </w:tc>
      </w:tr>
      <w:tr w:rsidR="00DF1353" w:rsidTr="00B54033">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166" w:type="dxa"/>
          </w:tcPr>
          <w:p w:rsidR="00DF1353" w:rsidRPr="00AB6D48" w:rsidRDefault="00DF1353" w:rsidP="00B54033">
            <w:pPr>
              <w:spacing w:before="40" w:after="40"/>
              <w:rPr>
                <w:rFonts w:ascii="Arial" w:hAnsi="Arial" w:cs="Arial"/>
                <w:b w:val="0"/>
                <w:i/>
                <w:color w:val="323232"/>
                <w:sz w:val="20"/>
                <w:szCs w:val="20"/>
              </w:rPr>
            </w:pPr>
            <w:r w:rsidRPr="00AB6D48">
              <w:rPr>
                <w:rFonts w:ascii="Arial" w:hAnsi="Arial" w:cs="Arial"/>
                <w:color w:val="323232"/>
                <w:sz w:val="20"/>
                <w:szCs w:val="20"/>
              </w:rPr>
              <w:t>Biweekly</w:t>
            </w:r>
          </w:p>
        </w:tc>
        <w:tc>
          <w:tcPr>
            <w:tcW w:w="2166" w:type="dxa"/>
          </w:tcPr>
          <w:p w:rsidR="00DF1353" w:rsidRPr="00AB6D48" w:rsidRDefault="00DF1353" w:rsidP="00B54033">
            <w:pPr>
              <w:spacing w:before="40" w:after="40"/>
              <w:ind w:right="360"/>
              <w:cnfStyle w:val="000000100000" w:firstRow="0" w:lastRow="0" w:firstColumn="0" w:lastColumn="0" w:oddVBand="0" w:evenVBand="0" w:oddHBand="1" w:evenHBand="0" w:firstRowFirstColumn="0" w:firstRowLastColumn="0" w:lastRowFirstColumn="0" w:lastRowLastColumn="0"/>
              <w:rPr>
                <w:rFonts w:ascii="Arial" w:hAnsi="Arial" w:cs="Arial"/>
                <w:color w:val="323232"/>
                <w:sz w:val="20"/>
                <w:szCs w:val="20"/>
              </w:rPr>
            </w:pPr>
            <w:r>
              <w:rPr>
                <w:rFonts w:ascii="Arial" w:hAnsi="Arial" w:cs="Arial"/>
                <w:color w:val="323232"/>
                <w:sz w:val="20"/>
                <w:szCs w:val="20"/>
              </w:rPr>
              <w:t>$107.06</w:t>
            </w:r>
          </w:p>
        </w:tc>
        <w:tc>
          <w:tcPr>
            <w:tcW w:w="2166"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$241.55</w:t>
            </w:r>
          </w:p>
        </w:tc>
        <w:tc>
          <w:tcPr>
            <w:tcW w:w="2166"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$203.41</w:t>
            </w:r>
          </w:p>
        </w:tc>
        <w:tc>
          <w:tcPr>
            <w:tcW w:w="2166"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$280.11</w:t>
            </w:r>
          </w:p>
        </w:tc>
      </w:tr>
      <w:tr w:rsidR="00DF1353" w:rsidTr="00B54033">
        <w:trPr>
          <w:trHeight w:val="336"/>
          <w:jc w:val="center"/>
        </w:trPr>
        <w:tc>
          <w:tcPr>
            <w:cnfStyle w:val="001000000000" w:firstRow="0" w:lastRow="0" w:firstColumn="1" w:lastColumn="0" w:oddVBand="0" w:evenVBand="0" w:oddHBand="0" w:evenHBand="0" w:firstRowFirstColumn="0" w:firstRowLastColumn="0" w:lastRowFirstColumn="0" w:lastRowLastColumn="0"/>
            <w:tcW w:w="2166"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Monthly</w:t>
            </w:r>
          </w:p>
        </w:tc>
        <w:tc>
          <w:tcPr>
            <w:tcW w:w="2166"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$231.96</w:t>
            </w:r>
          </w:p>
        </w:tc>
        <w:tc>
          <w:tcPr>
            <w:tcW w:w="2166"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$523.34</w:t>
            </w:r>
          </w:p>
        </w:tc>
        <w:tc>
          <w:tcPr>
            <w:tcW w:w="2166"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$440.71</w:t>
            </w:r>
          </w:p>
        </w:tc>
        <w:tc>
          <w:tcPr>
            <w:tcW w:w="2166"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$606.92</w:t>
            </w:r>
          </w:p>
        </w:tc>
      </w:tr>
      <w:tr w:rsidR="00DF1353" w:rsidTr="00B5403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66"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18-Pay</w:t>
            </w:r>
          </w:p>
        </w:tc>
        <w:tc>
          <w:tcPr>
            <w:tcW w:w="2166"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$154.64</w:t>
            </w:r>
          </w:p>
        </w:tc>
        <w:tc>
          <w:tcPr>
            <w:tcW w:w="2166"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$348.89</w:t>
            </w:r>
          </w:p>
        </w:tc>
        <w:tc>
          <w:tcPr>
            <w:tcW w:w="2166"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$293.81</w:t>
            </w:r>
          </w:p>
        </w:tc>
        <w:tc>
          <w:tcPr>
            <w:tcW w:w="2166"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$404.61</w:t>
            </w:r>
          </w:p>
        </w:tc>
      </w:tr>
    </w:tbl>
    <w:p w:rsidR="00DF1353" w:rsidRPr="006B3F3A" w:rsidRDefault="00DF1353" w:rsidP="00DF1353">
      <w:pPr>
        <w:pStyle w:val="BodyText"/>
        <w:spacing w:before="80"/>
        <w:ind w:left="7920" w:firstLine="720"/>
        <w:rPr>
          <w:rFonts w:ascii="Arial" w:hAnsi="Arial" w:cs="Arial"/>
          <w:i/>
          <w:sz w:val="16"/>
          <w:szCs w:val="16"/>
        </w:rPr>
      </w:pPr>
      <w:r w:rsidRPr="006B3F3A">
        <w:rPr>
          <w:rFonts w:ascii="Arial" w:hAnsi="Arial" w:cs="Arial"/>
          <w:i/>
          <w:sz w:val="16"/>
          <w:szCs w:val="16"/>
        </w:rPr>
        <w:t>-Employee premiums are pre-tax.</w:t>
      </w:r>
    </w:p>
    <w:p w:rsidR="00DF1353" w:rsidRDefault="00DF1353" w:rsidP="00DF1353">
      <w:pPr>
        <w:pStyle w:val="BodyText"/>
        <w:spacing w:before="80"/>
        <w:ind w:left="7920" w:firstLine="720"/>
        <w:rPr>
          <w:rFonts w:ascii="Arial" w:hAnsi="Arial" w:cs="Arial"/>
          <w:i/>
        </w:rPr>
      </w:pPr>
    </w:p>
    <w:p w:rsidR="00DF1353" w:rsidRDefault="00DF1353" w:rsidP="00E46F89">
      <w:pPr>
        <w:widowControl/>
        <w:shd w:val="clear" w:color="auto" w:fill="FFFFFF"/>
        <w:autoSpaceDE/>
        <w:autoSpaceDN/>
        <w:spacing w:after="80"/>
        <w:ind w:right="504"/>
        <w:jc w:val="center"/>
        <w:rPr>
          <w:rFonts w:ascii="Arial" w:eastAsia="Times New Roman" w:hAnsi="Arial" w:cs="Arial"/>
          <w:b/>
          <w:bCs/>
          <w:sz w:val="28"/>
          <w:szCs w:val="28"/>
        </w:rPr>
      </w:pPr>
      <w:r>
        <w:rPr>
          <w:rFonts w:ascii="Arial" w:eastAsia="Times New Roman" w:hAnsi="Arial" w:cs="Arial"/>
          <w:b/>
          <w:bCs/>
          <w:sz w:val="28"/>
          <w:szCs w:val="28"/>
        </w:rPr>
        <w:t>HEALTHY TIGERS</w:t>
      </w:r>
    </w:p>
    <w:p w:rsidR="00FB7729" w:rsidRDefault="00DF1353" w:rsidP="00DF1353">
      <w:pPr>
        <w:shd w:val="clear" w:color="auto" w:fill="FFFFFF"/>
        <w:ind w:left="504" w:right="504"/>
        <w:rPr>
          <w:rFonts w:ascii="Arial" w:hAnsi="Arial" w:cs="Arial"/>
          <w:color w:val="000000"/>
          <w:sz w:val="20"/>
          <w:szCs w:val="20"/>
          <w:shd w:val="clear" w:color="auto" w:fill="FFFFFF"/>
        </w:rPr>
      </w:pPr>
      <w:r w:rsidRPr="006B3F3A">
        <w:rPr>
          <w:rFonts w:ascii="Arial" w:hAnsi="Arial" w:cs="Arial"/>
          <w:color w:val="000000"/>
          <w:sz w:val="20"/>
          <w:szCs w:val="20"/>
        </w:rPr>
        <w:t xml:space="preserve">You can receive </w:t>
      </w:r>
      <w:r>
        <w:rPr>
          <w:rFonts w:ascii="Arial" w:hAnsi="Arial" w:cs="Arial"/>
          <w:color w:val="000000"/>
          <w:sz w:val="20"/>
          <w:szCs w:val="20"/>
        </w:rPr>
        <w:t>an</w:t>
      </w:r>
      <w:r w:rsidRPr="006B3F3A">
        <w:rPr>
          <w:rFonts w:ascii="Arial" w:hAnsi="Arial" w:cs="Arial"/>
          <w:color w:val="000000"/>
          <w:sz w:val="20"/>
          <w:szCs w:val="20"/>
        </w:rPr>
        <w:t xml:space="preserve"> annual discount of up to $600 if you and your spouse/sponsored adult dependent participate in the </w:t>
      </w:r>
      <w:r>
        <w:rPr>
          <w:rFonts w:ascii="Arial" w:hAnsi="Arial" w:cs="Arial"/>
          <w:color w:val="000000"/>
          <w:sz w:val="20"/>
          <w:szCs w:val="20"/>
        </w:rPr>
        <w:t>voluntary Healthy Tigers health and wellness</w:t>
      </w:r>
      <w:r w:rsidRPr="006B3F3A">
        <w:rPr>
          <w:rFonts w:ascii="Arial" w:hAnsi="Arial" w:cs="Arial"/>
          <w:color w:val="000000"/>
          <w:sz w:val="20"/>
          <w:szCs w:val="20"/>
        </w:rPr>
        <w:t xml:space="preserve"> screening program and complete all program requirements ($300 for the employee and $300 for the spouse/sponsored adult dependent). </w:t>
      </w:r>
      <w:r w:rsidRPr="006B3F3A">
        <w:rPr>
          <w:rFonts w:ascii="Arial" w:hAnsi="Arial" w:cs="Arial"/>
          <w:color w:val="000000"/>
          <w:sz w:val="20"/>
          <w:szCs w:val="20"/>
          <w:shd w:val="clear" w:color="auto" w:fill="FFFFFF"/>
        </w:rPr>
        <w:t xml:space="preserve">Visit </w:t>
      </w:r>
      <w:hyperlink r:id="rId13" w:tgtFrame="_blank" w:history="1">
        <w:r w:rsidRPr="006B3F3A">
          <w:rPr>
            <w:rStyle w:val="Hyperlink"/>
            <w:rFonts w:ascii="Arial" w:hAnsi="Arial" w:cs="Arial"/>
            <w:color w:val="000000"/>
            <w:sz w:val="20"/>
            <w:szCs w:val="20"/>
            <w:shd w:val="clear" w:color="auto" w:fill="FFFFFF"/>
          </w:rPr>
          <w:t>auburn.edu/healthytigers</w:t>
        </w:r>
      </w:hyperlink>
      <w:r w:rsidRPr="006B3F3A">
        <w:rPr>
          <w:rFonts w:ascii="Arial" w:hAnsi="Arial" w:cs="Arial"/>
          <w:color w:val="000000"/>
          <w:sz w:val="20"/>
          <w:szCs w:val="20"/>
          <w:shd w:val="clear" w:color="auto" w:fill="FFFFFF"/>
        </w:rPr>
        <w:t xml:space="preserve"> or call the Auburn University Pharmaceutical Care Center (AUPCC) at 334-844-4099 to learn more about this benefit.</w:t>
      </w:r>
    </w:p>
    <w:p w:rsidR="00FB7729" w:rsidRDefault="00FB7729">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p>
    <w:p w:rsidR="00DF1353" w:rsidRPr="000439D4" w:rsidRDefault="00DF1353" w:rsidP="00DF1353">
      <w:pPr>
        <w:pStyle w:val="Heading2"/>
      </w:pPr>
      <w:bookmarkStart w:id="12" w:name="_Toc81312716"/>
      <w:bookmarkStart w:id="13" w:name="_Toc81312721"/>
      <w:r>
        <w:lastRenderedPageBreak/>
        <w:t>DENTAL &amp; VISION INSURANCES</w:t>
      </w:r>
      <w:bookmarkEnd w:id="12"/>
    </w:p>
    <w:tbl>
      <w:tblPr>
        <w:tblStyle w:val="GridTable4-Accent1"/>
        <w:tblW w:w="0" w:type="auto"/>
        <w:jc w:val="center"/>
        <w:tblLook w:val="04A0" w:firstRow="1" w:lastRow="0" w:firstColumn="1" w:lastColumn="0" w:noHBand="0" w:noVBand="1"/>
      </w:tblPr>
      <w:tblGrid>
        <w:gridCol w:w="3374"/>
        <w:gridCol w:w="7534"/>
      </w:tblGrid>
      <w:tr w:rsidR="00DF1353" w:rsidTr="000831DE">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374" w:type="dxa"/>
          </w:tcPr>
          <w:p w:rsidR="00DF1353" w:rsidRPr="00AB6D48" w:rsidRDefault="00DF1353" w:rsidP="00B54033">
            <w:pPr>
              <w:spacing w:before="40" w:after="40"/>
              <w:rPr>
                <w:rFonts w:ascii="Arial" w:hAnsi="Arial" w:cs="Arial"/>
                <w:sz w:val="20"/>
                <w:szCs w:val="20"/>
              </w:rPr>
            </w:pPr>
            <w:r w:rsidRPr="00AB6D48">
              <w:rPr>
                <w:rFonts w:ascii="Arial" w:hAnsi="Arial" w:cs="Arial"/>
                <w:sz w:val="20"/>
                <w:szCs w:val="20"/>
              </w:rPr>
              <w:t>Type/Provider</w:t>
            </w:r>
          </w:p>
        </w:tc>
        <w:tc>
          <w:tcPr>
            <w:tcW w:w="7534"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Coverage Highlights</w:t>
            </w:r>
          </w:p>
        </w:tc>
      </w:tr>
      <w:tr w:rsidR="00DF1353" w:rsidTr="000831D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374" w:type="dxa"/>
          </w:tcPr>
          <w:p w:rsidR="00DF1353" w:rsidRPr="00AB6D48" w:rsidRDefault="00DF1353" w:rsidP="00B54033">
            <w:pPr>
              <w:spacing w:before="80" w:after="40"/>
              <w:rPr>
                <w:rFonts w:ascii="Arial" w:hAnsi="Arial" w:cs="Arial"/>
                <w:color w:val="323232"/>
                <w:sz w:val="20"/>
                <w:szCs w:val="20"/>
              </w:rPr>
            </w:pPr>
            <w:r w:rsidRPr="00AB6D48">
              <w:rPr>
                <w:rFonts w:ascii="Arial" w:hAnsi="Arial" w:cs="Arial"/>
                <w:color w:val="323232"/>
                <w:sz w:val="20"/>
                <w:szCs w:val="20"/>
              </w:rPr>
              <w:t>Dental</w:t>
            </w:r>
          </w:p>
          <w:p w:rsidR="00DF1353" w:rsidRPr="00AB6D48" w:rsidRDefault="00DF1353" w:rsidP="00B54033">
            <w:pPr>
              <w:spacing w:before="40" w:after="40"/>
              <w:rPr>
                <w:rFonts w:ascii="Arial" w:hAnsi="Arial" w:cs="Arial"/>
                <w:b w:val="0"/>
                <w:i/>
                <w:color w:val="323232"/>
                <w:sz w:val="20"/>
                <w:szCs w:val="20"/>
              </w:rPr>
            </w:pPr>
            <w:r w:rsidRPr="00AB6D48">
              <w:rPr>
                <w:rFonts w:ascii="Arial" w:hAnsi="Arial" w:cs="Arial"/>
                <w:b w:val="0"/>
                <w:i/>
                <w:color w:val="323232"/>
                <w:sz w:val="20"/>
                <w:szCs w:val="20"/>
              </w:rPr>
              <w:t xml:space="preserve">Self-Insured, administered by Blue Cross Blue Shield of Alabama </w:t>
            </w:r>
          </w:p>
        </w:tc>
        <w:tc>
          <w:tcPr>
            <w:tcW w:w="7534" w:type="dxa"/>
          </w:tcPr>
          <w:p w:rsidR="00DF1353" w:rsidRPr="00AB6D48" w:rsidRDefault="00DF1353" w:rsidP="00B54033">
            <w:pPr>
              <w:pStyle w:val="ListParagraph"/>
              <w:numPr>
                <w:ilvl w:val="0"/>
                <w:numId w:val="4"/>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There are two plan options: </w:t>
            </w:r>
            <w:r w:rsidRPr="00AB6D48">
              <w:rPr>
                <w:rFonts w:ascii="Arial" w:hAnsi="Arial" w:cs="Arial"/>
                <w:b/>
                <w:sz w:val="20"/>
                <w:szCs w:val="20"/>
              </w:rPr>
              <w:t>Basic</w:t>
            </w:r>
            <w:r w:rsidRPr="00AB6D48">
              <w:rPr>
                <w:rFonts w:ascii="Arial" w:hAnsi="Arial" w:cs="Arial"/>
                <w:sz w:val="20"/>
                <w:szCs w:val="20"/>
              </w:rPr>
              <w:t xml:space="preserve"> and </w:t>
            </w:r>
            <w:r w:rsidRPr="00AB6D48">
              <w:rPr>
                <w:rFonts w:ascii="Arial" w:hAnsi="Arial" w:cs="Arial"/>
                <w:b/>
                <w:sz w:val="20"/>
                <w:szCs w:val="20"/>
              </w:rPr>
              <w:t>Expanded</w:t>
            </w:r>
            <w:r w:rsidRPr="00AB6D48">
              <w:rPr>
                <w:rFonts w:ascii="Arial" w:hAnsi="Arial" w:cs="Arial"/>
                <w:sz w:val="20"/>
                <w:szCs w:val="20"/>
              </w:rPr>
              <w:t>.</w:t>
            </w:r>
          </w:p>
          <w:p w:rsidR="00DF1353" w:rsidRPr="00AB6D48" w:rsidRDefault="00DF1353" w:rsidP="00B54033">
            <w:pPr>
              <w:pStyle w:val="BodyText"/>
              <w:numPr>
                <w:ilvl w:val="0"/>
                <w:numId w:val="4"/>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The </w:t>
            </w:r>
            <w:r w:rsidRPr="00AB6D48">
              <w:rPr>
                <w:rFonts w:ascii="Arial" w:hAnsi="Arial" w:cs="Arial"/>
                <w:b/>
                <w:bCs/>
                <w:sz w:val="20"/>
                <w:szCs w:val="20"/>
              </w:rPr>
              <w:t xml:space="preserve">Basic Plan </w:t>
            </w:r>
            <w:r w:rsidRPr="00AB6D48">
              <w:rPr>
                <w:rFonts w:ascii="Arial" w:hAnsi="Arial" w:cs="Arial"/>
                <w:sz w:val="20"/>
                <w:szCs w:val="20"/>
              </w:rPr>
              <w:t xml:space="preserve">only covers preventative dental work at 100 percent. There is no deductible and no calendar year maximum. </w:t>
            </w:r>
          </w:p>
          <w:p w:rsidR="00DF1353" w:rsidRDefault="00DF1353" w:rsidP="00B54033">
            <w:pPr>
              <w:pStyle w:val="BodyText"/>
              <w:numPr>
                <w:ilvl w:val="0"/>
                <w:numId w:val="4"/>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3F3A">
              <w:rPr>
                <w:rFonts w:ascii="Arial" w:hAnsi="Arial" w:cs="Arial"/>
                <w:sz w:val="20"/>
                <w:szCs w:val="20"/>
              </w:rPr>
              <w:t xml:space="preserve">The </w:t>
            </w:r>
            <w:r w:rsidRPr="006B3F3A">
              <w:rPr>
                <w:rFonts w:ascii="Arial" w:hAnsi="Arial" w:cs="Arial"/>
                <w:b/>
                <w:bCs/>
                <w:sz w:val="20"/>
                <w:szCs w:val="20"/>
              </w:rPr>
              <w:t xml:space="preserve">Expanded Plan </w:t>
            </w:r>
            <w:r w:rsidRPr="006B3F3A">
              <w:rPr>
                <w:rFonts w:ascii="Arial" w:hAnsi="Arial" w:cs="Arial"/>
                <w:sz w:val="20"/>
                <w:szCs w:val="20"/>
              </w:rPr>
              <w:t xml:space="preserve">covers preventative dental work at 100 percent, and restorative, supplemental, and prosthetic services at 80 percent. There is a $25 deductible per member, with a maximum of three per family. Coverage per insured per calendar year is $1,000. </w:t>
            </w:r>
          </w:p>
          <w:p w:rsidR="00DF1353" w:rsidRPr="00AB6D48" w:rsidRDefault="00DF1353" w:rsidP="00B54033">
            <w:pPr>
              <w:pStyle w:val="BodyText"/>
              <w:numPr>
                <w:ilvl w:val="0"/>
                <w:numId w:val="4"/>
              </w:numPr>
              <w:spacing w:before="80" w:after="8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Enrollment in either plan must be maintained for at least two consecutive years.</w:t>
            </w:r>
          </w:p>
        </w:tc>
      </w:tr>
      <w:tr w:rsidR="00DF1353" w:rsidTr="000831DE">
        <w:trPr>
          <w:trHeight w:val="336"/>
          <w:jc w:val="center"/>
        </w:trPr>
        <w:tc>
          <w:tcPr>
            <w:cnfStyle w:val="001000000000" w:firstRow="0" w:lastRow="0" w:firstColumn="1" w:lastColumn="0" w:oddVBand="0" w:evenVBand="0" w:oddHBand="0" w:evenHBand="0" w:firstRowFirstColumn="0" w:firstRowLastColumn="0" w:lastRowFirstColumn="0" w:lastRowLastColumn="0"/>
            <w:tcW w:w="3374" w:type="dxa"/>
          </w:tcPr>
          <w:p w:rsidR="00DF1353" w:rsidRPr="00AB6D48" w:rsidRDefault="00DF1353" w:rsidP="00B54033">
            <w:pPr>
              <w:spacing w:before="80" w:after="40"/>
              <w:rPr>
                <w:rFonts w:ascii="Arial" w:hAnsi="Arial" w:cs="Arial"/>
                <w:color w:val="323232"/>
                <w:sz w:val="20"/>
                <w:szCs w:val="20"/>
              </w:rPr>
            </w:pPr>
            <w:r w:rsidRPr="00AB6D48">
              <w:rPr>
                <w:rFonts w:ascii="Arial" w:hAnsi="Arial" w:cs="Arial"/>
                <w:color w:val="323232"/>
                <w:sz w:val="20"/>
                <w:szCs w:val="20"/>
              </w:rPr>
              <w:t>Vision</w:t>
            </w:r>
          </w:p>
          <w:p w:rsidR="00DF1353" w:rsidRPr="00AB6D48" w:rsidRDefault="00DF1353" w:rsidP="00B54033">
            <w:pPr>
              <w:spacing w:before="40" w:after="80"/>
              <w:rPr>
                <w:rFonts w:ascii="Arial" w:hAnsi="Arial" w:cs="Arial"/>
                <w:color w:val="323232"/>
                <w:sz w:val="20"/>
                <w:szCs w:val="20"/>
              </w:rPr>
            </w:pPr>
            <w:r w:rsidRPr="00AB6D48">
              <w:rPr>
                <w:rFonts w:ascii="Arial" w:hAnsi="Arial" w:cs="Arial"/>
                <w:b w:val="0"/>
                <w:i/>
                <w:color w:val="323232"/>
                <w:sz w:val="20"/>
                <w:szCs w:val="20"/>
              </w:rPr>
              <w:t>Superior Vision</w:t>
            </w:r>
          </w:p>
        </w:tc>
        <w:tc>
          <w:tcPr>
            <w:tcW w:w="7534" w:type="dxa"/>
          </w:tcPr>
          <w:p w:rsidR="00DF1353" w:rsidRPr="00AB6D48" w:rsidRDefault="00DF1353" w:rsidP="00B54033">
            <w:pPr>
              <w:pStyle w:val="BodyText"/>
              <w:numPr>
                <w:ilvl w:val="0"/>
                <w:numId w:val="4"/>
              </w:numPr>
              <w:spacing w:before="80" w:after="4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The plan offers individual or family coverage and includes a comprehensive vision exam and eyeglasses (lenses and frames) or contacts in lieu of eyeglasses. </w:t>
            </w:r>
          </w:p>
          <w:p w:rsidR="00DF1353" w:rsidRPr="00AB6D48" w:rsidRDefault="00DF1353" w:rsidP="00B54033">
            <w:pPr>
              <w:pStyle w:val="BodyText"/>
              <w:numPr>
                <w:ilvl w:val="0"/>
                <w:numId w:val="4"/>
              </w:numPr>
              <w:spacing w:before="80" w:after="4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There is a $10 eye exam copay, a $20 materials copay, and a $20 contact lens fitting exam co-pay. </w:t>
            </w:r>
          </w:p>
          <w:p w:rsidR="00DF1353" w:rsidRPr="00AB6D48" w:rsidRDefault="00DF1353" w:rsidP="00B54033">
            <w:pPr>
              <w:pStyle w:val="BodyText"/>
              <w:numPr>
                <w:ilvl w:val="0"/>
                <w:numId w:val="4"/>
              </w:numPr>
              <w:spacing w:before="80" w:after="80"/>
              <w:ind w:left="576" w:right="360" w:hanging="216"/>
              <w:cnfStyle w:val="000000000000" w:firstRow="0" w:lastRow="0" w:firstColumn="0" w:lastColumn="0" w:oddVBand="0" w:evenVBand="0" w:oddHBand="0" w:evenHBand="0" w:firstRowFirstColumn="0" w:firstRowLastColumn="0" w:lastRowFirstColumn="0" w:lastRowLastColumn="0"/>
              <w:rPr>
                <w:rFonts w:ascii="Oxygen" w:hAnsi="Oxygen"/>
                <w:sz w:val="20"/>
                <w:szCs w:val="20"/>
              </w:rPr>
            </w:pPr>
            <w:r w:rsidRPr="00AB6D48">
              <w:rPr>
                <w:rFonts w:ascii="Arial" w:hAnsi="Arial" w:cs="Arial"/>
                <w:sz w:val="20"/>
                <w:szCs w:val="20"/>
              </w:rPr>
              <w:t>Material discounts are offered on additional purchases.</w:t>
            </w:r>
          </w:p>
        </w:tc>
      </w:tr>
    </w:tbl>
    <w:p w:rsidR="00DF1353" w:rsidRDefault="00DF1353" w:rsidP="00DF1353">
      <w:pPr>
        <w:pStyle w:val="BodyText"/>
        <w:rPr>
          <w:w w:val="90"/>
        </w:rPr>
      </w:pPr>
    </w:p>
    <w:p w:rsidR="00DF1353" w:rsidRPr="006B3F3A" w:rsidRDefault="00DF1353" w:rsidP="00DF1353">
      <w:pPr>
        <w:pStyle w:val="BodyText"/>
        <w:spacing w:before="80" w:after="40"/>
        <w:ind w:left="504" w:right="504"/>
        <w:rPr>
          <w:rFonts w:ascii="Arial" w:hAnsi="Arial" w:cs="Arial"/>
          <w:sz w:val="20"/>
          <w:szCs w:val="20"/>
        </w:rPr>
      </w:pPr>
      <w:r w:rsidRPr="00AC0038">
        <w:rPr>
          <w:rFonts w:ascii="Arial" w:hAnsi="Arial" w:cs="Arial"/>
          <w:b/>
          <w:sz w:val="20"/>
          <w:szCs w:val="20"/>
        </w:rPr>
        <w:t>New for 2022</w:t>
      </w:r>
      <w:r>
        <w:rPr>
          <w:rFonts w:ascii="Arial" w:hAnsi="Arial" w:cs="Arial"/>
          <w:sz w:val="20"/>
          <w:szCs w:val="20"/>
        </w:rPr>
        <w:t xml:space="preserve">: The Access Plus Dental network will provide access to dental providers </w:t>
      </w:r>
      <w:r w:rsidRPr="00AC0038">
        <w:rPr>
          <w:rFonts w:ascii="Arial" w:hAnsi="Arial" w:cs="Arial"/>
          <w:b/>
          <w:sz w:val="20"/>
          <w:szCs w:val="20"/>
        </w:rPr>
        <w:t>throughout the United States</w:t>
      </w:r>
      <w:r>
        <w:rPr>
          <w:rFonts w:ascii="Arial" w:hAnsi="Arial" w:cs="Arial"/>
          <w:sz w:val="20"/>
          <w:szCs w:val="20"/>
        </w:rPr>
        <w:t xml:space="preserve">. This network is designed to promote quality and cost-effective dental care. </w:t>
      </w:r>
    </w:p>
    <w:p w:rsidR="00DF1353" w:rsidRPr="00B014B3" w:rsidRDefault="00DF1353" w:rsidP="00DF1353">
      <w:pPr>
        <w:pStyle w:val="Heading2"/>
        <w:spacing w:before="400" w:after="80"/>
      </w:pPr>
      <w:bookmarkStart w:id="14" w:name="_Toc81312717"/>
      <w:r w:rsidRPr="00B014B3">
        <w:t>DENTAL &amp; VISION INSURANCE PREMIUM COSTS</w:t>
      </w:r>
      <w:bookmarkEnd w:id="14"/>
    </w:p>
    <w:p w:rsidR="00DF1353" w:rsidRPr="00B014B3" w:rsidRDefault="00DF1353" w:rsidP="00DF1353">
      <w:pPr>
        <w:pStyle w:val="Heading3"/>
      </w:pPr>
      <w:bookmarkStart w:id="15" w:name="_Toc81312718"/>
      <w:r w:rsidRPr="00B014B3">
        <w:t>Dental (Basic)</w:t>
      </w:r>
      <w:bookmarkEnd w:id="15"/>
    </w:p>
    <w:tbl>
      <w:tblPr>
        <w:tblStyle w:val="GridTable4-Accent1"/>
        <w:tblW w:w="10830" w:type="dxa"/>
        <w:jc w:val="center"/>
        <w:tblLook w:val="04A0" w:firstRow="1" w:lastRow="0" w:firstColumn="1" w:lastColumn="0" w:noHBand="0" w:noVBand="1"/>
      </w:tblPr>
      <w:tblGrid>
        <w:gridCol w:w="2166"/>
        <w:gridCol w:w="2166"/>
        <w:gridCol w:w="2166"/>
        <w:gridCol w:w="2166"/>
        <w:gridCol w:w="2166"/>
      </w:tblGrid>
      <w:tr w:rsidR="00DF1353" w:rsidTr="000831DE">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sz w:val="20"/>
                <w:szCs w:val="20"/>
              </w:rPr>
            </w:pPr>
            <w:r w:rsidRPr="00AB6D48">
              <w:rPr>
                <w:rFonts w:ascii="Arial" w:hAnsi="Arial" w:cs="Arial"/>
                <w:sz w:val="20"/>
                <w:szCs w:val="20"/>
              </w:rPr>
              <w:t>Pay Frequency</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Employee (EE)</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EE+Spouse</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EE+Children</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Family</w:t>
            </w:r>
          </w:p>
        </w:tc>
      </w:tr>
      <w:tr w:rsidR="00DF1353" w:rsidTr="000831D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b w:val="0"/>
                <w:i/>
                <w:color w:val="323232"/>
                <w:sz w:val="20"/>
                <w:szCs w:val="20"/>
              </w:rPr>
            </w:pPr>
            <w:r w:rsidRPr="00AB6D48">
              <w:rPr>
                <w:rFonts w:ascii="Arial" w:hAnsi="Arial" w:cs="Arial"/>
                <w:color w:val="323232"/>
                <w:sz w:val="20"/>
                <w:szCs w:val="20"/>
              </w:rPr>
              <w:t>Biweekly</w:t>
            </w:r>
          </w:p>
        </w:tc>
        <w:tc>
          <w:tcPr>
            <w:tcW w:w="2160" w:type="dxa"/>
          </w:tcPr>
          <w:p w:rsidR="00DF1353" w:rsidRPr="00AB6D48" w:rsidRDefault="00DF1353" w:rsidP="00B54033">
            <w:pPr>
              <w:spacing w:before="40" w:after="40"/>
              <w:ind w:right="360"/>
              <w:cnfStyle w:val="000000100000" w:firstRow="0" w:lastRow="0" w:firstColumn="0" w:lastColumn="0" w:oddVBand="0" w:evenVBand="0" w:oddHBand="1" w:evenHBand="0" w:firstRowFirstColumn="0" w:firstRowLastColumn="0" w:lastRowFirstColumn="0" w:lastRowLastColumn="0"/>
              <w:rPr>
                <w:rFonts w:ascii="Arial" w:hAnsi="Arial" w:cs="Arial"/>
                <w:color w:val="323232"/>
                <w:sz w:val="20"/>
                <w:szCs w:val="20"/>
              </w:rPr>
            </w:pPr>
            <w:r w:rsidRPr="00AB6D48">
              <w:rPr>
                <w:rFonts w:ascii="Arial" w:hAnsi="Arial" w:cs="Arial"/>
                <w:color w:val="323232"/>
                <w:sz w:val="20"/>
                <w:szCs w:val="20"/>
              </w:rPr>
              <w:t>$</w:t>
            </w:r>
            <w:r>
              <w:rPr>
                <w:rFonts w:ascii="Arial" w:hAnsi="Arial" w:cs="Arial"/>
                <w:color w:val="323232"/>
                <w:sz w:val="20"/>
                <w:szCs w:val="20"/>
              </w:rPr>
              <w:t>5.82</w:t>
            </w:r>
          </w:p>
        </w:tc>
        <w:tc>
          <w:tcPr>
            <w:tcW w:w="2160"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$13.08</w:t>
            </w:r>
          </w:p>
        </w:tc>
        <w:tc>
          <w:tcPr>
            <w:tcW w:w="2160"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$12.50</w:t>
            </w:r>
          </w:p>
        </w:tc>
        <w:tc>
          <w:tcPr>
            <w:tcW w:w="2160"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$18.90</w:t>
            </w:r>
          </w:p>
        </w:tc>
      </w:tr>
      <w:tr w:rsidR="00DF1353" w:rsidTr="000831DE">
        <w:trPr>
          <w:trHeight w:val="336"/>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Monthly</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$12.60</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$28.35</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$27.09</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$40.95</w:t>
            </w:r>
          </w:p>
        </w:tc>
      </w:tr>
      <w:tr w:rsidR="00DF1353" w:rsidTr="000831DE">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18-Pay</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$8.40</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$18.90</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$18.06</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$27.30</w:t>
            </w:r>
          </w:p>
        </w:tc>
      </w:tr>
    </w:tbl>
    <w:p w:rsidR="00DF1353" w:rsidRDefault="00DF1353" w:rsidP="00DF1353">
      <w:pPr>
        <w:pStyle w:val="Heading3"/>
        <w:spacing w:before="0" w:after="0"/>
      </w:pPr>
    </w:p>
    <w:p w:rsidR="00DF1353" w:rsidRPr="000439D4" w:rsidRDefault="00DF1353" w:rsidP="00DF1353">
      <w:pPr>
        <w:pStyle w:val="Heading3"/>
        <w:spacing w:before="0"/>
      </w:pPr>
      <w:bookmarkStart w:id="16" w:name="_Toc81312719"/>
      <w:r>
        <w:t>Dental (Expanded)</w:t>
      </w:r>
      <w:bookmarkEnd w:id="16"/>
    </w:p>
    <w:tbl>
      <w:tblPr>
        <w:tblStyle w:val="GridTable4-Accent1"/>
        <w:tblW w:w="10830" w:type="dxa"/>
        <w:jc w:val="center"/>
        <w:tblLook w:val="04A0" w:firstRow="1" w:lastRow="0" w:firstColumn="1" w:lastColumn="0" w:noHBand="0" w:noVBand="1"/>
      </w:tblPr>
      <w:tblGrid>
        <w:gridCol w:w="2166"/>
        <w:gridCol w:w="2166"/>
        <w:gridCol w:w="2166"/>
        <w:gridCol w:w="2166"/>
        <w:gridCol w:w="2166"/>
      </w:tblGrid>
      <w:tr w:rsidR="00DF1353" w:rsidTr="000831DE">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sz w:val="20"/>
                <w:szCs w:val="20"/>
              </w:rPr>
            </w:pPr>
            <w:r w:rsidRPr="00AB6D48">
              <w:rPr>
                <w:rFonts w:ascii="Arial" w:hAnsi="Arial" w:cs="Arial"/>
                <w:sz w:val="20"/>
                <w:szCs w:val="20"/>
              </w:rPr>
              <w:t>Pay Frequency</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Employee (EE)</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EE+Spouse</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EE+Children</w:t>
            </w:r>
          </w:p>
        </w:tc>
        <w:tc>
          <w:tcPr>
            <w:tcW w:w="2160"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Family</w:t>
            </w:r>
          </w:p>
        </w:tc>
      </w:tr>
      <w:tr w:rsidR="00DF1353" w:rsidTr="000831D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b w:val="0"/>
                <w:i/>
                <w:color w:val="323232"/>
                <w:sz w:val="20"/>
                <w:szCs w:val="20"/>
              </w:rPr>
            </w:pPr>
            <w:r w:rsidRPr="00AB6D48">
              <w:rPr>
                <w:rFonts w:ascii="Arial" w:hAnsi="Arial" w:cs="Arial"/>
                <w:color w:val="323232"/>
                <w:sz w:val="20"/>
                <w:szCs w:val="20"/>
              </w:rPr>
              <w:t>Biweekly</w:t>
            </w:r>
          </w:p>
        </w:tc>
        <w:tc>
          <w:tcPr>
            <w:tcW w:w="2160" w:type="dxa"/>
          </w:tcPr>
          <w:p w:rsidR="00DF1353" w:rsidRPr="00AB6D48" w:rsidRDefault="00DF1353" w:rsidP="00B54033">
            <w:pPr>
              <w:spacing w:before="40" w:after="40"/>
              <w:ind w:right="360"/>
              <w:cnfStyle w:val="000000100000" w:firstRow="0" w:lastRow="0" w:firstColumn="0" w:lastColumn="0" w:oddVBand="0" w:evenVBand="0" w:oddHBand="1" w:evenHBand="0" w:firstRowFirstColumn="0" w:firstRowLastColumn="0" w:lastRowFirstColumn="0" w:lastRowLastColumn="0"/>
              <w:rPr>
                <w:rFonts w:ascii="Arial" w:hAnsi="Arial" w:cs="Arial"/>
                <w:color w:val="323232"/>
                <w:sz w:val="20"/>
                <w:szCs w:val="20"/>
              </w:rPr>
            </w:pPr>
            <w:r>
              <w:rPr>
                <w:rFonts w:ascii="Arial" w:hAnsi="Arial" w:cs="Arial"/>
                <w:color w:val="323232"/>
                <w:sz w:val="20"/>
                <w:szCs w:val="20"/>
              </w:rPr>
              <w:t>$13.82</w:t>
            </w:r>
          </w:p>
        </w:tc>
        <w:tc>
          <w:tcPr>
            <w:tcW w:w="2160"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$31.10</w:t>
            </w:r>
          </w:p>
        </w:tc>
        <w:tc>
          <w:tcPr>
            <w:tcW w:w="2160"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$29.72</w:t>
            </w:r>
          </w:p>
        </w:tc>
        <w:tc>
          <w:tcPr>
            <w:tcW w:w="2160"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$44.93</w:t>
            </w:r>
          </w:p>
        </w:tc>
      </w:tr>
      <w:tr w:rsidR="00DF1353" w:rsidTr="000831DE">
        <w:trPr>
          <w:trHeight w:val="336"/>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Monthly</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$29.95</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$67.39</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$64.39</w:t>
            </w:r>
          </w:p>
        </w:tc>
        <w:tc>
          <w:tcPr>
            <w:tcW w:w="2160"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$97.34</w:t>
            </w:r>
          </w:p>
        </w:tc>
      </w:tr>
      <w:tr w:rsidR="00DF1353" w:rsidTr="000831DE">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60"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18-Pay</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$19.97</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$44.93</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$42.93</w:t>
            </w:r>
          </w:p>
        </w:tc>
        <w:tc>
          <w:tcPr>
            <w:tcW w:w="2160"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$64.89</w:t>
            </w:r>
          </w:p>
        </w:tc>
      </w:tr>
    </w:tbl>
    <w:p w:rsidR="00DF1353" w:rsidRDefault="00DF1353" w:rsidP="00DF1353">
      <w:pPr>
        <w:pStyle w:val="Heading3"/>
        <w:spacing w:before="0" w:after="0"/>
        <w:ind w:firstLine="720"/>
      </w:pPr>
    </w:p>
    <w:p w:rsidR="00DF1353" w:rsidRPr="000439D4" w:rsidRDefault="00DF1353" w:rsidP="00DF1353">
      <w:pPr>
        <w:pStyle w:val="Heading3"/>
        <w:spacing w:before="0"/>
      </w:pPr>
      <w:bookmarkStart w:id="17" w:name="_Toc81312720"/>
      <w:r>
        <w:t>Vision</w:t>
      </w:r>
      <w:bookmarkEnd w:id="17"/>
    </w:p>
    <w:tbl>
      <w:tblPr>
        <w:tblStyle w:val="GridTable4-Accent1"/>
        <w:tblW w:w="10800" w:type="dxa"/>
        <w:jc w:val="center"/>
        <w:tblLook w:val="04A0" w:firstRow="1" w:lastRow="0" w:firstColumn="1" w:lastColumn="0" w:noHBand="0" w:noVBand="1"/>
      </w:tblPr>
      <w:tblGrid>
        <w:gridCol w:w="3600"/>
        <w:gridCol w:w="3600"/>
        <w:gridCol w:w="3600"/>
      </w:tblGrid>
      <w:tr w:rsidR="00DF1353" w:rsidTr="000831DE">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600" w:type="dxa"/>
          </w:tcPr>
          <w:p w:rsidR="00DF1353" w:rsidRPr="00AB6D48" w:rsidRDefault="00DF1353" w:rsidP="00B54033">
            <w:pPr>
              <w:spacing w:before="40" w:after="40"/>
              <w:rPr>
                <w:rFonts w:ascii="Arial" w:hAnsi="Arial" w:cs="Arial"/>
                <w:sz w:val="20"/>
                <w:szCs w:val="20"/>
              </w:rPr>
            </w:pPr>
            <w:r w:rsidRPr="00AB6D48">
              <w:rPr>
                <w:rFonts w:ascii="Arial" w:hAnsi="Arial" w:cs="Arial"/>
                <w:sz w:val="20"/>
                <w:szCs w:val="20"/>
              </w:rPr>
              <w:t>Pay Frequency</w:t>
            </w:r>
          </w:p>
        </w:tc>
        <w:tc>
          <w:tcPr>
            <w:tcW w:w="2166"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Employee (EE)</w:t>
            </w:r>
          </w:p>
        </w:tc>
        <w:tc>
          <w:tcPr>
            <w:tcW w:w="2166"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Family</w:t>
            </w:r>
          </w:p>
        </w:tc>
      </w:tr>
      <w:tr w:rsidR="00DF1353" w:rsidTr="000831D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166" w:type="dxa"/>
          </w:tcPr>
          <w:p w:rsidR="00DF1353" w:rsidRPr="00AB6D48" w:rsidRDefault="00DF1353" w:rsidP="00B54033">
            <w:pPr>
              <w:spacing w:before="40" w:after="40"/>
              <w:rPr>
                <w:rFonts w:ascii="Arial" w:hAnsi="Arial" w:cs="Arial"/>
                <w:b w:val="0"/>
                <w:i/>
                <w:color w:val="323232"/>
                <w:sz w:val="20"/>
                <w:szCs w:val="20"/>
              </w:rPr>
            </w:pPr>
            <w:r w:rsidRPr="00AB6D48">
              <w:rPr>
                <w:rFonts w:ascii="Arial" w:hAnsi="Arial" w:cs="Arial"/>
                <w:color w:val="323232"/>
                <w:sz w:val="20"/>
                <w:szCs w:val="20"/>
              </w:rPr>
              <w:t>Biweekly</w:t>
            </w:r>
          </w:p>
        </w:tc>
        <w:tc>
          <w:tcPr>
            <w:tcW w:w="3600" w:type="dxa"/>
          </w:tcPr>
          <w:p w:rsidR="00DF1353" w:rsidRPr="00AB6D48" w:rsidRDefault="00DF1353" w:rsidP="00B54033">
            <w:pPr>
              <w:spacing w:before="40" w:after="40"/>
              <w:ind w:right="360"/>
              <w:cnfStyle w:val="000000100000" w:firstRow="0" w:lastRow="0" w:firstColumn="0" w:lastColumn="0" w:oddVBand="0" w:evenVBand="0" w:oddHBand="1" w:evenHBand="0" w:firstRowFirstColumn="0" w:firstRowLastColumn="0" w:lastRowFirstColumn="0" w:lastRowLastColumn="0"/>
              <w:rPr>
                <w:rFonts w:ascii="Arial" w:hAnsi="Arial" w:cs="Arial"/>
                <w:color w:val="323232"/>
                <w:sz w:val="20"/>
                <w:szCs w:val="20"/>
              </w:rPr>
            </w:pPr>
            <w:r>
              <w:rPr>
                <w:rFonts w:ascii="Arial" w:hAnsi="Arial" w:cs="Arial"/>
                <w:color w:val="323232"/>
                <w:sz w:val="20"/>
                <w:szCs w:val="20"/>
              </w:rPr>
              <w:t>$3.12</w:t>
            </w:r>
          </w:p>
        </w:tc>
        <w:tc>
          <w:tcPr>
            <w:tcW w:w="3600"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$7.78</w:t>
            </w:r>
          </w:p>
        </w:tc>
      </w:tr>
      <w:tr w:rsidR="00DF1353" w:rsidTr="000831DE">
        <w:trPr>
          <w:trHeight w:val="336"/>
          <w:jc w:val="center"/>
        </w:trPr>
        <w:tc>
          <w:tcPr>
            <w:cnfStyle w:val="001000000000" w:firstRow="0" w:lastRow="0" w:firstColumn="1" w:lastColumn="0" w:oddVBand="0" w:evenVBand="0" w:oddHBand="0" w:evenHBand="0" w:firstRowFirstColumn="0" w:firstRowLastColumn="0" w:lastRowFirstColumn="0" w:lastRowLastColumn="0"/>
            <w:tcW w:w="2166"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Monthly</w:t>
            </w:r>
          </w:p>
        </w:tc>
        <w:tc>
          <w:tcPr>
            <w:tcW w:w="2166"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$6.77</w:t>
            </w:r>
          </w:p>
        </w:tc>
        <w:tc>
          <w:tcPr>
            <w:tcW w:w="2166"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$16.87</w:t>
            </w:r>
          </w:p>
        </w:tc>
      </w:tr>
      <w:tr w:rsidR="00DF1353" w:rsidTr="000831DE">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66"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18-Pay</w:t>
            </w:r>
          </w:p>
        </w:tc>
        <w:tc>
          <w:tcPr>
            <w:tcW w:w="2166"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$4.51</w:t>
            </w:r>
          </w:p>
        </w:tc>
        <w:tc>
          <w:tcPr>
            <w:tcW w:w="2166"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$11.24</w:t>
            </w:r>
          </w:p>
        </w:tc>
      </w:tr>
    </w:tbl>
    <w:p w:rsidR="00DF1353" w:rsidRDefault="00DF1353" w:rsidP="00DF1353">
      <w:pPr>
        <w:pStyle w:val="BodyText"/>
        <w:spacing w:before="80"/>
        <w:ind w:left="7920" w:firstLine="720"/>
        <w:rPr>
          <w:rFonts w:ascii="Arial" w:hAnsi="Arial" w:cs="Arial"/>
          <w:i/>
        </w:rPr>
      </w:pPr>
      <w:r w:rsidRPr="000831DE">
        <w:rPr>
          <w:rFonts w:ascii="Arial" w:hAnsi="Arial" w:cs="Arial"/>
          <w:i/>
        </w:rPr>
        <w:t>-Employee premiums are pre-tax.</w:t>
      </w:r>
    </w:p>
    <w:p w:rsidR="00DF1353" w:rsidRDefault="00DF1353" w:rsidP="00DF1353">
      <w:pPr>
        <w:pStyle w:val="BodyText"/>
        <w:spacing w:before="160" w:after="40"/>
        <w:jc w:val="center"/>
        <w:rPr>
          <w:rFonts w:ascii="Arial" w:eastAsia="Times New Roman" w:hAnsi="Arial" w:cs="Arial"/>
          <w:b/>
          <w:bCs/>
          <w:sz w:val="28"/>
          <w:szCs w:val="28"/>
        </w:rPr>
      </w:pPr>
      <w:r>
        <w:rPr>
          <w:rFonts w:ascii="Arial" w:eastAsia="Times New Roman" w:hAnsi="Arial" w:cs="Arial"/>
          <w:b/>
          <w:bCs/>
          <w:sz w:val="28"/>
          <w:szCs w:val="28"/>
        </w:rPr>
        <w:t xml:space="preserve">NEW </w:t>
      </w:r>
      <w:r w:rsidR="00CE224E">
        <w:rPr>
          <w:rFonts w:ascii="Arial" w:eastAsia="Times New Roman" w:hAnsi="Arial" w:cs="Arial"/>
          <w:b/>
          <w:bCs/>
          <w:sz w:val="28"/>
          <w:szCs w:val="28"/>
        </w:rPr>
        <w:t>INSURANCE</w:t>
      </w:r>
      <w:r>
        <w:rPr>
          <w:rFonts w:ascii="Arial" w:eastAsia="Times New Roman" w:hAnsi="Arial" w:cs="Arial"/>
          <w:b/>
          <w:bCs/>
          <w:sz w:val="28"/>
          <w:szCs w:val="28"/>
        </w:rPr>
        <w:t xml:space="preserve"> CARDS</w:t>
      </w:r>
    </w:p>
    <w:p w:rsidR="00DF1353" w:rsidRDefault="00DF1353" w:rsidP="00DF1353">
      <w:pPr>
        <w:shd w:val="clear" w:color="auto" w:fill="FFFFFF"/>
        <w:ind w:left="504" w:right="504"/>
        <w:rPr>
          <w:rFonts w:ascii="Arial" w:hAnsi="Arial" w:cs="Arial"/>
          <w:color w:val="000000"/>
          <w:sz w:val="20"/>
          <w:szCs w:val="20"/>
        </w:rPr>
      </w:pPr>
      <w:r>
        <w:rPr>
          <w:rFonts w:ascii="Arial" w:hAnsi="Arial" w:cs="Arial"/>
          <w:color w:val="000000"/>
          <w:sz w:val="20"/>
          <w:szCs w:val="20"/>
        </w:rPr>
        <w:t xml:space="preserve">For the 2022 plan year, AU Health Plan members will receive new insurance cards from Blue Cross Blue Shield of Alabama for both health and dental coverage. These cards will be mailed to plan members. </w:t>
      </w:r>
    </w:p>
    <w:p w:rsidR="00DF1353" w:rsidRDefault="00DF1353">
      <w:pPr>
        <w:rPr>
          <w:rFonts w:ascii="Arial" w:hAnsi="Arial" w:cs="Arial"/>
          <w:color w:val="000000"/>
          <w:sz w:val="20"/>
          <w:szCs w:val="20"/>
        </w:rPr>
      </w:pPr>
      <w:r>
        <w:rPr>
          <w:rFonts w:ascii="Arial" w:hAnsi="Arial" w:cs="Arial"/>
          <w:color w:val="000000"/>
          <w:sz w:val="20"/>
          <w:szCs w:val="20"/>
        </w:rPr>
        <w:br w:type="page"/>
      </w:r>
    </w:p>
    <w:p w:rsidR="0037323E" w:rsidRPr="00AB6D48" w:rsidRDefault="0037323E" w:rsidP="00AB6D48">
      <w:pPr>
        <w:pStyle w:val="Heading2"/>
      </w:pPr>
      <w:r w:rsidRPr="00AB6D48">
        <w:lastRenderedPageBreak/>
        <w:t>CANCER INSURANCE &amp; CRITICAL ILLNESS</w:t>
      </w:r>
      <w:r w:rsidR="00B014B3" w:rsidRPr="00AB6D48">
        <w:t xml:space="preserve"> COVERAGE</w:t>
      </w:r>
      <w:r w:rsidRPr="00AB6D48">
        <w:t xml:space="preserve"> </w:t>
      </w:r>
      <w:bookmarkEnd w:id="13"/>
    </w:p>
    <w:tbl>
      <w:tblPr>
        <w:tblStyle w:val="GridTable4-Accent1"/>
        <w:tblW w:w="0" w:type="auto"/>
        <w:jc w:val="center"/>
        <w:tblLook w:val="04A0" w:firstRow="1" w:lastRow="0" w:firstColumn="1" w:lastColumn="0" w:noHBand="0" w:noVBand="1"/>
      </w:tblPr>
      <w:tblGrid>
        <w:gridCol w:w="3374"/>
        <w:gridCol w:w="7534"/>
      </w:tblGrid>
      <w:tr w:rsidR="0037323E" w:rsidTr="003B4419">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374" w:type="dxa"/>
          </w:tcPr>
          <w:p w:rsidR="0037323E" w:rsidRPr="00C9582C" w:rsidRDefault="0037323E" w:rsidP="003B4419">
            <w:pPr>
              <w:spacing w:before="40" w:after="40"/>
              <w:rPr>
                <w:rFonts w:ascii="Arial" w:hAnsi="Arial" w:cs="Arial"/>
                <w:sz w:val="20"/>
                <w:szCs w:val="20"/>
              </w:rPr>
            </w:pPr>
            <w:r w:rsidRPr="00C9582C">
              <w:rPr>
                <w:rFonts w:ascii="Arial" w:hAnsi="Arial" w:cs="Arial"/>
                <w:sz w:val="20"/>
                <w:szCs w:val="20"/>
              </w:rPr>
              <w:t>Type/Provider</w:t>
            </w:r>
          </w:p>
        </w:tc>
        <w:tc>
          <w:tcPr>
            <w:tcW w:w="7534" w:type="dxa"/>
          </w:tcPr>
          <w:p w:rsidR="0037323E" w:rsidRPr="00C9582C" w:rsidRDefault="0037323E" w:rsidP="003B4419">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582C">
              <w:rPr>
                <w:rFonts w:ascii="Arial" w:hAnsi="Arial" w:cs="Arial"/>
                <w:sz w:val="20"/>
                <w:szCs w:val="20"/>
              </w:rPr>
              <w:t>Coverage Highlights</w:t>
            </w:r>
          </w:p>
        </w:tc>
      </w:tr>
      <w:tr w:rsidR="0037323E" w:rsidTr="003B4419">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374" w:type="dxa"/>
          </w:tcPr>
          <w:p w:rsidR="0037323E" w:rsidRPr="00AB6D48" w:rsidRDefault="0037323E" w:rsidP="003B4419">
            <w:pPr>
              <w:spacing w:before="80" w:after="40"/>
              <w:rPr>
                <w:rFonts w:ascii="Arial" w:hAnsi="Arial" w:cs="Arial"/>
                <w:color w:val="323232"/>
                <w:sz w:val="20"/>
                <w:szCs w:val="20"/>
              </w:rPr>
            </w:pPr>
            <w:r w:rsidRPr="00AB6D48">
              <w:rPr>
                <w:rFonts w:ascii="Arial" w:hAnsi="Arial" w:cs="Arial"/>
                <w:color w:val="323232"/>
                <w:sz w:val="20"/>
                <w:szCs w:val="20"/>
              </w:rPr>
              <w:t>Cancer</w:t>
            </w:r>
          </w:p>
          <w:p w:rsidR="0037323E" w:rsidRPr="00AB6D48" w:rsidRDefault="0037323E" w:rsidP="003B4419">
            <w:pPr>
              <w:spacing w:before="40" w:after="40"/>
              <w:rPr>
                <w:rFonts w:ascii="Arial" w:hAnsi="Arial" w:cs="Arial"/>
                <w:b w:val="0"/>
                <w:i/>
                <w:color w:val="323232"/>
                <w:sz w:val="20"/>
                <w:szCs w:val="20"/>
              </w:rPr>
            </w:pPr>
            <w:r w:rsidRPr="00AB6D48">
              <w:rPr>
                <w:rFonts w:ascii="Arial" w:hAnsi="Arial" w:cs="Arial"/>
                <w:b w:val="0"/>
                <w:i/>
                <w:color w:val="323232"/>
                <w:sz w:val="20"/>
                <w:szCs w:val="20"/>
              </w:rPr>
              <w:t xml:space="preserve">Colonial Life </w:t>
            </w:r>
          </w:p>
        </w:tc>
        <w:tc>
          <w:tcPr>
            <w:tcW w:w="7534" w:type="dxa"/>
          </w:tcPr>
          <w:p w:rsidR="0037323E" w:rsidRPr="00AB6D48" w:rsidRDefault="0037323E" w:rsidP="0037323E">
            <w:pPr>
              <w:pStyle w:val="BodyText"/>
              <w:numPr>
                <w:ilvl w:val="0"/>
                <w:numId w:val="11"/>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This benefit is available to new hires within their first 30 days of employment without evidence of insurability with a 12-month preexisting clause, and available to all full-time employees during Open Enrollment.</w:t>
            </w:r>
          </w:p>
          <w:p w:rsidR="0037323E" w:rsidRPr="00AB6D48" w:rsidRDefault="0037323E" w:rsidP="0037323E">
            <w:pPr>
              <w:pStyle w:val="BodyText"/>
              <w:numPr>
                <w:ilvl w:val="0"/>
                <w:numId w:val="11"/>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This </w:t>
            </w:r>
            <w:r w:rsidR="00B014B3" w:rsidRPr="00AB6D48">
              <w:rPr>
                <w:rFonts w:ascii="Arial" w:hAnsi="Arial" w:cs="Arial"/>
                <w:sz w:val="20"/>
                <w:szCs w:val="20"/>
              </w:rPr>
              <w:t>benefit</w:t>
            </w:r>
            <w:r w:rsidRPr="00AB6D48">
              <w:rPr>
                <w:rFonts w:ascii="Arial" w:hAnsi="Arial" w:cs="Arial"/>
                <w:sz w:val="20"/>
                <w:szCs w:val="20"/>
              </w:rPr>
              <w:t xml:space="preserve"> pays for multiple services, treatments and other expenses related to an internal cancer diagnosis. </w:t>
            </w:r>
          </w:p>
          <w:p w:rsidR="0037323E" w:rsidRPr="00AB6D48" w:rsidRDefault="00B014B3" w:rsidP="00F234D7">
            <w:pPr>
              <w:pStyle w:val="BodyText"/>
              <w:numPr>
                <w:ilvl w:val="0"/>
                <w:numId w:val="11"/>
              </w:numPr>
              <w:spacing w:before="80" w:after="8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This benefit is</w:t>
            </w:r>
            <w:r w:rsidR="0037323E" w:rsidRPr="00AB6D48">
              <w:rPr>
                <w:rFonts w:ascii="Arial" w:hAnsi="Arial" w:cs="Arial"/>
                <w:sz w:val="20"/>
                <w:szCs w:val="20"/>
              </w:rPr>
              <w:t xml:space="preserve"> paid directly to the insured to be used at their discretion for medical or non-medical expenses.</w:t>
            </w:r>
          </w:p>
        </w:tc>
      </w:tr>
      <w:tr w:rsidR="0037323E" w:rsidTr="003B4419">
        <w:trPr>
          <w:trHeight w:val="336"/>
          <w:jc w:val="center"/>
        </w:trPr>
        <w:tc>
          <w:tcPr>
            <w:cnfStyle w:val="001000000000" w:firstRow="0" w:lastRow="0" w:firstColumn="1" w:lastColumn="0" w:oddVBand="0" w:evenVBand="0" w:oddHBand="0" w:evenHBand="0" w:firstRowFirstColumn="0" w:firstRowLastColumn="0" w:lastRowFirstColumn="0" w:lastRowLastColumn="0"/>
            <w:tcW w:w="3374" w:type="dxa"/>
          </w:tcPr>
          <w:p w:rsidR="0037323E" w:rsidRPr="00AB6D48" w:rsidRDefault="0037323E" w:rsidP="003B4419">
            <w:pPr>
              <w:spacing w:before="80" w:after="40"/>
              <w:rPr>
                <w:rFonts w:ascii="Arial" w:hAnsi="Arial" w:cs="Arial"/>
                <w:color w:val="323232"/>
                <w:sz w:val="20"/>
                <w:szCs w:val="20"/>
              </w:rPr>
            </w:pPr>
            <w:r w:rsidRPr="00AB6D48">
              <w:rPr>
                <w:rFonts w:ascii="Arial" w:hAnsi="Arial" w:cs="Arial"/>
                <w:color w:val="323232"/>
                <w:sz w:val="20"/>
                <w:szCs w:val="20"/>
              </w:rPr>
              <w:t>Critical Illness</w:t>
            </w:r>
          </w:p>
          <w:p w:rsidR="0037323E" w:rsidRPr="00AB6D48" w:rsidRDefault="0037323E" w:rsidP="003B4419">
            <w:pPr>
              <w:spacing w:before="40" w:after="80"/>
              <w:rPr>
                <w:rFonts w:ascii="Arial" w:hAnsi="Arial" w:cs="Arial"/>
                <w:color w:val="323232"/>
                <w:sz w:val="20"/>
                <w:szCs w:val="20"/>
              </w:rPr>
            </w:pPr>
            <w:r w:rsidRPr="00AB6D48">
              <w:rPr>
                <w:rFonts w:ascii="Arial" w:hAnsi="Arial" w:cs="Arial"/>
                <w:b w:val="0"/>
                <w:i/>
                <w:color w:val="323232"/>
                <w:sz w:val="20"/>
                <w:szCs w:val="20"/>
              </w:rPr>
              <w:t>Colonial Life</w:t>
            </w:r>
          </w:p>
        </w:tc>
        <w:tc>
          <w:tcPr>
            <w:tcW w:w="7534" w:type="dxa"/>
          </w:tcPr>
          <w:p w:rsidR="0037323E" w:rsidRPr="00AB6D48" w:rsidRDefault="0037323E" w:rsidP="0037323E">
            <w:pPr>
              <w:pStyle w:val="BodyText"/>
              <w:numPr>
                <w:ilvl w:val="0"/>
                <w:numId w:val="13"/>
              </w:numPr>
              <w:spacing w:before="80" w:after="4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This benefit is available to new hires within their first 30 days of employment without evidence of insurability with a 12-month preexisting clause, and available to all full-time employees during Open Enrollment.</w:t>
            </w:r>
          </w:p>
          <w:p w:rsidR="0037323E" w:rsidRPr="00AB6D48" w:rsidRDefault="00B014B3" w:rsidP="00180403">
            <w:pPr>
              <w:pStyle w:val="BodyText"/>
              <w:numPr>
                <w:ilvl w:val="0"/>
                <w:numId w:val="13"/>
              </w:numPr>
              <w:spacing w:before="80" w:after="4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This</w:t>
            </w:r>
            <w:r w:rsidR="0037323E" w:rsidRPr="00AB6D48">
              <w:rPr>
                <w:rFonts w:ascii="Arial" w:hAnsi="Arial" w:cs="Arial"/>
                <w:sz w:val="20"/>
                <w:szCs w:val="20"/>
              </w:rPr>
              <w:t xml:space="preserve"> benefit pays a lump sum of $10,000 or $30,000 in the event of a covered critical illness. Covered illnesses include: heart attack, stroke, major organ failure and more.</w:t>
            </w:r>
          </w:p>
          <w:p w:rsidR="0037323E" w:rsidRPr="00AB6D48" w:rsidRDefault="00B014B3" w:rsidP="00F234D7">
            <w:pPr>
              <w:pStyle w:val="BodyText"/>
              <w:numPr>
                <w:ilvl w:val="0"/>
                <w:numId w:val="13"/>
              </w:numPr>
              <w:spacing w:before="80" w:after="8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This</w:t>
            </w:r>
            <w:r w:rsidR="0037323E" w:rsidRPr="00AB6D48">
              <w:rPr>
                <w:rFonts w:ascii="Arial" w:hAnsi="Arial" w:cs="Arial"/>
                <w:sz w:val="20"/>
                <w:szCs w:val="20"/>
              </w:rPr>
              <w:t xml:space="preserve"> benefit is paid directly to the insured and can be used for medical or non-medical related expenses that could occur as a result of one of the covered medical events. </w:t>
            </w:r>
          </w:p>
        </w:tc>
      </w:tr>
    </w:tbl>
    <w:p w:rsidR="00DF1353" w:rsidRPr="000439D4" w:rsidRDefault="00DF1353" w:rsidP="00DF1353">
      <w:pPr>
        <w:pStyle w:val="Heading2"/>
        <w:spacing w:before="400"/>
      </w:pPr>
      <w:bookmarkStart w:id="18" w:name="_Toc81312722"/>
      <w:bookmarkStart w:id="19" w:name="_Toc81312726"/>
      <w:r>
        <w:t>CANCER INSURANCE</w:t>
      </w:r>
      <w:r w:rsidRPr="000439D4">
        <w:t xml:space="preserve"> </w:t>
      </w:r>
      <w:r>
        <w:t>PREMIUM COSTS</w:t>
      </w:r>
      <w:bookmarkEnd w:id="18"/>
    </w:p>
    <w:p w:rsidR="00DF1353" w:rsidRPr="000439D4" w:rsidRDefault="00DF1353" w:rsidP="00DF1353">
      <w:pPr>
        <w:pStyle w:val="Heading3"/>
      </w:pPr>
      <w:bookmarkStart w:id="20" w:name="_Toc81312723"/>
      <w:r>
        <w:t>Cancer – Level 2</w:t>
      </w:r>
      <w:bookmarkEnd w:id="20"/>
      <w:r>
        <w:t>/Level 3</w:t>
      </w:r>
    </w:p>
    <w:tbl>
      <w:tblPr>
        <w:tblStyle w:val="GridTable4-Accent1"/>
        <w:tblW w:w="10800" w:type="dxa"/>
        <w:jc w:val="center"/>
        <w:tblLook w:val="04A0" w:firstRow="1" w:lastRow="0" w:firstColumn="1" w:lastColumn="0" w:noHBand="0" w:noVBand="1"/>
      </w:tblPr>
      <w:tblGrid>
        <w:gridCol w:w="2166"/>
        <w:gridCol w:w="2154"/>
        <w:gridCol w:w="2160"/>
        <w:gridCol w:w="2160"/>
        <w:gridCol w:w="2160"/>
      </w:tblGrid>
      <w:tr w:rsidR="00DF1353" w:rsidTr="00B54033">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378" w:type="dxa"/>
          </w:tcPr>
          <w:p w:rsidR="00DF1353" w:rsidRPr="00AB6D48" w:rsidRDefault="00DF1353" w:rsidP="00B54033">
            <w:pPr>
              <w:spacing w:before="40" w:after="40"/>
              <w:rPr>
                <w:rFonts w:ascii="Arial" w:hAnsi="Arial" w:cs="Arial"/>
                <w:sz w:val="20"/>
                <w:szCs w:val="20"/>
              </w:rPr>
            </w:pPr>
            <w:r w:rsidRPr="00AB6D48">
              <w:rPr>
                <w:rFonts w:ascii="Arial" w:hAnsi="Arial" w:cs="Arial"/>
                <w:sz w:val="20"/>
                <w:szCs w:val="20"/>
              </w:rPr>
              <w:t>Pay Frequency</w:t>
            </w:r>
          </w:p>
        </w:tc>
        <w:tc>
          <w:tcPr>
            <w:tcW w:w="2378"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Employee Level 2</w:t>
            </w:r>
          </w:p>
        </w:tc>
        <w:tc>
          <w:tcPr>
            <w:tcW w:w="2378"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Employee Level 3</w:t>
            </w:r>
          </w:p>
        </w:tc>
        <w:tc>
          <w:tcPr>
            <w:tcW w:w="2378"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Family</w:t>
            </w:r>
            <w:r>
              <w:rPr>
                <w:rFonts w:ascii="Arial" w:hAnsi="Arial" w:cs="Arial"/>
                <w:sz w:val="20"/>
                <w:szCs w:val="20"/>
              </w:rPr>
              <w:t xml:space="preserve"> Level 2</w:t>
            </w:r>
          </w:p>
        </w:tc>
        <w:tc>
          <w:tcPr>
            <w:tcW w:w="2378" w:type="dxa"/>
          </w:tcPr>
          <w:p w:rsidR="00DF1353" w:rsidRPr="00AB6D48"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Family Level 3</w:t>
            </w:r>
          </w:p>
        </w:tc>
      </w:tr>
      <w:tr w:rsidR="00DF1353" w:rsidTr="00B54033">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378" w:type="dxa"/>
          </w:tcPr>
          <w:p w:rsidR="00DF1353" w:rsidRPr="00AB6D48" w:rsidRDefault="00DF1353" w:rsidP="00B54033">
            <w:pPr>
              <w:spacing w:before="40" w:after="40"/>
              <w:rPr>
                <w:rFonts w:ascii="Arial" w:hAnsi="Arial" w:cs="Arial"/>
                <w:b w:val="0"/>
                <w:i/>
                <w:color w:val="323232"/>
                <w:sz w:val="20"/>
                <w:szCs w:val="20"/>
              </w:rPr>
            </w:pPr>
            <w:r w:rsidRPr="00AB6D48">
              <w:rPr>
                <w:rFonts w:ascii="Arial" w:hAnsi="Arial" w:cs="Arial"/>
                <w:color w:val="323232"/>
                <w:sz w:val="20"/>
                <w:szCs w:val="20"/>
              </w:rPr>
              <w:t>Biweekly</w:t>
            </w:r>
          </w:p>
        </w:tc>
        <w:tc>
          <w:tcPr>
            <w:tcW w:w="2378" w:type="dxa"/>
          </w:tcPr>
          <w:p w:rsidR="00DF1353" w:rsidRPr="00AB6D48" w:rsidRDefault="00DF1353" w:rsidP="00B54033">
            <w:pPr>
              <w:spacing w:before="40" w:after="40"/>
              <w:ind w:right="360"/>
              <w:cnfStyle w:val="000000100000" w:firstRow="0" w:lastRow="0" w:firstColumn="0" w:lastColumn="0" w:oddVBand="0" w:evenVBand="0" w:oddHBand="1" w:evenHBand="0" w:firstRowFirstColumn="0" w:firstRowLastColumn="0" w:lastRowFirstColumn="0" w:lastRowLastColumn="0"/>
              <w:rPr>
                <w:rFonts w:ascii="Arial" w:hAnsi="Arial" w:cs="Arial"/>
                <w:color w:val="323232"/>
                <w:sz w:val="20"/>
                <w:szCs w:val="20"/>
              </w:rPr>
            </w:pPr>
            <w:r w:rsidRPr="00AB6D48">
              <w:rPr>
                <w:rFonts w:ascii="Arial" w:hAnsi="Arial" w:cs="Arial"/>
                <w:color w:val="323232"/>
                <w:sz w:val="20"/>
                <w:szCs w:val="20"/>
              </w:rPr>
              <w:t>$</w:t>
            </w:r>
            <w:r>
              <w:rPr>
                <w:rFonts w:ascii="Arial" w:hAnsi="Arial" w:cs="Arial"/>
                <w:color w:val="323232"/>
                <w:sz w:val="20"/>
                <w:szCs w:val="20"/>
              </w:rPr>
              <w:t>6.39</w:t>
            </w:r>
          </w:p>
        </w:tc>
        <w:tc>
          <w:tcPr>
            <w:tcW w:w="2378"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$10.41</w:t>
            </w:r>
          </w:p>
        </w:tc>
        <w:tc>
          <w:tcPr>
            <w:tcW w:w="2378" w:type="dxa"/>
          </w:tcPr>
          <w:p w:rsidR="00DF1353" w:rsidRPr="00590E51"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0E51">
              <w:rPr>
                <w:rFonts w:ascii="Arial" w:hAnsi="Arial" w:cs="Arial"/>
                <w:sz w:val="20"/>
                <w:szCs w:val="20"/>
              </w:rPr>
              <w:t>$10.66</w:t>
            </w:r>
          </w:p>
        </w:tc>
        <w:tc>
          <w:tcPr>
            <w:tcW w:w="2378" w:type="dxa"/>
          </w:tcPr>
          <w:p w:rsidR="00DF1353" w:rsidRPr="00AB6D48" w:rsidRDefault="00DF1353" w:rsidP="00B54033">
            <w:pPr>
              <w:pStyle w:val="TableParagraph"/>
              <w:spacing w:before="40" w:after="40"/>
              <w:ind w:left="0" w:righ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$17.31</w:t>
            </w:r>
          </w:p>
        </w:tc>
      </w:tr>
      <w:tr w:rsidR="00DF1353" w:rsidTr="00B54033">
        <w:trPr>
          <w:trHeight w:val="336"/>
          <w:jc w:val="center"/>
        </w:trPr>
        <w:tc>
          <w:tcPr>
            <w:cnfStyle w:val="001000000000" w:firstRow="0" w:lastRow="0" w:firstColumn="1" w:lastColumn="0" w:oddVBand="0" w:evenVBand="0" w:oddHBand="0" w:evenHBand="0" w:firstRowFirstColumn="0" w:firstRowLastColumn="0" w:lastRowFirstColumn="0" w:lastRowLastColumn="0"/>
            <w:tcW w:w="2378"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Monthly</w:t>
            </w:r>
          </w:p>
        </w:tc>
        <w:tc>
          <w:tcPr>
            <w:tcW w:w="2378"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w:t>
            </w:r>
            <w:r>
              <w:rPr>
                <w:rFonts w:ascii="Arial" w:hAnsi="Arial" w:cs="Arial"/>
                <w:sz w:val="20"/>
                <w:szCs w:val="20"/>
              </w:rPr>
              <w:t>13.85</w:t>
            </w:r>
          </w:p>
        </w:tc>
        <w:tc>
          <w:tcPr>
            <w:tcW w:w="2378"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$22.55</w:t>
            </w:r>
          </w:p>
        </w:tc>
        <w:tc>
          <w:tcPr>
            <w:tcW w:w="2378"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w:t>
            </w:r>
            <w:r>
              <w:rPr>
                <w:rFonts w:ascii="Arial" w:hAnsi="Arial" w:cs="Arial"/>
                <w:sz w:val="20"/>
                <w:szCs w:val="20"/>
              </w:rPr>
              <w:t>23.10</w:t>
            </w:r>
          </w:p>
        </w:tc>
        <w:tc>
          <w:tcPr>
            <w:tcW w:w="2378" w:type="dxa"/>
          </w:tcPr>
          <w:p w:rsidR="00DF1353" w:rsidRPr="00AB6D48" w:rsidRDefault="00DF1353" w:rsidP="00B54033">
            <w:pPr>
              <w:pStyle w:val="BodyT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$37.50</w:t>
            </w:r>
          </w:p>
        </w:tc>
      </w:tr>
      <w:tr w:rsidR="00DF1353" w:rsidTr="00B5403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378" w:type="dxa"/>
          </w:tcPr>
          <w:p w:rsidR="00DF1353" w:rsidRPr="00AB6D48" w:rsidRDefault="00DF1353" w:rsidP="00B54033">
            <w:pPr>
              <w:spacing w:before="40" w:after="40"/>
              <w:rPr>
                <w:rFonts w:ascii="Arial" w:hAnsi="Arial" w:cs="Arial"/>
                <w:color w:val="323232"/>
                <w:sz w:val="20"/>
                <w:szCs w:val="20"/>
              </w:rPr>
            </w:pPr>
            <w:r w:rsidRPr="00AB6D48">
              <w:rPr>
                <w:rFonts w:ascii="Arial" w:hAnsi="Arial" w:cs="Arial"/>
                <w:color w:val="323232"/>
                <w:sz w:val="20"/>
                <w:szCs w:val="20"/>
              </w:rPr>
              <w:t>18-Pay</w:t>
            </w:r>
          </w:p>
        </w:tc>
        <w:tc>
          <w:tcPr>
            <w:tcW w:w="2378"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w:t>
            </w:r>
            <w:r>
              <w:rPr>
                <w:rFonts w:ascii="Arial" w:hAnsi="Arial" w:cs="Arial"/>
                <w:sz w:val="20"/>
                <w:szCs w:val="20"/>
              </w:rPr>
              <w:t>9.23</w:t>
            </w:r>
          </w:p>
        </w:tc>
        <w:tc>
          <w:tcPr>
            <w:tcW w:w="2378"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$15.03</w:t>
            </w:r>
          </w:p>
        </w:tc>
        <w:tc>
          <w:tcPr>
            <w:tcW w:w="2378"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w:t>
            </w:r>
            <w:r>
              <w:rPr>
                <w:rFonts w:ascii="Arial" w:hAnsi="Arial" w:cs="Arial"/>
                <w:sz w:val="20"/>
                <w:szCs w:val="20"/>
              </w:rPr>
              <w:t>15.40</w:t>
            </w:r>
          </w:p>
        </w:tc>
        <w:tc>
          <w:tcPr>
            <w:tcW w:w="2378" w:type="dxa"/>
          </w:tcPr>
          <w:p w:rsidR="00DF1353" w:rsidRPr="00AB6D48" w:rsidRDefault="00DF1353" w:rsidP="00B54033">
            <w:pPr>
              <w:pStyle w:val="BodyTex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$25.00</w:t>
            </w:r>
          </w:p>
        </w:tc>
      </w:tr>
    </w:tbl>
    <w:p w:rsidR="00DF1353" w:rsidRPr="000439D4" w:rsidRDefault="00DF1353" w:rsidP="00DF1353">
      <w:pPr>
        <w:pStyle w:val="Heading2"/>
        <w:spacing w:before="400"/>
      </w:pPr>
      <w:bookmarkStart w:id="21" w:name="_Toc81312725"/>
      <w:r>
        <w:t>FLEXIBLE SPENDING ACCOUNTS</w:t>
      </w:r>
      <w:bookmarkEnd w:id="21"/>
    </w:p>
    <w:tbl>
      <w:tblPr>
        <w:tblStyle w:val="GridTable4-Accent1"/>
        <w:tblW w:w="0" w:type="auto"/>
        <w:jc w:val="center"/>
        <w:tblLook w:val="04A0" w:firstRow="1" w:lastRow="0" w:firstColumn="1" w:lastColumn="0" w:noHBand="0" w:noVBand="1"/>
      </w:tblPr>
      <w:tblGrid>
        <w:gridCol w:w="3374"/>
        <w:gridCol w:w="7534"/>
      </w:tblGrid>
      <w:tr w:rsidR="00DF1353" w:rsidTr="00B54033">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374" w:type="dxa"/>
          </w:tcPr>
          <w:p w:rsidR="00DF1353" w:rsidRPr="00DD5477" w:rsidRDefault="00DF1353" w:rsidP="00B54033">
            <w:pPr>
              <w:spacing w:before="40" w:after="40"/>
              <w:rPr>
                <w:rFonts w:ascii="Arial" w:hAnsi="Arial" w:cs="Arial"/>
                <w:sz w:val="20"/>
                <w:szCs w:val="20"/>
              </w:rPr>
            </w:pPr>
            <w:r w:rsidRPr="00DD5477">
              <w:rPr>
                <w:rFonts w:ascii="Arial" w:hAnsi="Arial" w:cs="Arial"/>
                <w:sz w:val="20"/>
                <w:szCs w:val="20"/>
              </w:rPr>
              <w:t>Type/Provider</w:t>
            </w:r>
          </w:p>
        </w:tc>
        <w:tc>
          <w:tcPr>
            <w:tcW w:w="7534" w:type="dxa"/>
          </w:tcPr>
          <w:p w:rsidR="00DF1353" w:rsidRPr="00DD5477" w:rsidRDefault="00DF1353" w:rsidP="00B54033">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D5477">
              <w:rPr>
                <w:rFonts w:ascii="Arial" w:hAnsi="Arial" w:cs="Arial"/>
                <w:sz w:val="20"/>
                <w:szCs w:val="20"/>
              </w:rPr>
              <w:t>Coverage Highlights</w:t>
            </w:r>
          </w:p>
        </w:tc>
      </w:tr>
      <w:tr w:rsidR="00DF1353" w:rsidTr="00B54033">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374" w:type="dxa"/>
          </w:tcPr>
          <w:p w:rsidR="00DF1353" w:rsidRPr="00AB6D48" w:rsidRDefault="00DF1353" w:rsidP="00B54033">
            <w:pPr>
              <w:spacing w:before="80" w:after="40"/>
              <w:rPr>
                <w:rFonts w:ascii="Arial" w:hAnsi="Arial" w:cs="Arial"/>
                <w:color w:val="323232"/>
                <w:sz w:val="20"/>
                <w:szCs w:val="20"/>
              </w:rPr>
            </w:pPr>
            <w:r w:rsidRPr="00AB6D48">
              <w:rPr>
                <w:rFonts w:ascii="Arial" w:hAnsi="Arial" w:cs="Arial"/>
                <w:color w:val="323232"/>
                <w:sz w:val="20"/>
                <w:szCs w:val="20"/>
              </w:rPr>
              <w:t>Medical Spending and Dependent Care Accounts</w:t>
            </w:r>
          </w:p>
          <w:p w:rsidR="00DF1353" w:rsidRPr="00AB6D48" w:rsidRDefault="00DF1353" w:rsidP="00B54033">
            <w:pPr>
              <w:spacing w:before="40" w:after="40"/>
              <w:rPr>
                <w:rFonts w:ascii="Arial" w:hAnsi="Arial" w:cs="Arial"/>
                <w:b w:val="0"/>
                <w:i/>
                <w:color w:val="323232"/>
                <w:sz w:val="20"/>
                <w:szCs w:val="20"/>
              </w:rPr>
            </w:pPr>
            <w:r w:rsidRPr="00AB6D48">
              <w:rPr>
                <w:rFonts w:ascii="Arial" w:hAnsi="Arial" w:cs="Arial"/>
                <w:b w:val="0"/>
                <w:i/>
                <w:color w:val="323232"/>
                <w:sz w:val="20"/>
                <w:szCs w:val="20"/>
              </w:rPr>
              <w:t xml:space="preserve">Healthy Equity/WageWorks </w:t>
            </w:r>
          </w:p>
        </w:tc>
        <w:tc>
          <w:tcPr>
            <w:tcW w:w="7534" w:type="dxa"/>
          </w:tcPr>
          <w:p w:rsidR="00DF1353" w:rsidRPr="00590E51" w:rsidRDefault="00DF1353" w:rsidP="00DF1353">
            <w:pPr>
              <w:pStyle w:val="BodyText"/>
              <w:numPr>
                <w:ilvl w:val="0"/>
                <w:numId w:val="18"/>
              </w:numPr>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0E51">
              <w:rPr>
                <w:rFonts w:ascii="Arial" w:hAnsi="Arial" w:cs="Arial"/>
                <w:sz w:val="20"/>
                <w:szCs w:val="20"/>
              </w:rPr>
              <w:t xml:space="preserve">All active, full-time, non-student employees, if the most recent appointment period is continuous for a minimum of one year (nine or </w:t>
            </w:r>
            <w:r>
              <w:rPr>
                <w:rFonts w:ascii="Arial" w:hAnsi="Arial" w:cs="Arial"/>
                <w:sz w:val="20"/>
                <w:szCs w:val="20"/>
              </w:rPr>
              <w:t>12</w:t>
            </w:r>
            <w:r w:rsidRPr="00590E51">
              <w:rPr>
                <w:rFonts w:ascii="Arial" w:hAnsi="Arial" w:cs="Arial"/>
                <w:sz w:val="20"/>
                <w:szCs w:val="20"/>
              </w:rPr>
              <w:t xml:space="preserve"> months as appropriate to the appointment), and any other employee who is eligible by virtue of </w:t>
            </w:r>
            <w:r>
              <w:rPr>
                <w:rFonts w:ascii="Arial" w:hAnsi="Arial" w:cs="Arial"/>
                <w:sz w:val="20"/>
                <w:szCs w:val="20"/>
              </w:rPr>
              <w:t>their</w:t>
            </w:r>
            <w:r w:rsidRPr="00590E51">
              <w:rPr>
                <w:rFonts w:ascii="Arial" w:hAnsi="Arial" w:cs="Arial"/>
                <w:sz w:val="20"/>
                <w:szCs w:val="20"/>
              </w:rPr>
              <w:t xml:space="preserve"> specific job </w:t>
            </w:r>
            <w:r>
              <w:rPr>
                <w:rFonts w:ascii="Arial" w:hAnsi="Arial" w:cs="Arial"/>
                <w:sz w:val="20"/>
                <w:szCs w:val="20"/>
              </w:rPr>
              <w:t>assignment,</w:t>
            </w:r>
            <w:r w:rsidRPr="00590E51">
              <w:rPr>
                <w:rFonts w:ascii="Arial" w:hAnsi="Arial" w:cs="Arial"/>
                <w:sz w:val="20"/>
                <w:szCs w:val="20"/>
              </w:rPr>
              <w:t xml:space="preserve"> can participate. AU covers all administrative fees.</w:t>
            </w:r>
          </w:p>
          <w:p w:rsidR="00DF1353" w:rsidRDefault="00DF1353" w:rsidP="00B54033">
            <w:pPr>
              <w:pStyle w:val="BodyText"/>
              <w:numPr>
                <w:ilvl w:val="0"/>
                <w:numId w:val="15"/>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 2022</w:t>
            </w:r>
            <w:r w:rsidRPr="00AB6D48">
              <w:rPr>
                <w:rFonts w:ascii="Arial" w:hAnsi="Arial" w:cs="Arial"/>
                <w:sz w:val="20"/>
                <w:szCs w:val="20"/>
              </w:rPr>
              <w:t xml:space="preserve">, employees can set aside up to $2,750 (pre-tax) for unreimbursed medical expenses and/or up to $5,000 (pre-tax) for dependent care expenses. </w:t>
            </w:r>
          </w:p>
          <w:p w:rsidR="00DF1353" w:rsidRPr="00AB6D48" w:rsidRDefault="00DF1353" w:rsidP="00B54033">
            <w:pPr>
              <w:pStyle w:val="BodyText"/>
              <w:numPr>
                <w:ilvl w:val="0"/>
                <w:numId w:val="15"/>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The health care debit card offers a convenient method of paying eligible expenses. </w:t>
            </w:r>
          </w:p>
          <w:p w:rsidR="00DF1353" w:rsidRDefault="00DF1353" w:rsidP="00B54033">
            <w:pPr>
              <w:pStyle w:val="BodyText"/>
              <w:numPr>
                <w:ilvl w:val="0"/>
                <w:numId w:val="15"/>
              </w:numPr>
              <w:spacing w:before="80" w:after="8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Employees must enroll in the benefit plans within the first 30 days of eligibility. Otherwise, unless there is a change in family status (within 45 days), they must apply for enrollment or make changes during the annual Open Enrollment period in the month of November. Employees must re-enroll each year.</w:t>
            </w:r>
            <w:r>
              <w:rPr>
                <w:rFonts w:ascii="Arial" w:hAnsi="Arial" w:cs="Arial"/>
                <w:sz w:val="20"/>
                <w:szCs w:val="20"/>
              </w:rPr>
              <w:t xml:space="preserve"> </w:t>
            </w:r>
          </w:p>
          <w:p w:rsidR="00DF1353" w:rsidRPr="00AB6D48" w:rsidRDefault="00DF1353" w:rsidP="00B54033">
            <w:pPr>
              <w:pStyle w:val="BodyText"/>
              <w:numPr>
                <w:ilvl w:val="0"/>
                <w:numId w:val="15"/>
              </w:numPr>
              <w:spacing w:before="80" w:after="8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Plan contributions must be determined prior to the beginning of the plan year and cannot be changed unless there is a change in family status.</w:t>
            </w:r>
          </w:p>
        </w:tc>
      </w:tr>
    </w:tbl>
    <w:p w:rsidR="00DF1353" w:rsidRDefault="00DF1353" w:rsidP="00AB6D48">
      <w:pPr>
        <w:pStyle w:val="Heading2"/>
      </w:pPr>
    </w:p>
    <w:p w:rsidR="00B014B3" w:rsidRPr="000439D4" w:rsidRDefault="00B014B3" w:rsidP="00AB6D48">
      <w:pPr>
        <w:pStyle w:val="Heading2"/>
      </w:pPr>
      <w:r>
        <w:lastRenderedPageBreak/>
        <w:t>LIFE INSURANCES</w:t>
      </w:r>
      <w:bookmarkEnd w:id="19"/>
    </w:p>
    <w:tbl>
      <w:tblPr>
        <w:tblStyle w:val="GridTable4-Accent1"/>
        <w:tblW w:w="0" w:type="auto"/>
        <w:jc w:val="center"/>
        <w:tblLook w:val="04A0" w:firstRow="1" w:lastRow="0" w:firstColumn="1" w:lastColumn="0" w:noHBand="0" w:noVBand="1"/>
      </w:tblPr>
      <w:tblGrid>
        <w:gridCol w:w="3374"/>
        <w:gridCol w:w="7534"/>
      </w:tblGrid>
      <w:tr w:rsidR="00B014B3" w:rsidTr="00816082">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374" w:type="dxa"/>
          </w:tcPr>
          <w:p w:rsidR="00B014B3" w:rsidRPr="00AB6D48" w:rsidRDefault="00B014B3" w:rsidP="00816082">
            <w:pPr>
              <w:spacing w:before="40" w:after="40"/>
              <w:rPr>
                <w:rFonts w:ascii="Arial" w:hAnsi="Arial" w:cs="Arial"/>
                <w:sz w:val="20"/>
                <w:szCs w:val="20"/>
              </w:rPr>
            </w:pPr>
            <w:r w:rsidRPr="00AB6D48">
              <w:rPr>
                <w:rFonts w:ascii="Arial" w:hAnsi="Arial" w:cs="Arial"/>
                <w:sz w:val="20"/>
                <w:szCs w:val="20"/>
              </w:rPr>
              <w:t>Type/Provider</w:t>
            </w:r>
          </w:p>
        </w:tc>
        <w:tc>
          <w:tcPr>
            <w:tcW w:w="7534" w:type="dxa"/>
          </w:tcPr>
          <w:p w:rsidR="00B014B3" w:rsidRPr="00AB6D48" w:rsidRDefault="00B014B3" w:rsidP="00816082">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Coverage Highlights</w:t>
            </w:r>
          </w:p>
        </w:tc>
      </w:tr>
      <w:tr w:rsidR="00B014B3" w:rsidTr="00816082">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374" w:type="dxa"/>
          </w:tcPr>
          <w:p w:rsidR="00B014B3" w:rsidRPr="00AB6D48" w:rsidRDefault="00B014B3" w:rsidP="00816082">
            <w:pPr>
              <w:spacing w:before="80" w:after="40"/>
              <w:rPr>
                <w:rFonts w:ascii="Arial" w:hAnsi="Arial" w:cs="Arial"/>
                <w:color w:val="323232"/>
                <w:sz w:val="20"/>
                <w:szCs w:val="20"/>
              </w:rPr>
            </w:pPr>
            <w:r w:rsidRPr="00AB6D48">
              <w:rPr>
                <w:rFonts w:ascii="Arial" w:hAnsi="Arial" w:cs="Arial"/>
                <w:color w:val="323232"/>
                <w:sz w:val="20"/>
                <w:szCs w:val="20"/>
              </w:rPr>
              <w:t>Group Term Life Insurance and Accidental Death &amp; Dismemberment (AD&amp;D)</w:t>
            </w:r>
          </w:p>
          <w:p w:rsidR="00B014B3" w:rsidRPr="00AB6D48" w:rsidRDefault="00B014B3" w:rsidP="00816082">
            <w:pPr>
              <w:spacing w:before="40" w:after="40"/>
              <w:rPr>
                <w:rFonts w:ascii="Arial" w:hAnsi="Arial" w:cs="Arial"/>
                <w:b w:val="0"/>
                <w:i/>
                <w:color w:val="323232"/>
                <w:sz w:val="20"/>
                <w:szCs w:val="20"/>
              </w:rPr>
            </w:pPr>
            <w:r w:rsidRPr="00AB6D48">
              <w:rPr>
                <w:rFonts w:ascii="Arial" w:hAnsi="Arial" w:cs="Arial"/>
                <w:b w:val="0"/>
                <w:i/>
                <w:color w:val="323232"/>
                <w:sz w:val="20"/>
                <w:szCs w:val="20"/>
              </w:rPr>
              <w:t xml:space="preserve">The Standard Life Insurance Company  </w:t>
            </w:r>
          </w:p>
        </w:tc>
        <w:tc>
          <w:tcPr>
            <w:tcW w:w="7534" w:type="dxa"/>
          </w:tcPr>
          <w:p w:rsidR="00B014B3" w:rsidRPr="00AB6D48" w:rsidRDefault="00B014B3" w:rsidP="00B014B3">
            <w:pPr>
              <w:pStyle w:val="BodyText"/>
              <w:numPr>
                <w:ilvl w:val="0"/>
                <w:numId w:val="11"/>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Active full-time non-student employees are eligible if the most recent appointment period is continuous for a minimum of one year (nine or 12 months as appropriate to the appointment).</w:t>
            </w:r>
          </w:p>
          <w:p w:rsidR="00B014B3" w:rsidRPr="00AB6D48" w:rsidRDefault="00B014B3" w:rsidP="00B014B3">
            <w:pPr>
              <w:pStyle w:val="BodyText"/>
              <w:numPr>
                <w:ilvl w:val="0"/>
                <w:numId w:val="11"/>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Optional voluntary life and AD&amp;D are availab</w:t>
            </w:r>
            <w:r w:rsidR="005427F5">
              <w:rPr>
                <w:rFonts w:ascii="Arial" w:hAnsi="Arial" w:cs="Arial"/>
                <w:sz w:val="20"/>
                <w:szCs w:val="20"/>
              </w:rPr>
              <w:t xml:space="preserve">le for employees and dependents. </w:t>
            </w:r>
            <w:r w:rsidRPr="00AB6D48">
              <w:rPr>
                <w:rFonts w:ascii="Arial" w:hAnsi="Arial" w:cs="Arial"/>
                <w:sz w:val="20"/>
                <w:szCs w:val="20"/>
              </w:rPr>
              <w:t xml:space="preserve">The employee may receive up to five times </w:t>
            </w:r>
            <w:r w:rsidR="005427F5">
              <w:rPr>
                <w:rFonts w:ascii="Arial" w:hAnsi="Arial" w:cs="Arial"/>
                <w:sz w:val="20"/>
                <w:szCs w:val="20"/>
              </w:rPr>
              <w:t xml:space="preserve">their </w:t>
            </w:r>
            <w:r w:rsidRPr="00AB6D48">
              <w:rPr>
                <w:rFonts w:ascii="Arial" w:hAnsi="Arial" w:cs="Arial"/>
                <w:sz w:val="20"/>
                <w:szCs w:val="20"/>
              </w:rPr>
              <w:t xml:space="preserve">annual salary up to the maximum of $450,000 coverage. </w:t>
            </w:r>
          </w:p>
          <w:p w:rsidR="00B014B3" w:rsidRPr="00AB6D48" w:rsidRDefault="00B014B3" w:rsidP="00B014B3">
            <w:pPr>
              <w:pStyle w:val="BodyText"/>
              <w:numPr>
                <w:ilvl w:val="0"/>
                <w:numId w:val="11"/>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The spouse/sponsored adult dependent can receive up to $100,000 of term life and AD&amp;D insurance. ($80,000 </w:t>
            </w:r>
            <w:r w:rsidR="005427F5">
              <w:rPr>
                <w:rFonts w:ascii="Arial" w:hAnsi="Arial" w:cs="Arial"/>
                <w:sz w:val="20"/>
                <w:szCs w:val="20"/>
              </w:rPr>
              <w:t xml:space="preserve">is </w:t>
            </w:r>
            <w:r w:rsidRPr="00AB6D48">
              <w:rPr>
                <w:rFonts w:ascii="Arial" w:hAnsi="Arial" w:cs="Arial"/>
                <w:sz w:val="20"/>
                <w:szCs w:val="20"/>
              </w:rPr>
              <w:t>subject to insurability approval</w:t>
            </w:r>
            <w:r w:rsidR="005427F5">
              <w:rPr>
                <w:rFonts w:ascii="Arial" w:hAnsi="Arial" w:cs="Arial"/>
                <w:sz w:val="20"/>
                <w:szCs w:val="20"/>
              </w:rPr>
              <w:t>.</w:t>
            </w:r>
            <w:r w:rsidRPr="00AB6D48">
              <w:rPr>
                <w:rFonts w:ascii="Arial" w:hAnsi="Arial" w:cs="Arial"/>
                <w:sz w:val="20"/>
                <w:szCs w:val="20"/>
              </w:rPr>
              <w:t xml:space="preserve">) </w:t>
            </w:r>
          </w:p>
          <w:p w:rsidR="00B014B3" w:rsidRPr="00AB6D48" w:rsidRDefault="00B014B3" w:rsidP="00B014B3">
            <w:pPr>
              <w:pStyle w:val="BodyText"/>
              <w:numPr>
                <w:ilvl w:val="0"/>
                <w:numId w:val="11"/>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Child/sponsored child dependent term life and AD&amp;D are available in increments of $5,000 and $10,000 of coverage.</w:t>
            </w:r>
          </w:p>
          <w:p w:rsidR="00B014B3" w:rsidRPr="00AB6D48" w:rsidRDefault="00B014B3" w:rsidP="005427F5">
            <w:pPr>
              <w:pStyle w:val="BodyText"/>
              <w:numPr>
                <w:ilvl w:val="0"/>
                <w:numId w:val="11"/>
              </w:numPr>
              <w:spacing w:before="80" w:after="8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Premiums are based on the employee's age and coverage amount elected. See premium charts at </w:t>
            </w:r>
            <w:hyperlink r:id="rId14" w:history="1">
              <w:r w:rsidR="005427F5" w:rsidRPr="00B1379E">
                <w:rPr>
                  <w:rStyle w:val="Hyperlink"/>
                  <w:rFonts w:ascii="Arial" w:hAnsi="Arial" w:cs="Arial"/>
                  <w:sz w:val="20"/>
                  <w:szCs w:val="20"/>
                </w:rPr>
                <w:t>auburn.edu/hr/benefits/life.html</w:t>
              </w:r>
            </w:hyperlink>
            <w:r w:rsidRPr="00AB6D48">
              <w:rPr>
                <w:rFonts w:ascii="Arial" w:hAnsi="Arial" w:cs="Arial"/>
                <w:sz w:val="20"/>
                <w:szCs w:val="20"/>
              </w:rPr>
              <w:t>.</w:t>
            </w:r>
          </w:p>
        </w:tc>
      </w:tr>
      <w:tr w:rsidR="00B014B3" w:rsidTr="00816082">
        <w:trPr>
          <w:trHeight w:val="336"/>
          <w:jc w:val="center"/>
        </w:trPr>
        <w:tc>
          <w:tcPr>
            <w:cnfStyle w:val="001000000000" w:firstRow="0" w:lastRow="0" w:firstColumn="1" w:lastColumn="0" w:oddVBand="0" w:evenVBand="0" w:oddHBand="0" w:evenHBand="0" w:firstRowFirstColumn="0" w:firstRowLastColumn="0" w:lastRowFirstColumn="0" w:lastRowLastColumn="0"/>
            <w:tcW w:w="3374" w:type="dxa"/>
          </w:tcPr>
          <w:p w:rsidR="00B014B3" w:rsidRPr="00AB6D48" w:rsidRDefault="00B014B3" w:rsidP="00816082">
            <w:pPr>
              <w:spacing w:before="80" w:after="40"/>
              <w:rPr>
                <w:rFonts w:ascii="Arial" w:hAnsi="Arial" w:cs="Arial"/>
                <w:color w:val="323232"/>
                <w:sz w:val="20"/>
                <w:szCs w:val="20"/>
              </w:rPr>
            </w:pPr>
            <w:r w:rsidRPr="00AB6D48">
              <w:rPr>
                <w:rFonts w:ascii="Arial" w:hAnsi="Arial" w:cs="Arial"/>
                <w:color w:val="323232"/>
                <w:sz w:val="20"/>
                <w:szCs w:val="20"/>
              </w:rPr>
              <w:t xml:space="preserve">Supplemental Whole Life Insurance </w:t>
            </w:r>
          </w:p>
          <w:p w:rsidR="00B014B3" w:rsidRPr="00AB6D48" w:rsidRDefault="00B014B3" w:rsidP="00816082">
            <w:pPr>
              <w:spacing w:before="40" w:after="80"/>
              <w:rPr>
                <w:rFonts w:ascii="Arial" w:hAnsi="Arial" w:cs="Arial"/>
                <w:color w:val="323232"/>
                <w:sz w:val="20"/>
                <w:szCs w:val="20"/>
              </w:rPr>
            </w:pPr>
            <w:r w:rsidRPr="00AB6D48">
              <w:rPr>
                <w:rFonts w:ascii="Arial" w:hAnsi="Arial" w:cs="Arial"/>
                <w:b w:val="0"/>
                <w:i/>
                <w:color w:val="323232"/>
                <w:sz w:val="20"/>
                <w:szCs w:val="20"/>
              </w:rPr>
              <w:t>Colonial Life</w:t>
            </w:r>
          </w:p>
        </w:tc>
        <w:tc>
          <w:tcPr>
            <w:tcW w:w="7534" w:type="dxa"/>
          </w:tcPr>
          <w:p w:rsidR="00DF1353" w:rsidRPr="00AB6D48" w:rsidRDefault="00DF1353" w:rsidP="00DF1353">
            <w:pPr>
              <w:pStyle w:val="BodyText"/>
              <w:numPr>
                <w:ilvl w:val="0"/>
                <w:numId w:val="13"/>
              </w:numPr>
              <w:spacing w:before="80" w:after="4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Active full-time non-student employees are eligible if the most recent appointment period is continuous for a minimum of one year (nine or 12 months as appropriate to the appointment).</w:t>
            </w:r>
          </w:p>
          <w:p w:rsidR="00DF1353" w:rsidRPr="00AB6D48" w:rsidRDefault="00DF1353" w:rsidP="00DF1353">
            <w:pPr>
              <w:pStyle w:val="BodyText"/>
              <w:numPr>
                <w:ilvl w:val="0"/>
                <w:numId w:val="13"/>
              </w:numPr>
              <w:spacing w:before="80" w:after="4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Whole life Insurance coverage gives employees additional options as they consider their life insurance needs and strategy. </w:t>
            </w:r>
          </w:p>
          <w:p w:rsidR="00DF1353" w:rsidRPr="00AB6D48" w:rsidRDefault="00DF1353" w:rsidP="00DF1353">
            <w:pPr>
              <w:pStyle w:val="BodyText"/>
              <w:numPr>
                <w:ilvl w:val="0"/>
                <w:numId w:val="13"/>
              </w:numPr>
              <w:spacing w:before="80" w:after="4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Whole life policies are available with the following amounts</w:t>
            </w:r>
            <w:r w:rsidRPr="00AB6D48">
              <w:rPr>
                <w:rFonts w:ascii="Arial" w:hAnsi="Arial" w:cs="Arial"/>
                <w:sz w:val="20"/>
                <w:szCs w:val="20"/>
              </w:rPr>
              <w:t xml:space="preserve">: </w:t>
            </w:r>
            <w:r>
              <w:rPr>
                <w:rFonts w:ascii="Arial" w:hAnsi="Arial" w:cs="Arial"/>
                <w:sz w:val="20"/>
                <w:szCs w:val="20"/>
              </w:rPr>
              <w:t>ages</w:t>
            </w:r>
            <w:r w:rsidRPr="00AB6D48">
              <w:rPr>
                <w:rFonts w:ascii="Arial" w:hAnsi="Arial" w:cs="Arial"/>
                <w:sz w:val="20"/>
                <w:szCs w:val="20"/>
              </w:rPr>
              <w:t xml:space="preserve"> 18-50, $150,000</w:t>
            </w:r>
            <w:r>
              <w:rPr>
                <w:rFonts w:ascii="Arial" w:hAnsi="Arial" w:cs="Arial"/>
                <w:sz w:val="20"/>
                <w:szCs w:val="20"/>
              </w:rPr>
              <w:t>, and ages</w:t>
            </w:r>
            <w:r w:rsidRPr="00AB6D48">
              <w:rPr>
                <w:rFonts w:ascii="Arial" w:hAnsi="Arial" w:cs="Arial"/>
                <w:sz w:val="20"/>
                <w:szCs w:val="20"/>
              </w:rPr>
              <w:t xml:space="preserve"> </w:t>
            </w:r>
            <w:r>
              <w:rPr>
                <w:rFonts w:ascii="Arial" w:hAnsi="Arial" w:cs="Arial"/>
                <w:sz w:val="20"/>
                <w:szCs w:val="20"/>
              </w:rPr>
              <w:t>5</w:t>
            </w:r>
            <w:r w:rsidRPr="00AB6D48">
              <w:rPr>
                <w:rFonts w:ascii="Arial" w:hAnsi="Arial" w:cs="Arial"/>
                <w:sz w:val="20"/>
                <w:szCs w:val="20"/>
              </w:rPr>
              <w:t>1-79, $</w:t>
            </w:r>
            <w:r>
              <w:rPr>
                <w:rFonts w:ascii="Arial" w:hAnsi="Arial" w:cs="Arial"/>
                <w:sz w:val="20"/>
                <w:szCs w:val="20"/>
              </w:rPr>
              <w:t>60</w:t>
            </w:r>
            <w:r w:rsidRPr="00AB6D48">
              <w:rPr>
                <w:rFonts w:ascii="Arial" w:hAnsi="Arial" w:cs="Arial"/>
                <w:sz w:val="20"/>
                <w:szCs w:val="20"/>
              </w:rPr>
              <w:t xml:space="preserve">,000. </w:t>
            </w:r>
          </w:p>
          <w:p w:rsidR="00DF1353" w:rsidRPr="00AB6D48" w:rsidRDefault="00DF1353" w:rsidP="00DF1353">
            <w:pPr>
              <w:pStyle w:val="BodyText"/>
              <w:numPr>
                <w:ilvl w:val="0"/>
                <w:numId w:val="13"/>
              </w:numPr>
              <w:spacing w:before="80" w:after="4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The benefit pays a lump sum death benefit, builds guaranteed cash value</w:t>
            </w:r>
            <w:r>
              <w:rPr>
                <w:rFonts w:ascii="Arial" w:hAnsi="Arial" w:cs="Arial"/>
                <w:sz w:val="20"/>
                <w:szCs w:val="20"/>
              </w:rPr>
              <w:t>,</w:t>
            </w:r>
            <w:r w:rsidRPr="00AB6D48">
              <w:rPr>
                <w:rFonts w:ascii="Arial" w:hAnsi="Arial" w:cs="Arial"/>
                <w:sz w:val="20"/>
                <w:szCs w:val="20"/>
              </w:rPr>
              <w:t xml:space="preserve"> and is paid for with level premiums that never increase (endows at age 100). </w:t>
            </w:r>
          </w:p>
          <w:p w:rsidR="00B014B3" w:rsidRPr="00AB6D48" w:rsidRDefault="00DF1353" w:rsidP="00DF1353">
            <w:pPr>
              <w:pStyle w:val="BodyText"/>
              <w:numPr>
                <w:ilvl w:val="0"/>
                <w:numId w:val="13"/>
              </w:numPr>
              <w:spacing w:before="80" w:after="8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Coverage is also available for spouse</w:t>
            </w:r>
            <w:r>
              <w:rPr>
                <w:rFonts w:ascii="Arial" w:hAnsi="Arial" w:cs="Arial"/>
                <w:sz w:val="20"/>
                <w:szCs w:val="20"/>
              </w:rPr>
              <w:t>/sponsored adult dependent and other</w:t>
            </w:r>
            <w:r w:rsidRPr="00AB6D48">
              <w:rPr>
                <w:rFonts w:ascii="Arial" w:hAnsi="Arial" w:cs="Arial"/>
                <w:sz w:val="20"/>
                <w:szCs w:val="20"/>
              </w:rPr>
              <w:t xml:space="preserve"> dependents.</w:t>
            </w:r>
          </w:p>
        </w:tc>
      </w:tr>
    </w:tbl>
    <w:p w:rsidR="00B014B3" w:rsidRPr="000439D4" w:rsidRDefault="00DF1353" w:rsidP="00DF1353">
      <w:pPr>
        <w:pStyle w:val="Heading2"/>
        <w:spacing w:before="400"/>
      </w:pPr>
      <w:bookmarkStart w:id="22" w:name="_Toc81312727"/>
      <w:r>
        <w:t>D</w:t>
      </w:r>
      <w:r w:rsidR="00B014B3">
        <w:t>ISABILITY INSURANCE</w:t>
      </w:r>
      <w:bookmarkEnd w:id="22"/>
    </w:p>
    <w:tbl>
      <w:tblPr>
        <w:tblStyle w:val="GridTable4-Accent1"/>
        <w:tblW w:w="0" w:type="auto"/>
        <w:jc w:val="center"/>
        <w:tblLook w:val="04A0" w:firstRow="1" w:lastRow="0" w:firstColumn="1" w:lastColumn="0" w:noHBand="0" w:noVBand="1"/>
      </w:tblPr>
      <w:tblGrid>
        <w:gridCol w:w="3374"/>
        <w:gridCol w:w="7534"/>
      </w:tblGrid>
      <w:tr w:rsidR="00B014B3" w:rsidTr="00816082">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374" w:type="dxa"/>
          </w:tcPr>
          <w:p w:rsidR="00B014B3" w:rsidRPr="00AB6D48" w:rsidRDefault="00B014B3" w:rsidP="00816082">
            <w:pPr>
              <w:spacing w:before="40" w:after="40"/>
              <w:rPr>
                <w:rFonts w:ascii="Arial" w:hAnsi="Arial" w:cs="Arial"/>
                <w:sz w:val="20"/>
                <w:szCs w:val="20"/>
              </w:rPr>
            </w:pPr>
            <w:r w:rsidRPr="00AB6D48">
              <w:rPr>
                <w:rFonts w:ascii="Arial" w:hAnsi="Arial" w:cs="Arial"/>
                <w:sz w:val="20"/>
                <w:szCs w:val="20"/>
              </w:rPr>
              <w:t>Type/Provider</w:t>
            </w:r>
          </w:p>
        </w:tc>
        <w:tc>
          <w:tcPr>
            <w:tcW w:w="7534" w:type="dxa"/>
          </w:tcPr>
          <w:p w:rsidR="00B014B3" w:rsidRPr="00AB6D48" w:rsidRDefault="00B014B3" w:rsidP="00816082">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Coverage Highlights</w:t>
            </w:r>
          </w:p>
        </w:tc>
      </w:tr>
      <w:tr w:rsidR="00B014B3" w:rsidTr="00816082">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374" w:type="dxa"/>
          </w:tcPr>
          <w:p w:rsidR="00B014B3" w:rsidRPr="00AB6D48" w:rsidRDefault="00B014B3" w:rsidP="00816082">
            <w:pPr>
              <w:spacing w:before="80" w:after="40"/>
              <w:rPr>
                <w:rFonts w:ascii="Arial" w:hAnsi="Arial" w:cs="Arial"/>
                <w:color w:val="323232"/>
                <w:sz w:val="20"/>
                <w:szCs w:val="20"/>
              </w:rPr>
            </w:pPr>
            <w:r w:rsidRPr="00AB6D48">
              <w:rPr>
                <w:rFonts w:ascii="Arial" w:hAnsi="Arial" w:cs="Arial"/>
                <w:color w:val="323232"/>
                <w:sz w:val="20"/>
                <w:szCs w:val="20"/>
              </w:rPr>
              <w:t>Supplemental Long-Term Disability Insurance (LTD)</w:t>
            </w:r>
          </w:p>
          <w:p w:rsidR="00B014B3" w:rsidRPr="00AB6D48" w:rsidRDefault="00B014B3" w:rsidP="00816082">
            <w:pPr>
              <w:spacing w:before="40" w:after="40"/>
              <w:rPr>
                <w:rFonts w:ascii="Arial" w:hAnsi="Arial" w:cs="Arial"/>
                <w:b w:val="0"/>
                <w:i/>
                <w:color w:val="323232"/>
                <w:sz w:val="20"/>
                <w:szCs w:val="20"/>
              </w:rPr>
            </w:pPr>
            <w:r w:rsidRPr="00AB6D48">
              <w:rPr>
                <w:rFonts w:ascii="Arial" w:hAnsi="Arial" w:cs="Arial"/>
                <w:b w:val="0"/>
                <w:i/>
                <w:color w:val="323232"/>
                <w:sz w:val="20"/>
                <w:szCs w:val="20"/>
              </w:rPr>
              <w:t xml:space="preserve">The Standard Life Insurance Company  </w:t>
            </w:r>
          </w:p>
        </w:tc>
        <w:tc>
          <w:tcPr>
            <w:tcW w:w="7534" w:type="dxa"/>
          </w:tcPr>
          <w:p w:rsidR="00B014B3" w:rsidRPr="00AB6D48" w:rsidRDefault="00B014B3" w:rsidP="00B014B3">
            <w:pPr>
              <w:pStyle w:val="BodyText"/>
              <w:numPr>
                <w:ilvl w:val="0"/>
                <w:numId w:val="15"/>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Active full-time non-student employees are eligible if the most recent employment period is continuous for a minimum of 12 months (nine months for faculty on a nine-month appointment). </w:t>
            </w:r>
          </w:p>
          <w:p w:rsidR="00B014B3" w:rsidRPr="00AB6D48" w:rsidRDefault="00B014B3" w:rsidP="00B014B3">
            <w:pPr>
              <w:pStyle w:val="BodyText"/>
              <w:numPr>
                <w:ilvl w:val="0"/>
                <w:numId w:val="15"/>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The benefit</w:t>
            </w:r>
            <w:r w:rsidR="00DF1353">
              <w:rPr>
                <w:rFonts w:ascii="Arial" w:hAnsi="Arial" w:cs="Arial"/>
                <w:sz w:val="20"/>
                <w:szCs w:val="20"/>
              </w:rPr>
              <w:t>s provide</w:t>
            </w:r>
            <w:r w:rsidRPr="00AB6D48">
              <w:rPr>
                <w:rFonts w:ascii="Arial" w:hAnsi="Arial" w:cs="Arial"/>
                <w:sz w:val="20"/>
                <w:szCs w:val="20"/>
              </w:rPr>
              <w:t xml:space="preserve"> supplemental LTD coverage for new employees and additional coverage for employees employed one year or longer if they become disabled and unable to work due to a non-work related illness or injury. </w:t>
            </w:r>
          </w:p>
          <w:p w:rsidR="00B014B3" w:rsidRPr="00AB6D48" w:rsidRDefault="00B014B3" w:rsidP="00B014B3">
            <w:pPr>
              <w:pStyle w:val="BodyText"/>
              <w:numPr>
                <w:ilvl w:val="0"/>
                <w:numId w:val="15"/>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New employees within their first 30 days may purchase LTD coverage with no medical underwriting for their first year of full-time employment. </w:t>
            </w:r>
          </w:p>
          <w:p w:rsidR="00B014B3" w:rsidRPr="00AB6D48" w:rsidRDefault="00B014B3" w:rsidP="00B014B3">
            <w:pPr>
              <w:pStyle w:val="BodyText"/>
              <w:numPr>
                <w:ilvl w:val="0"/>
                <w:numId w:val="15"/>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Full-time, benefit-eligible employees who have been employed one year or longer may purchase a benefit of 10% (in addition to the Auburn provided LTD coverage) during Open Enrollment.</w:t>
            </w:r>
          </w:p>
          <w:p w:rsidR="00B014B3" w:rsidRPr="00AB6D48" w:rsidRDefault="00B014B3" w:rsidP="00F234D7">
            <w:pPr>
              <w:pStyle w:val="BodyText"/>
              <w:numPr>
                <w:ilvl w:val="0"/>
                <w:numId w:val="15"/>
              </w:numPr>
              <w:spacing w:before="80" w:after="8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The cost is nine cents per $100 of covered earnings. </w:t>
            </w:r>
          </w:p>
        </w:tc>
      </w:tr>
    </w:tbl>
    <w:p w:rsidR="00B014B3" w:rsidRDefault="00B014B3" w:rsidP="00B014B3">
      <w:pPr>
        <w:pStyle w:val="BodyText"/>
      </w:pPr>
    </w:p>
    <w:p w:rsidR="00AB6D48" w:rsidRPr="009A29C9" w:rsidRDefault="00B014B3" w:rsidP="005427F5">
      <w:pPr>
        <w:pStyle w:val="BodyText"/>
        <w:ind w:left="504" w:right="360"/>
        <w:rPr>
          <w:rFonts w:ascii="Arial" w:hAnsi="Arial" w:cs="Arial"/>
          <w:i/>
          <w:sz w:val="20"/>
          <w:szCs w:val="20"/>
        </w:rPr>
      </w:pPr>
      <w:r w:rsidRPr="009A29C9">
        <w:rPr>
          <w:rFonts w:ascii="Arial" w:hAnsi="Arial" w:cs="Arial"/>
          <w:i/>
          <w:sz w:val="20"/>
          <w:szCs w:val="20"/>
        </w:rPr>
        <w:t>This booklet is a brief summary of certain benefits available as of January 2022. The information contained herein is educational and is not intended as investment, legal, or tax advice. Should there be a conflict with this booklet and the plan documents or applicable insurance policies, the plan documents or insurance policies will govern. Please contact the Benefits Office for the latest detailed benefit information. Auburn University reserves the right to change, modify, amend or</w:t>
      </w:r>
      <w:r w:rsidR="005427F5" w:rsidRPr="009A29C9">
        <w:rPr>
          <w:rFonts w:ascii="Arial" w:hAnsi="Arial" w:cs="Arial"/>
          <w:i/>
          <w:sz w:val="20"/>
          <w:szCs w:val="20"/>
        </w:rPr>
        <w:t>,</w:t>
      </w:r>
      <w:r w:rsidRPr="009A29C9">
        <w:rPr>
          <w:rFonts w:ascii="Arial" w:hAnsi="Arial" w:cs="Arial"/>
          <w:i/>
          <w:sz w:val="20"/>
          <w:szCs w:val="20"/>
        </w:rPr>
        <w:t xml:space="preserve"> terminate any plan benefit at any time. Revised October 2021.</w:t>
      </w:r>
    </w:p>
    <w:p w:rsidR="00AB6D48" w:rsidRDefault="00AB6D48">
      <w:pPr>
        <w:rPr>
          <w:rFonts w:ascii="Arial" w:hAnsi="Arial" w:cs="Arial"/>
          <w:i/>
          <w:sz w:val="18"/>
          <w:szCs w:val="18"/>
        </w:rPr>
      </w:pPr>
      <w:r>
        <w:rPr>
          <w:rFonts w:ascii="Arial" w:hAnsi="Arial" w:cs="Arial"/>
          <w:i/>
        </w:rPr>
        <w:br w:type="page"/>
      </w:r>
    </w:p>
    <w:p w:rsidR="00B014B3" w:rsidRPr="000439D4" w:rsidRDefault="00B014B3" w:rsidP="00AB6D48">
      <w:pPr>
        <w:pStyle w:val="Heading2"/>
      </w:pPr>
      <w:bookmarkStart w:id="23" w:name="_Toc81312728"/>
      <w:r>
        <w:lastRenderedPageBreak/>
        <w:t>RETIREMENT PLANS</w:t>
      </w:r>
      <w:bookmarkEnd w:id="23"/>
    </w:p>
    <w:tbl>
      <w:tblPr>
        <w:tblStyle w:val="GridTable4-Accent1"/>
        <w:tblW w:w="0" w:type="auto"/>
        <w:jc w:val="center"/>
        <w:tblLook w:val="04A0" w:firstRow="1" w:lastRow="0" w:firstColumn="1" w:lastColumn="0" w:noHBand="0" w:noVBand="1"/>
      </w:tblPr>
      <w:tblGrid>
        <w:gridCol w:w="3374"/>
        <w:gridCol w:w="7534"/>
      </w:tblGrid>
      <w:tr w:rsidR="00B014B3" w:rsidTr="00816082">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374" w:type="dxa"/>
          </w:tcPr>
          <w:p w:rsidR="00B014B3" w:rsidRPr="00AB6D48" w:rsidRDefault="00B014B3" w:rsidP="00816082">
            <w:pPr>
              <w:spacing w:before="40" w:after="40"/>
              <w:rPr>
                <w:rFonts w:ascii="Arial" w:hAnsi="Arial" w:cs="Arial"/>
                <w:sz w:val="20"/>
                <w:szCs w:val="20"/>
              </w:rPr>
            </w:pPr>
            <w:r w:rsidRPr="00AB6D48">
              <w:rPr>
                <w:rFonts w:ascii="Arial" w:hAnsi="Arial" w:cs="Arial"/>
                <w:sz w:val="20"/>
                <w:szCs w:val="20"/>
              </w:rPr>
              <w:t>Type/Provider</w:t>
            </w:r>
          </w:p>
        </w:tc>
        <w:tc>
          <w:tcPr>
            <w:tcW w:w="7534" w:type="dxa"/>
          </w:tcPr>
          <w:p w:rsidR="00B014B3" w:rsidRPr="00AB6D48" w:rsidRDefault="00B014B3" w:rsidP="00816082">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Coverage Highlights</w:t>
            </w:r>
          </w:p>
        </w:tc>
      </w:tr>
      <w:tr w:rsidR="00B014B3" w:rsidTr="00816082">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374" w:type="dxa"/>
          </w:tcPr>
          <w:p w:rsidR="00DF1353" w:rsidRPr="00AB6D48" w:rsidRDefault="00DF1353" w:rsidP="00DF1353">
            <w:pPr>
              <w:spacing w:before="80" w:after="40"/>
              <w:rPr>
                <w:rFonts w:ascii="Arial" w:hAnsi="Arial" w:cs="Arial"/>
                <w:color w:val="323232"/>
                <w:sz w:val="20"/>
                <w:szCs w:val="20"/>
              </w:rPr>
            </w:pPr>
            <w:r w:rsidRPr="00AB6D48">
              <w:rPr>
                <w:rFonts w:ascii="Arial" w:hAnsi="Arial" w:cs="Arial"/>
                <w:color w:val="323232"/>
                <w:sz w:val="20"/>
                <w:szCs w:val="20"/>
              </w:rPr>
              <w:t>Tax Deferred Plan 403(b)</w:t>
            </w:r>
            <w:r>
              <w:rPr>
                <w:rFonts w:ascii="Arial" w:hAnsi="Arial" w:cs="Arial"/>
                <w:color w:val="323232"/>
                <w:sz w:val="20"/>
                <w:szCs w:val="20"/>
              </w:rPr>
              <w:t>/             Roth option</w:t>
            </w:r>
          </w:p>
          <w:p w:rsidR="00B014B3" w:rsidRPr="00AB6D48" w:rsidRDefault="00DF1353" w:rsidP="00DF1353">
            <w:pPr>
              <w:spacing w:before="40" w:after="40"/>
              <w:rPr>
                <w:rFonts w:ascii="Arial" w:hAnsi="Arial" w:cs="Arial"/>
                <w:b w:val="0"/>
                <w:i/>
                <w:color w:val="323232"/>
                <w:sz w:val="20"/>
                <w:szCs w:val="20"/>
              </w:rPr>
            </w:pPr>
            <w:r w:rsidRPr="00AB6D48">
              <w:rPr>
                <w:rFonts w:ascii="Arial" w:hAnsi="Arial" w:cs="Arial"/>
                <w:b w:val="0"/>
                <w:i/>
                <w:color w:val="323232"/>
                <w:sz w:val="20"/>
                <w:szCs w:val="20"/>
              </w:rPr>
              <w:t>Fidelity Investments, Lincoln Financial Group, TIAA</w:t>
            </w:r>
            <w:r>
              <w:rPr>
                <w:rFonts w:ascii="Arial" w:hAnsi="Arial" w:cs="Arial"/>
                <w:b w:val="0"/>
                <w:i/>
                <w:color w:val="323232"/>
                <w:sz w:val="20"/>
                <w:szCs w:val="20"/>
              </w:rPr>
              <w:t>,</w:t>
            </w:r>
            <w:r w:rsidRPr="00AB6D48">
              <w:rPr>
                <w:rFonts w:ascii="Arial" w:hAnsi="Arial" w:cs="Arial"/>
                <w:b w:val="0"/>
                <w:i/>
                <w:color w:val="323232"/>
                <w:sz w:val="20"/>
                <w:szCs w:val="20"/>
              </w:rPr>
              <w:t xml:space="preserve"> and AIG (VALIC)</w:t>
            </w:r>
          </w:p>
        </w:tc>
        <w:tc>
          <w:tcPr>
            <w:tcW w:w="7534" w:type="dxa"/>
          </w:tcPr>
          <w:p w:rsidR="00D80CF7" w:rsidRDefault="00D80CF7" w:rsidP="00D80CF7">
            <w:pPr>
              <w:pStyle w:val="BodyText"/>
              <w:numPr>
                <w:ilvl w:val="0"/>
                <w:numId w:val="11"/>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Employees who are continuously employed and designated as full-time can make deferral contributions to the plan and receive an employer match. </w:t>
            </w:r>
          </w:p>
          <w:p w:rsidR="00D80CF7" w:rsidRPr="00AB6D48" w:rsidRDefault="00D80CF7" w:rsidP="00D80CF7">
            <w:pPr>
              <w:pStyle w:val="BodyText"/>
              <w:numPr>
                <w:ilvl w:val="0"/>
                <w:numId w:val="11"/>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Employees </w:t>
            </w:r>
            <w:r>
              <w:rPr>
                <w:rFonts w:ascii="Arial" w:hAnsi="Arial" w:cs="Arial"/>
                <w:sz w:val="20"/>
                <w:szCs w:val="20"/>
              </w:rPr>
              <w:t>who</w:t>
            </w:r>
            <w:r w:rsidRPr="00AB6D48">
              <w:rPr>
                <w:rFonts w:ascii="Arial" w:hAnsi="Arial" w:cs="Arial"/>
                <w:sz w:val="20"/>
                <w:szCs w:val="20"/>
              </w:rPr>
              <w:t xml:space="preserve"> are part-time or temporary can make deferral contributions to the Plan but will not receive an employer match. Independent contractors and student</w:t>
            </w:r>
            <w:r>
              <w:rPr>
                <w:rFonts w:ascii="Arial" w:hAnsi="Arial" w:cs="Arial"/>
                <w:sz w:val="20"/>
                <w:szCs w:val="20"/>
              </w:rPr>
              <w:t xml:space="preserve"> </w:t>
            </w:r>
            <w:r w:rsidRPr="00AB6D48">
              <w:rPr>
                <w:rFonts w:ascii="Arial" w:hAnsi="Arial" w:cs="Arial"/>
                <w:sz w:val="20"/>
                <w:szCs w:val="20"/>
              </w:rPr>
              <w:t>employees are not eligible for the plan.</w:t>
            </w:r>
          </w:p>
          <w:p w:rsidR="00D80CF7" w:rsidRPr="00AB6D48" w:rsidRDefault="00D80CF7" w:rsidP="00D80CF7">
            <w:pPr>
              <w:pStyle w:val="BodyText"/>
              <w:numPr>
                <w:ilvl w:val="0"/>
                <w:numId w:val="11"/>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B6D48">
              <w:rPr>
                <w:rFonts w:ascii="Arial" w:hAnsi="Arial" w:cs="Arial"/>
                <w:sz w:val="20"/>
                <w:szCs w:val="20"/>
              </w:rPr>
              <w:t>The plans offer fixed annuities, mutual funds, and variable annuities.</w:t>
            </w:r>
          </w:p>
          <w:p w:rsidR="00D80CF7" w:rsidRPr="00AB6D48" w:rsidRDefault="00D80CF7" w:rsidP="00D80CF7">
            <w:pPr>
              <w:pStyle w:val="BodyText"/>
              <w:numPr>
                <w:ilvl w:val="0"/>
                <w:numId w:val="11"/>
              </w:numPr>
              <w:spacing w:before="80" w:after="40"/>
              <w:ind w:left="576" w:right="360" w:hanging="2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Auburn</w:t>
            </w:r>
            <w:r w:rsidRPr="00AB6D48">
              <w:rPr>
                <w:rFonts w:ascii="Arial" w:hAnsi="Arial" w:cs="Arial"/>
                <w:sz w:val="20"/>
                <w:szCs w:val="20"/>
              </w:rPr>
              <w:t xml:space="preserve"> will match up to $1,650 each plan year for full-time, benefit-eligible employees. </w:t>
            </w:r>
            <w:r>
              <w:rPr>
                <w:rFonts w:ascii="Arial" w:hAnsi="Arial" w:cs="Arial"/>
                <w:sz w:val="20"/>
                <w:szCs w:val="20"/>
              </w:rPr>
              <w:t>Auburn’s</w:t>
            </w:r>
            <w:r w:rsidRPr="00AB6D48">
              <w:rPr>
                <w:rFonts w:ascii="Arial" w:hAnsi="Arial" w:cs="Arial"/>
                <w:sz w:val="20"/>
                <w:szCs w:val="20"/>
              </w:rPr>
              <w:t xml:space="preserve"> matching portion will be vested upon completion of five years of full-time continuous service.</w:t>
            </w:r>
          </w:p>
          <w:p w:rsidR="00C20E8A" w:rsidRPr="00AB6D48" w:rsidRDefault="00D80CF7" w:rsidP="00D80CF7">
            <w:pPr>
              <w:pStyle w:val="BodyText"/>
              <w:numPr>
                <w:ilvl w:val="0"/>
                <w:numId w:val="11"/>
              </w:numPr>
              <w:spacing w:before="80" w:after="80"/>
              <w:ind w:left="576" w:right="360" w:hanging="216"/>
              <w:cnfStyle w:val="000000100000" w:firstRow="0" w:lastRow="0" w:firstColumn="0" w:lastColumn="0" w:oddVBand="0" w:evenVBand="0" w:oddHBand="1" w:evenHBand="0" w:firstRowFirstColumn="0" w:firstRowLastColumn="0" w:lastRowFirstColumn="0" w:lastRowLastColumn="0"/>
              <w:rPr>
                <w:rFonts w:ascii="Oxygen" w:hAnsi="Oxygen"/>
                <w:sz w:val="20"/>
                <w:szCs w:val="20"/>
              </w:rPr>
            </w:pPr>
            <w:r w:rsidRPr="00AB6D48">
              <w:rPr>
                <w:rFonts w:ascii="Arial" w:hAnsi="Arial" w:cs="Arial"/>
                <w:sz w:val="20"/>
                <w:szCs w:val="20"/>
              </w:rPr>
              <w:t>An employee may elect to defer, in whole percentages, up to 100% of their compensation on a pre-tax basis or, beginning April 1, 2021, they can contribute on a po</w:t>
            </w:r>
            <w:r>
              <w:rPr>
                <w:rFonts w:ascii="Arial" w:hAnsi="Arial" w:cs="Arial"/>
                <w:sz w:val="20"/>
                <w:szCs w:val="20"/>
              </w:rPr>
              <w:t>st-tax basis to a Roth account.</w:t>
            </w:r>
            <w:r w:rsidRPr="00AB6D48">
              <w:rPr>
                <w:rFonts w:ascii="Arial" w:hAnsi="Arial" w:cs="Arial"/>
                <w:sz w:val="20"/>
                <w:szCs w:val="20"/>
              </w:rPr>
              <w:t xml:space="preserve"> Federal law, however, limits the amount they may elect to defer under this plan and </w:t>
            </w:r>
            <w:r>
              <w:rPr>
                <w:rFonts w:ascii="Arial" w:hAnsi="Arial" w:cs="Arial"/>
                <w:sz w:val="20"/>
                <w:szCs w:val="20"/>
              </w:rPr>
              <w:t xml:space="preserve">the amount </w:t>
            </w:r>
            <w:r w:rsidRPr="00AB6D48">
              <w:rPr>
                <w:rFonts w:ascii="Arial" w:hAnsi="Arial" w:cs="Arial"/>
                <w:sz w:val="20"/>
                <w:szCs w:val="20"/>
              </w:rPr>
              <w:t xml:space="preserve">may change from year to year. </w:t>
            </w:r>
            <w:r w:rsidRPr="00D45809">
              <w:rPr>
                <w:rFonts w:ascii="Arial" w:hAnsi="Arial" w:cs="Arial"/>
                <w:sz w:val="20"/>
                <w:szCs w:val="20"/>
              </w:rPr>
              <w:t>As an example, in 2022 the maximum an employee is allowed to defer is $20,500 with an additional $6,500 if they are age 50 or older during the plan year.</w:t>
            </w:r>
          </w:p>
        </w:tc>
      </w:tr>
      <w:tr w:rsidR="00B014B3" w:rsidTr="00816082">
        <w:trPr>
          <w:trHeight w:val="336"/>
          <w:jc w:val="center"/>
        </w:trPr>
        <w:tc>
          <w:tcPr>
            <w:cnfStyle w:val="001000000000" w:firstRow="0" w:lastRow="0" w:firstColumn="1" w:lastColumn="0" w:oddVBand="0" w:evenVBand="0" w:oddHBand="0" w:evenHBand="0" w:firstRowFirstColumn="0" w:firstRowLastColumn="0" w:lastRowFirstColumn="0" w:lastRowLastColumn="0"/>
            <w:tcW w:w="3374" w:type="dxa"/>
          </w:tcPr>
          <w:p w:rsidR="00DF1353" w:rsidRPr="00AB6D48" w:rsidRDefault="00DF1353" w:rsidP="00DF1353">
            <w:pPr>
              <w:spacing w:before="80" w:after="40"/>
              <w:rPr>
                <w:rFonts w:ascii="Arial" w:hAnsi="Arial" w:cs="Arial"/>
                <w:color w:val="323232"/>
                <w:sz w:val="20"/>
                <w:szCs w:val="20"/>
              </w:rPr>
            </w:pPr>
            <w:r w:rsidRPr="00AB6D48">
              <w:rPr>
                <w:rFonts w:ascii="Arial" w:hAnsi="Arial" w:cs="Arial"/>
                <w:color w:val="323232"/>
                <w:sz w:val="20"/>
                <w:szCs w:val="20"/>
              </w:rPr>
              <w:t>Deferred Compensation Plan 457(b)</w:t>
            </w:r>
            <w:r>
              <w:rPr>
                <w:rFonts w:ascii="Arial" w:hAnsi="Arial" w:cs="Arial"/>
                <w:color w:val="323232"/>
                <w:sz w:val="20"/>
                <w:szCs w:val="20"/>
              </w:rPr>
              <w:t>/ Roth option</w:t>
            </w:r>
          </w:p>
          <w:p w:rsidR="00B014B3" w:rsidRPr="00AB6D48" w:rsidRDefault="00DF1353" w:rsidP="00DF1353">
            <w:pPr>
              <w:spacing w:before="40" w:after="80"/>
              <w:rPr>
                <w:rFonts w:ascii="Arial" w:hAnsi="Arial" w:cs="Arial"/>
                <w:color w:val="323232"/>
                <w:sz w:val="20"/>
                <w:szCs w:val="20"/>
              </w:rPr>
            </w:pPr>
            <w:r w:rsidRPr="00AB6D48">
              <w:rPr>
                <w:rFonts w:ascii="Arial" w:hAnsi="Arial" w:cs="Arial"/>
                <w:b w:val="0"/>
                <w:i/>
                <w:color w:val="323232"/>
                <w:sz w:val="20"/>
                <w:szCs w:val="20"/>
              </w:rPr>
              <w:t>Fidelity Investments, TIAA</w:t>
            </w:r>
            <w:r>
              <w:rPr>
                <w:rFonts w:ascii="Arial" w:hAnsi="Arial" w:cs="Arial"/>
                <w:b w:val="0"/>
                <w:i/>
                <w:color w:val="323232"/>
                <w:sz w:val="20"/>
                <w:szCs w:val="20"/>
              </w:rPr>
              <w:t>,</w:t>
            </w:r>
            <w:r w:rsidRPr="00AB6D48">
              <w:rPr>
                <w:rFonts w:ascii="Arial" w:hAnsi="Arial" w:cs="Arial"/>
                <w:b w:val="0"/>
                <w:i/>
                <w:color w:val="323232"/>
                <w:sz w:val="20"/>
                <w:szCs w:val="20"/>
              </w:rPr>
              <w:t xml:space="preserve"> and AIG (VALIC)</w:t>
            </w:r>
          </w:p>
        </w:tc>
        <w:tc>
          <w:tcPr>
            <w:tcW w:w="7534" w:type="dxa"/>
          </w:tcPr>
          <w:p w:rsidR="00D80CF7" w:rsidRPr="00AB6D48" w:rsidRDefault="00D80CF7" w:rsidP="00D80CF7">
            <w:pPr>
              <w:pStyle w:val="BodyText"/>
              <w:numPr>
                <w:ilvl w:val="0"/>
                <w:numId w:val="13"/>
              </w:numPr>
              <w:spacing w:before="80" w:after="4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Employees </w:t>
            </w:r>
            <w:r>
              <w:rPr>
                <w:rFonts w:ascii="Arial" w:hAnsi="Arial" w:cs="Arial"/>
                <w:sz w:val="20"/>
                <w:szCs w:val="20"/>
              </w:rPr>
              <w:t>who</w:t>
            </w:r>
            <w:r w:rsidRPr="00AB6D48">
              <w:rPr>
                <w:rFonts w:ascii="Arial" w:hAnsi="Arial" w:cs="Arial"/>
                <w:sz w:val="20"/>
                <w:szCs w:val="20"/>
              </w:rPr>
              <w:t xml:space="preserve"> are full-time, part-time</w:t>
            </w:r>
            <w:r>
              <w:rPr>
                <w:rFonts w:ascii="Arial" w:hAnsi="Arial" w:cs="Arial"/>
                <w:sz w:val="20"/>
                <w:szCs w:val="20"/>
              </w:rPr>
              <w:t>,</w:t>
            </w:r>
            <w:r w:rsidRPr="00AB6D48">
              <w:rPr>
                <w:rFonts w:ascii="Arial" w:hAnsi="Arial" w:cs="Arial"/>
                <w:sz w:val="20"/>
                <w:szCs w:val="20"/>
              </w:rPr>
              <w:t xml:space="preserve"> or temporary can make deferral contributions to the plan. Independent contractors and student-employees are not eligible for the plan.</w:t>
            </w:r>
          </w:p>
          <w:p w:rsidR="00D80CF7" w:rsidRPr="00AB6D48" w:rsidRDefault="00D80CF7" w:rsidP="00D80CF7">
            <w:pPr>
              <w:pStyle w:val="BodyText"/>
              <w:numPr>
                <w:ilvl w:val="0"/>
                <w:numId w:val="13"/>
              </w:numPr>
              <w:spacing w:before="80" w:after="4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D48">
              <w:rPr>
                <w:rFonts w:ascii="Arial" w:hAnsi="Arial" w:cs="Arial"/>
                <w:sz w:val="20"/>
                <w:szCs w:val="20"/>
              </w:rPr>
              <w:t xml:space="preserve">The plans offer fixed annuities, mutual funds, and variable annuities. </w:t>
            </w:r>
          </w:p>
          <w:p w:rsidR="00D80CF7" w:rsidRPr="00AB6D48" w:rsidRDefault="00D80CF7" w:rsidP="00D80CF7">
            <w:pPr>
              <w:pStyle w:val="BodyText"/>
              <w:numPr>
                <w:ilvl w:val="0"/>
                <w:numId w:val="13"/>
              </w:numPr>
              <w:spacing w:before="80" w:after="40"/>
              <w:ind w:left="576" w:right="360" w:hanging="21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Auburn does not offer a match to this plan. </w:t>
            </w:r>
            <w:r w:rsidRPr="00AB6D48">
              <w:rPr>
                <w:rFonts w:ascii="Arial" w:hAnsi="Arial" w:cs="Arial"/>
                <w:sz w:val="20"/>
                <w:szCs w:val="20"/>
              </w:rPr>
              <w:t>There is an additional opportunity to contribute to a 457(b) through the RSA-1 Deferred Compensation Plan which is administered by the Retirement Systems of Alabama.</w:t>
            </w:r>
          </w:p>
          <w:p w:rsidR="00B014B3" w:rsidRPr="00AB6D48" w:rsidRDefault="00D80CF7" w:rsidP="00D80CF7">
            <w:pPr>
              <w:pStyle w:val="BodyText"/>
              <w:numPr>
                <w:ilvl w:val="0"/>
                <w:numId w:val="13"/>
              </w:numPr>
              <w:spacing w:before="80" w:after="80"/>
              <w:ind w:left="576" w:right="360" w:hanging="216"/>
              <w:cnfStyle w:val="000000000000" w:firstRow="0" w:lastRow="0" w:firstColumn="0" w:lastColumn="0" w:oddVBand="0" w:evenVBand="0" w:oddHBand="0" w:evenHBand="0" w:firstRowFirstColumn="0" w:firstRowLastColumn="0" w:lastRowFirstColumn="0" w:lastRowLastColumn="0"/>
              <w:rPr>
                <w:rFonts w:ascii="Oxygen" w:hAnsi="Oxygen"/>
                <w:sz w:val="20"/>
                <w:szCs w:val="20"/>
              </w:rPr>
            </w:pPr>
            <w:r w:rsidRPr="00AB6D48">
              <w:rPr>
                <w:rFonts w:ascii="Arial" w:hAnsi="Arial" w:cs="Arial"/>
                <w:sz w:val="20"/>
                <w:szCs w:val="20"/>
              </w:rPr>
              <w:t xml:space="preserve">An employee may elect to defer, in whole percentages, up to 100% of their compensation on a pre-tax basis or, beginning April 1, 2021, they can contribute on a post-tax basis to a Roth account. Federal law, however, limits the amount they may elect to defer under this plan and may change from year to year. </w:t>
            </w:r>
            <w:r w:rsidRPr="00D45809">
              <w:rPr>
                <w:rFonts w:ascii="Arial" w:hAnsi="Arial" w:cs="Arial"/>
                <w:sz w:val="20"/>
                <w:szCs w:val="20"/>
              </w:rPr>
              <w:t>As an example, in 2022 the maximum an employee is allowed to defer is $20,500 with an additional $6,500 if they are age 50 or older during the plan year.</w:t>
            </w:r>
          </w:p>
        </w:tc>
      </w:tr>
    </w:tbl>
    <w:p w:rsidR="00C20E8A" w:rsidRPr="00C9582C" w:rsidRDefault="00C9582C" w:rsidP="00C9582C">
      <w:pPr>
        <w:widowControl/>
        <w:shd w:val="clear" w:color="auto" w:fill="FFFFFF"/>
        <w:tabs>
          <w:tab w:val="left" w:pos="4252"/>
        </w:tabs>
        <w:autoSpaceDE/>
        <w:autoSpaceDN/>
        <w:ind w:left="504" w:right="504"/>
        <w:rPr>
          <w:rFonts w:ascii="Arial" w:eastAsia="Times New Roman" w:hAnsi="Arial" w:cs="Arial"/>
          <w:b/>
          <w:bCs/>
          <w:sz w:val="16"/>
          <w:szCs w:val="16"/>
        </w:rPr>
      </w:pPr>
      <w:r>
        <w:rPr>
          <w:rFonts w:ascii="Arial" w:eastAsia="Times New Roman" w:hAnsi="Arial" w:cs="Arial"/>
          <w:b/>
          <w:bCs/>
          <w:sz w:val="16"/>
          <w:szCs w:val="16"/>
        </w:rPr>
        <w:tab/>
      </w:r>
    </w:p>
    <w:p w:rsidR="0037323E" w:rsidRPr="00C20E8A" w:rsidRDefault="00C20E8A" w:rsidP="00C9582C">
      <w:pPr>
        <w:widowControl/>
        <w:shd w:val="clear" w:color="auto" w:fill="FFFFFF"/>
        <w:autoSpaceDE/>
        <w:autoSpaceDN/>
        <w:spacing w:after="80"/>
        <w:ind w:left="504" w:right="504"/>
        <w:jc w:val="center"/>
        <w:rPr>
          <w:rFonts w:ascii="Arial" w:eastAsia="Times New Roman" w:hAnsi="Arial" w:cs="Arial"/>
          <w:sz w:val="28"/>
          <w:szCs w:val="28"/>
        </w:rPr>
      </w:pPr>
      <w:r>
        <w:rPr>
          <w:rFonts w:ascii="Arial" w:eastAsia="Times New Roman" w:hAnsi="Arial" w:cs="Arial"/>
          <w:b/>
          <w:bCs/>
          <w:sz w:val="28"/>
          <w:szCs w:val="28"/>
        </w:rPr>
        <w:t>ROTH OPTIONS AVAILABLE</w:t>
      </w:r>
    </w:p>
    <w:p w:rsidR="00C20E8A" w:rsidRPr="009A29C9" w:rsidRDefault="00C20E8A" w:rsidP="009A29C9">
      <w:pPr>
        <w:pStyle w:val="BodyText"/>
        <w:ind w:left="504" w:right="504"/>
        <w:rPr>
          <w:rFonts w:ascii="Arial" w:hAnsi="Arial" w:cs="Arial"/>
          <w:sz w:val="20"/>
          <w:szCs w:val="20"/>
        </w:rPr>
      </w:pPr>
      <w:r w:rsidRPr="009A29C9">
        <w:rPr>
          <w:rFonts w:ascii="Arial" w:hAnsi="Arial" w:cs="Arial"/>
          <w:sz w:val="20"/>
          <w:szCs w:val="20"/>
        </w:rPr>
        <w:t xml:space="preserve">Roth </w:t>
      </w:r>
      <w:r w:rsidR="00AB6D48" w:rsidRPr="009A29C9">
        <w:rPr>
          <w:rFonts w:ascii="Arial" w:hAnsi="Arial" w:cs="Arial"/>
          <w:sz w:val="20"/>
          <w:szCs w:val="20"/>
        </w:rPr>
        <w:t>options are</w:t>
      </w:r>
      <w:r w:rsidRPr="009A29C9">
        <w:rPr>
          <w:rFonts w:ascii="Arial" w:hAnsi="Arial" w:cs="Arial"/>
          <w:sz w:val="20"/>
          <w:szCs w:val="20"/>
        </w:rPr>
        <w:t xml:space="preserve"> available</w:t>
      </w:r>
      <w:r w:rsidR="00AB6D48" w:rsidRPr="009A29C9">
        <w:rPr>
          <w:rFonts w:ascii="Arial" w:hAnsi="Arial" w:cs="Arial"/>
          <w:sz w:val="20"/>
          <w:szCs w:val="20"/>
        </w:rPr>
        <w:t xml:space="preserve"> for the 403(b) and 457(b) plans</w:t>
      </w:r>
      <w:r w:rsidR="005427F5" w:rsidRPr="009A29C9">
        <w:rPr>
          <w:rFonts w:ascii="Arial" w:hAnsi="Arial" w:cs="Arial"/>
          <w:sz w:val="20"/>
          <w:szCs w:val="20"/>
        </w:rPr>
        <w:t xml:space="preserve">. </w:t>
      </w:r>
      <w:r w:rsidR="00AB6D48" w:rsidRPr="009A29C9">
        <w:rPr>
          <w:rFonts w:ascii="Arial" w:hAnsi="Arial" w:cs="Arial"/>
          <w:sz w:val="20"/>
          <w:szCs w:val="20"/>
        </w:rPr>
        <w:t>This</w:t>
      </w:r>
      <w:r w:rsidRPr="009A29C9">
        <w:rPr>
          <w:rFonts w:ascii="Arial" w:hAnsi="Arial" w:cs="Arial"/>
          <w:sz w:val="20"/>
          <w:szCs w:val="20"/>
        </w:rPr>
        <w:t xml:space="preserve"> is an additional way</w:t>
      </w:r>
      <w:r w:rsidR="005427F5" w:rsidRPr="009A29C9">
        <w:rPr>
          <w:rFonts w:ascii="Arial" w:hAnsi="Arial" w:cs="Arial"/>
          <w:sz w:val="20"/>
          <w:szCs w:val="20"/>
        </w:rPr>
        <w:t xml:space="preserve"> </w:t>
      </w:r>
      <w:r w:rsidRPr="009A29C9">
        <w:rPr>
          <w:rFonts w:ascii="Arial" w:hAnsi="Arial" w:cs="Arial"/>
          <w:sz w:val="20"/>
          <w:szCs w:val="20"/>
        </w:rPr>
        <w:t xml:space="preserve">to save in </w:t>
      </w:r>
      <w:r w:rsidR="005427F5" w:rsidRPr="009A29C9">
        <w:rPr>
          <w:rFonts w:ascii="Arial" w:hAnsi="Arial" w:cs="Arial"/>
          <w:sz w:val="20"/>
          <w:szCs w:val="20"/>
        </w:rPr>
        <w:t>the</w:t>
      </w:r>
      <w:r w:rsidRPr="009A29C9">
        <w:rPr>
          <w:rFonts w:ascii="Arial" w:hAnsi="Arial" w:cs="Arial"/>
          <w:sz w:val="20"/>
          <w:szCs w:val="20"/>
        </w:rPr>
        <w:t xml:space="preserve"> plan where </w:t>
      </w:r>
      <w:r w:rsidR="009A29C9" w:rsidRPr="009A29C9">
        <w:rPr>
          <w:rFonts w:ascii="Arial" w:hAnsi="Arial" w:cs="Arial"/>
          <w:sz w:val="20"/>
          <w:szCs w:val="20"/>
        </w:rPr>
        <w:t>an employee</w:t>
      </w:r>
      <w:r w:rsidRPr="009A29C9">
        <w:rPr>
          <w:rFonts w:ascii="Arial" w:hAnsi="Arial" w:cs="Arial"/>
          <w:sz w:val="20"/>
          <w:szCs w:val="20"/>
        </w:rPr>
        <w:t xml:space="preserve"> contribute</w:t>
      </w:r>
      <w:r w:rsidR="009A29C9" w:rsidRPr="009A29C9">
        <w:rPr>
          <w:rFonts w:ascii="Arial" w:hAnsi="Arial" w:cs="Arial"/>
          <w:sz w:val="20"/>
          <w:szCs w:val="20"/>
        </w:rPr>
        <w:t>s after-tax dollars from their</w:t>
      </w:r>
      <w:r w:rsidRPr="009A29C9">
        <w:rPr>
          <w:rFonts w:ascii="Arial" w:hAnsi="Arial" w:cs="Arial"/>
          <w:sz w:val="20"/>
          <w:szCs w:val="20"/>
        </w:rPr>
        <w:t xml:space="preserve"> paycheck. Unlike a traditional pre-tax 403(b)</w:t>
      </w:r>
      <w:r w:rsidR="00AB6D48" w:rsidRPr="009A29C9">
        <w:rPr>
          <w:rFonts w:ascii="Arial" w:hAnsi="Arial" w:cs="Arial"/>
          <w:sz w:val="20"/>
          <w:szCs w:val="20"/>
        </w:rPr>
        <w:t xml:space="preserve"> or 457(b)</w:t>
      </w:r>
      <w:r w:rsidRPr="009A29C9">
        <w:rPr>
          <w:rFonts w:ascii="Arial" w:hAnsi="Arial" w:cs="Arial"/>
          <w:sz w:val="20"/>
          <w:szCs w:val="20"/>
        </w:rPr>
        <w:t xml:space="preserve">, when </w:t>
      </w:r>
      <w:r w:rsidR="009A29C9" w:rsidRPr="009A29C9">
        <w:rPr>
          <w:rFonts w:ascii="Arial" w:hAnsi="Arial" w:cs="Arial"/>
          <w:sz w:val="20"/>
          <w:szCs w:val="20"/>
        </w:rPr>
        <w:t>an employee</w:t>
      </w:r>
      <w:r w:rsidRPr="009A29C9">
        <w:rPr>
          <w:rFonts w:ascii="Arial" w:hAnsi="Arial" w:cs="Arial"/>
          <w:sz w:val="20"/>
          <w:szCs w:val="20"/>
        </w:rPr>
        <w:t xml:space="preserve"> contribute</w:t>
      </w:r>
      <w:r w:rsidR="009A29C9" w:rsidRPr="009A29C9">
        <w:rPr>
          <w:rFonts w:ascii="Arial" w:hAnsi="Arial" w:cs="Arial"/>
          <w:sz w:val="20"/>
          <w:szCs w:val="20"/>
        </w:rPr>
        <w:t>s</w:t>
      </w:r>
      <w:r w:rsidRPr="009A29C9">
        <w:rPr>
          <w:rFonts w:ascii="Arial" w:hAnsi="Arial" w:cs="Arial"/>
          <w:sz w:val="20"/>
          <w:szCs w:val="20"/>
        </w:rPr>
        <w:t xml:space="preserve"> to a Roth, at retirement </w:t>
      </w:r>
      <w:r w:rsidR="009A29C9" w:rsidRPr="009A29C9">
        <w:rPr>
          <w:rFonts w:ascii="Arial" w:hAnsi="Arial" w:cs="Arial"/>
          <w:sz w:val="20"/>
          <w:szCs w:val="20"/>
        </w:rPr>
        <w:t>they</w:t>
      </w:r>
      <w:r w:rsidRPr="009A29C9">
        <w:rPr>
          <w:rFonts w:ascii="Arial" w:hAnsi="Arial" w:cs="Arial"/>
          <w:sz w:val="20"/>
          <w:szCs w:val="20"/>
        </w:rPr>
        <w:t xml:space="preserve"> can then withdraw tax-free dollars from </w:t>
      </w:r>
      <w:r w:rsidR="009A29C9" w:rsidRPr="009A29C9">
        <w:rPr>
          <w:rFonts w:ascii="Arial" w:hAnsi="Arial" w:cs="Arial"/>
          <w:sz w:val="20"/>
          <w:szCs w:val="20"/>
        </w:rPr>
        <w:t>their</w:t>
      </w:r>
      <w:r w:rsidRPr="009A29C9">
        <w:rPr>
          <w:rFonts w:ascii="Arial" w:hAnsi="Arial" w:cs="Arial"/>
          <w:sz w:val="20"/>
          <w:szCs w:val="20"/>
        </w:rPr>
        <w:t xml:space="preserve"> account</w:t>
      </w:r>
      <w:r w:rsidR="00AB6D48" w:rsidRPr="009A29C9">
        <w:rPr>
          <w:rFonts w:ascii="Arial" w:hAnsi="Arial" w:cs="Arial"/>
          <w:sz w:val="20"/>
          <w:szCs w:val="20"/>
        </w:rPr>
        <w:t>.</w:t>
      </w:r>
    </w:p>
    <w:sectPr w:rsidR="00C20E8A" w:rsidRPr="009A29C9" w:rsidSect="00B014B3">
      <w:pgSz w:w="12240" w:h="15840"/>
      <w:pgMar w:top="340" w:right="140" w:bottom="440" w:left="20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21" w:rsidRDefault="00333121">
      <w:r>
        <w:separator/>
      </w:r>
    </w:p>
  </w:endnote>
  <w:endnote w:type="continuationSeparator" w:id="0">
    <w:p w:rsidR="00333121" w:rsidRDefault="0033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Oxygen">
    <w:altName w:val="Shrub"/>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060458"/>
      <w:docPartObj>
        <w:docPartGallery w:val="Page Numbers (Bottom of Page)"/>
        <w:docPartUnique/>
      </w:docPartObj>
    </w:sdtPr>
    <w:sdtEndPr>
      <w:rPr>
        <w:noProof/>
      </w:rPr>
    </w:sdtEndPr>
    <w:sdtContent>
      <w:p w:rsidR="000831DE" w:rsidRDefault="000831DE">
        <w:pPr>
          <w:pStyle w:val="Footer"/>
          <w:jc w:val="center"/>
        </w:pPr>
        <w:r w:rsidRPr="003E470C">
          <w:rPr>
            <w:rFonts w:ascii="Arial" w:hAnsi="Arial" w:cs="Arial"/>
          </w:rPr>
          <w:fldChar w:fldCharType="begin"/>
        </w:r>
        <w:r w:rsidRPr="003E470C">
          <w:rPr>
            <w:rFonts w:ascii="Arial" w:hAnsi="Arial" w:cs="Arial"/>
          </w:rPr>
          <w:instrText xml:space="preserve"> PAGE   \* MERGEFORMAT </w:instrText>
        </w:r>
        <w:r w:rsidRPr="003E470C">
          <w:rPr>
            <w:rFonts w:ascii="Arial" w:hAnsi="Arial" w:cs="Arial"/>
          </w:rPr>
          <w:fldChar w:fldCharType="separate"/>
        </w:r>
        <w:r w:rsidR="00D8205C">
          <w:rPr>
            <w:rFonts w:ascii="Arial" w:hAnsi="Arial" w:cs="Arial"/>
            <w:noProof/>
          </w:rPr>
          <w:t>1</w:t>
        </w:r>
        <w:r w:rsidRPr="003E470C">
          <w:rPr>
            <w:rFonts w:ascii="Arial" w:hAnsi="Arial" w:cs="Arial"/>
            <w:noProof/>
          </w:rPr>
          <w:fldChar w:fldCharType="end"/>
        </w:r>
      </w:p>
    </w:sdtContent>
  </w:sdt>
  <w:p w:rsidR="000831DE" w:rsidRDefault="000831D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21" w:rsidRDefault="00333121">
      <w:r>
        <w:separator/>
      </w:r>
    </w:p>
  </w:footnote>
  <w:footnote w:type="continuationSeparator" w:id="0">
    <w:p w:rsidR="00333121" w:rsidRDefault="0033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DE" w:rsidRDefault="000831DE">
    <w:pPr>
      <w:pStyle w:val="Header"/>
    </w:pPr>
  </w:p>
  <w:p w:rsidR="000831DE" w:rsidRDefault="000831DE">
    <w:pPr>
      <w:pStyle w:val="Header"/>
    </w:pPr>
  </w:p>
  <w:p w:rsidR="000831DE" w:rsidRDefault="00083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EB5"/>
    <w:multiLevelType w:val="hybridMultilevel"/>
    <w:tmpl w:val="5EFE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68A7"/>
    <w:multiLevelType w:val="multilevel"/>
    <w:tmpl w:val="5C8A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149D4"/>
    <w:multiLevelType w:val="hybridMultilevel"/>
    <w:tmpl w:val="7010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70060"/>
    <w:multiLevelType w:val="hybridMultilevel"/>
    <w:tmpl w:val="2C62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85740"/>
    <w:multiLevelType w:val="hybridMultilevel"/>
    <w:tmpl w:val="051EC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F03DDB"/>
    <w:multiLevelType w:val="multilevel"/>
    <w:tmpl w:val="7B0C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57039"/>
    <w:multiLevelType w:val="multilevel"/>
    <w:tmpl w:val="11DA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D07C5"/>
    <w:multiLevelType w:val="multilevel"/>
    <w:tmpl w:val="7414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C3D87"/>
    <w:multiLevelType w:val="multilevel"/>
    <w:tmpl w:val="47B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60F7E"/>
    <w:multiLevelType w:val="multilevel"/>
    <w:tmpl w:val="0782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C7899"/>
    <w:multiLevelType w:val="multilevel"/>
    <w:tmpl w:val="D58C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D2F9C"/>
    <w:multiLevelType w:val="hybridMultilevel"/>
    <w:tmpl w:val="66B6F31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489D68AF"/>
    <w:multiLevelType w:val="hybridMultilevel"/>
    <w:tmpl w:val="B928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47D94"/>
    <w:multiLevelType w:val="hybridMultilevel"/>
    <w:tmpl w:val="D7FE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46762"/>
    <w:multiLevelType w:val="hybridMultilevel"/>
    <w:tmpl w:val="CD70B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657D36"/>
    <w:multiLevelType w:val="multilevel"/>
    <w:tmpl w:val="BB3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A2230"/>
    <w:multiLevelType w:val="hybridMultilevel"/>
    <w:tmpl w:val="8CBE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A312C"/>
    <w:multiLevelType w:val="hybridMultilevel"/>
    <w:tmpl w:val="224C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2"/>
  </w:num>
  <w:num w:numId="5">
    <w:abstractNumId w:val="5"/>
  </w:num>
  <w:num w:numId="6">
    <w:abstractNumId w:val="17"/>
  </w:num>
  <w:num w:numId="7">
    <w:abstractNumId w:val="14"/>
  </w:num>
  <w:num w:numId="8">
    <w:abstractNumId w:val="10"/>
  </w:num>
  <w:num w:numId="9">
    <w:abstractNumId w:val="7"/>
  </w:num>
  <w:num w:numId="10">
    <w:abstractNumId w:val="6"/>
  </w:num>
  <w:num w:numId="11">
    <w:abstractNumId w:val="13"/>
  </w:num>
  <w:num w:numId="12">
    <w:abstractNumId w:val="8"/>
  </w:num>
  <w:num w:numId="13">
    <w:abstractNumId w:val="16"/>
  </w:num>
  <w:num w:numId="14">
    <w:abstractNumId w:val="15"/>
  </w:num>
  <w:num w:numId="15">
    <w:abstractNumId w:val="3"/>
  </w:num>
  <w:num w:numId="16">
    <w:abstractNumId w:val="1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EE"/>
    <w:rsid w:val="0000525B"/>
    <w:rsid w:val="000439D4"/>
    <w:rsid w:val="000831DE"/>
    <w:rsid w:val="001C3897"/>
    <w:rsid w:val="00333121"/>
    <w:rsid w:val="00350B7B"/>
    <w:rsid w:val="0037323E"/>
    <w:rsid w:val="003926E6"/>
    <w:rsid w:val="003E470C"/>
    <w:rsid w:val="00476B2A"/>
    <w:rsid w:val="004A4540"/>
    <w:rsid w:val="004B3FCE"/>
    <w:rsid w:val="004E665B"/>
    <w:rsid w:val="005427F5"/>
    <w:rsid w:val="0059597A"/>
    <w:rsid w:val="005B666E"/>
    <w:rsid w:val="00614D6C"/>
    <w:rsid w:val="007765DA"/>
    <w:rsid w:val="008D04EE"/>
    <w:rsid w:val="009803BE"/>
    <w:rsid w:val="009A29C9"/>
    <w:rsid w:val="009F0055"/>
    <w:rsid w:val="00A172AC"/>
    <w:rsid w:val="00A24EDC"/>
    <w:rsid w:val="00AB6D48"/>
    <w:rsid w:val="00B014B3"/>
    <w:rsid w:val="00B43D12"/>
    <w:rsid w:val="00BC2BD5"/>
    <w:rsid w:val="00C20E8A"/>
    <w:rsid w:val="00C25C89"/>
    <w:rsid w:val="00C37EB1"/>
    <w:rsid w:val="00C613A3"/>
    <w:rsid w:val="00C9582C"/>
    <w:rsid w:val="00CE224E"/>
    <w:rsid w:val="00D044BD"/>
    <w:rsid w:val="00D80CF7"/>
    <w:rsid w:val="00D8205C"/>
    <w:rsid w:val="00DF1353"/>
    <w:rsid w:val="00E46F89"/>
    <w:rsid w:val="00EB35E2"/>
    <w:rsid w:val="00F04189"/>
    <w:rsid w:val="00F234D7"/>
    <w:rsid w:val="00F36FB3"/>
    <w:rsid w:val="00F746FF"/>
    <w:rsid w:val="00FB7729"/>
    <w:rsid w:val="00FF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3426A-10F1-4CF2-B744-0A28474C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rsid w:val="000439D4"/>
    <w:pPr>
      <w:spacing w:before="160" w:after="160"/>
      <w:jc w:val="center"/>
      <w:outlineLvl w:val="0"/>
    </w:pPr>
    <w:rPr>
      <w:rFonts w:ascii="Garamond" w:eastAsia="Palatino Linotype" w:hAnsi="Garamond" w:cs="Arial"/>
      <w:b/>
      <w:color w:val="03244D"/>
      <w:w w:val="90"/>
      <w:sz w:val="44"/>
      <w:szCs w:val="44"/>
    </w:rPr>
  </w:style>
  <w:style w:type="paragraph" w:styleId="Heading2">
    <w:name w:val="heading 2"/>
    <w:basedOn w:val="Heading1"/>
    <w:uiPriority w:val="1"/>
    <w:qFormat/>
    <w:rsid w:val="00AB6D48"/>
    <w:pPr>
      <w:spacing w:before="0"/>
      <w:outlineLvl w:val="1"/>
    </w:pPr>
    <w:rPr>
      <w:rFonts w:ascii="Arial" w:hAnsi="Arial"/>
      <w:w w:val="100"/>
      <w:sz w:val="36"/>
      <w:szCs w:val="36"/>
    </w:rPr>
  </w:style>
  <w:style w:type="paragraph" w:styleId="Heading3">
    <w:name w:val="heading 3"/>
    <w:basedOn w:val="Heading2"/>
    <w:uiPriority w:val="1"/>
    <w:qFormat/>
    <w:rsid w:val="00B014B3"/>
    <w:pPr>
      <w:spacing w:before="120" w:after="40"/>
      <w:ind w:left="504"/>
      <w:jc w:val="left"/>
      <w:outlineLvl w:val="2"/>
    </w:pPr>
    <w:rPr>
      <w:sz w:val="24"/>
      <w:szCs w:val="24"/>
    </w:rPr>
  </w:style>
  <w:style w:type="paragraph" w:styleId="Heading4">
    <w:name w:val="heading 4"/>
    <w:basedOn w:val="Heading3"/>
    <w:next w:val="Normal"/>
    <w:link w:val="Heading4Char"/>
    <w:uiPriority w:val="9"/>
    <w:unhideWhenUsed/>
    <w:qFormat/>
    <w:rsid w:val="00B014B3"/>
    <w:pPr>
      <w:spacing w:before="160"/>
      <w:ind w:left="0"/>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2"/>
      <w:ind w:left="154"/>
    </w:pPr>
    <w:rPr>
      <w:rFonts w:ascii="Calibri" w:eastAsia="Calibri" w:hAnsi="Calibri" w:cs="Calibri"/>
    </w:rPr>
  </w:style>
  <w:style w:type="table" w:styleId="TableGrid">
    <w:name w:val="Table Grid"/>
    <w:basedOn w:val="TableNormal"/>
    <w:uiPriority w:val="39"/>
    <w:rsid w:val="00EB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B35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D044BD"/>
    <w:rPr>
      <w:color w:val="0000FF"/>
      <w:u w:val="single"/>
    </w:rPr>
  </w:style>
  <w:style w:type="paragraph" w:styleId="Header">
    <w:name w:val="header"/>
    <w:basedOn w:val="Normal"/>
    <w:link w:val="HeaderChar"/>
    <w:uiPriority w:val="99"/>
    <w:unhideWhenUsed/>
    <w:rsid w:val="004E665B"/>
    <w:pPr>
      <w:tabs>
        <w:tab w:val="center" w:pos="4680"/>
        <w:tab w:val="right" w:pos="9360"/>
      </w:tabs>
    </w:pPr>
  </w:style>
  <w:style w:type="character" w:customStyle="1" w:styleId="HeaderChar">
    <w:name w:val="Header Char"/>
    <w:basedOn w:val="DefaultParagraphFont"/>
    <w:link w:val="Header"/>
    <w:uiPriority w:val="99"/>
    <w:rsid w:val="004E665B"/>
    <w:rPr>
      <w:rFonts w:ascii="Arial Narrow" w:eastAsia="Arial Narrow" w:hAnsi="Arial Narrow" w:cs="Arial Narrow"/>
    </w:rPr>
  </w:style>
  <w:style w:type="paragraph" w:styleId="Footer">
    <w:name w:val="footer"/>
    <w:basedOn w:val="Normal"/>
    <w:link w:val="FooterChar"/>
    <w:uiPriority w:val="99"/>
    <w:unhideWhenUsed/>
    <w:rsid w:val="004E665B"/>
    <w:pPr>
      <w:tabs>
        <w:tab w:val="center" w:pos="4680"/>
        <w:tab w:val="right" w:pos="9360"/>
      </w:tabs>
    </w:pPr>
  </w:style>
  <w:style w:type="character" w:customStyle="1" w:styleId="FooterChar">
    <w:name w:val="Footer Char"/>
    <w:basedOn w:val="DefaultParagraphFont"/>
    <w:link w:val="Footer"/>
    <w:uiPriority w:val="99"/>
    <w:rsid w:val="004E665B"/>
    <w:rPr>
      <w:rFonts w:ascii="Arial Narrow" w:eastAsia="Arial Narrow" w:hAnsi="Arial Narrow" w:cs="Arial Narrow"/>
    </w:rPr>
  </w:style>
  <w:style w:type="paragraph" w:styleId="BalloonText">
    <w:name w:val="Balloon Text"/>
    <w:basedOn w:val="Normal"/>
    <w:link w:val="BalloonTextChar"/>
    <w:uiPriority w:val="99"/>
    <w:semiHidden/>
    <w:unhideWhenUsed/>
    <w:rsid w:val="004E6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65B"/>
    <w:rPr>
      <w:rFonts w:ascii="Segoe UI" w:eastAsia="Arial Narrow" w:hAnsi="Segoe UI" w:cs="Segoe UI"/>
      <w:sz w:val="18"/>
      <w:szCs w:val="18"/>
    </w:rPr>
  </w:style>
  <w:style w:type="paragraph" w:styleId="TOCHeading">
    <w:name w:val="TOC Heading"/>
    <w:basedOn w:val="Heading1"/>
    <w:next w:val="Normal"/>
    <w:uiPriority w:val="39"/>
    <w:unhideWhenUsed/>
    <w:qFormat/>
    <w:rsid w:val="00B014B3"/>
    <w:pPr>
      <w:keepNext/>
      <w:keepLines/>
      <w:widowControl/>
      <w:autoSpaceDE/>
      <w:autoSpaceDN/>
      <w:spacing w:before="240" w:after="0" w:line="259" w:lineRule="auto"/>
      <w:jc w:val="left"/>
      <w:outlineLvl w:val="9"/>
    </w:pPr>
    <w:rPr>
      <w:rFonts w:asciiTheme="majorHAnsi" w:eastAsiaTheme="majorEastAsia" w:hAnsiTheme="majorHAnsi" w:cstheme="majorBidi"/>
      <w:b w:val="0"/>
      <w:color w:val="365F91" w:themeColor="accent1" w:themeShade="BF"/>
      <w:w w:val="100"/>
      <w:sz w:val="32"/>
      <w:szCs w:val="32"/>
    </w:rPr>
  </w:style>
  <w:style w:type="paragraph" w:styleId="TOC1">
    <w:name w:val="toc 1"/>
    <w:basedOn w:val="Normal"/>
    <w:next w:val="Normal"/>
    <w:autoRedefine/>
    <w:uiPriority w:val="39"/>
    <w:unhideWhenUsed/>
    <w:rsid w:val="00B014B3"/>
    <w:pPr>
      <w:spacing w:after="100"/>
    </w:pPr>
  </w:style>
  <w:style w:type="paragraph" w:styleId="TOC3">
    <w:name w:val="toc 3"/>
    <w:basedOn w:val="Normal"/>
    <w:next w:val="Normal"/>
    <w:autoRedefine/>
    <w:uiPriority w:val="39"/>
    <w:unhideWhenUsed/>
    <w:rsid w:val="00B014B3"/>
    <w:pPr>
      <w:spacing w:after="100"/>
      <w:ind w:left="440"/>
    </w:pPr>
  </w:style>
  <w:style w:type="paragraph" w:styleId="TOC2">
    <w:name w:val="toc 2"/>
    <w:basedOn w:val="Normal"/>
    <w:next w:val="Normal"/>
    <w:autoRedefine/>
    <w:uiPriority w:val="39"/>
    <w:unhideWhenUsed/>
    <w:rsid w:val="00B014B3"/>
    <w:pPr>
      <w:spacing w:after="100"/>
      <w:ind w:left="220"/>
    </w:pPr>
  </w:style>
  <w:style w:type="character" w:customStyle="1" w:styleId="Heading4Char">
    <w:name w:val="Heading 4 Char"/>
    <w:basedOn w:val="DefaultParagraphFont"/>
    <w:link w:val="Heading4"/>
    <w:uiPriority w:val="9"/>
    <w:rsid w:val="00B014B3"/>
    <w:rPr>
      <w:rFonts w:ascii="Arial" w:eastAsia="Palatino Linotype" w:hAnsi="Arial" w:cs="Arial"/>
      <w:b/>
      <w:color w:val="0324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393">
      <w:bodyDiv w:val="1"/>
      <w:marLeft w:val="0"/>
      <w:marRight w:val="0"/>
      <w:marTop w:val="0"/>
      <w:marBottom w:val="0"/>
      <w:divBdr>
        <w:top w:val="none" w:sz="0" w:space="0" w:color="auto"/>
        <w:left w:val="none" w:sz="0" w:space="0" w:color="auto"/>
        <w:bottom w:val="none" w:sz="0" w:space="0" w:color="auto"/>
        <w:right w:val="none" w:sz="0" w:space="0" w:color="auto"/>
      </w:divBdr>
      <w:divsChild>
        <w:div w:id="1776049368">
          <w:marLeft w:val="0"/>
          <w:marRight w:val="0"/>
          <w:marTop w:val="0"/>
          <w:marBottom w:val="0"/>
          <w:divBdr>
            <w:top w:val="none" w:sz="0" w:space="0" w:color="auto"/>
            <w:left w:val="none" w:sz="0" w:space="0" w:color="auto"/>
            <w:bottom w:val="none" w:sz="0" w:space="0" w:color="auto"/>
            <w:right w:val="none" w:sz="0" w:space="0" w:color="auto"/>
          </w:divBdr>
        </w:div>
        <w:div w:id="2134134146">
          <w:marLeft w:val="0"/>
          <w:marRight w:val="0"/>
          <w:marTop w:val="0"/>
          <w:marBottom w:val="0"/>
          <w:divBdr>
            <w:top w:val="none" w:sz="0" w:space="0" w:color="auto"/>
            <w:left w:val="none" w:sz="0" w:space="0" w:color="auto"/>
            <w:bottom w:val="none" w:sz="0" w:space="0" w:color="auto"/>
            <w:right w:val="none" w:sz="0" w:space="0" w:color="auto"/>
          </w:divBdr>
        </w:div>
      </w:divsChild>
    </w:div>
    <w:div w:id="511645170">
      <w:bodyDiv w:val="1"/>
      <w:marLeft w:val="0"/>
      <w:marRight w:val="0"/>
      <w:marTop w:val="0"/>
      <w:marBottom w:val="0"/>
      <w:divBdr>
        <w:top w:val="none" w:sz="0" w:space="0" w:color="auto"/>
        <w:left w:val="none" w:sz="0" w:space="0" w:color="auto"/>
        <w:bottom w:val="none" w:sz="0" w:space="0" w:color="auto"/>
        <w:right w:val="none" w:sz="0" w:space="0" w:color="auto"/>
      </w:divBdr>
    </w:div>
    <w:div w:id="547691200">
      <w:bodyDiv w:val="1"/>
      <w:marLeft w:val="0"/>
      <w:marRight w:val="0"/>
      <w:marTop w:val="0"/>
      <w:marBottom w:val="0"/>
      <w:divBdr>
        <w:top w:val="none" w:sz="0" w:space="0" w:color="auto"/>
        <w:left w:val="none" w:sz="0" w:space="0" w:color="auto"/>
        <w:bottom w:val="none" w:sz="0" w:space="0" w:color="auto"/>
        <w:right w:val="none" w:sz="0" w:space="0" w:color="auto"/>
      </w:divBdr>
    </w:div>
    <w:div w:id="573202771">
      <w:bodyDiv w:val="1"/>
      <w:marLeft w:val="0"/>
      <w:marRight w:val="0"/>
      <w:marTop w:val="0"/>
      <w:marBottom w:val="0"/>
      <w:divBdr>
        <w:top w:val="none" w:sz="0" w:space="0" w:color="auto"/>
        <w:left w:val="none" w:sz="0" w:space="0" w:color="auto"/>
        <w:bottom w:val="none" w:sz="0" w:space="0" w:color="auto"/>
        <w:right w:val="none" w:sz="0" w:space="0" w:color="auto"/>
      </w:divBdr>
    </w:div>
    <w:div w:id="786777258">
      <w:bodyDiv w:val="1"/>
      <w:marLeft w:val="0"/>
      <w:marRight w:val="0"/>
      <w:marTop w:val="0"/>
      <w:marBottom w:val="0"/>
      <w:divBdr>
        <w:top w:val="none" w:sz="0" w:space="0" w:color="auto"/>
        <w:left w:val="none" w:sz="0" w:space="0" w:color="auto"/>
        <w:bottom w:val="none" w:sz="0" w:space="0" w:color="auto"/>
        <w:right w:val="none" w:sz="0" w:space="0" w:color="auto"/>
      </w:divBdr>
    </w:div>
    <w:div w:id="1015032277">
      <w:bodyDiv w:val="1"/>
      <w:marLeft w:val="0"/>
      <w:marRight w:val="0"/>
      <w:marTop w:val="0"/>
      <w:marBottom w:val="0"/>
      <w:divBdr>
        <w:top w:val="none" w:sz="0" w:space="0" w:color="auto"/>
        <w:left w:val="none" w:sz="0" w:space="0" w:color="auto"/>
        <w:bottom w:val="none" w:sz="0" w:space="0" w:color="auto"/>
        <w:right w:val="none" w:sz="0" w:space="0" w:color="auto"/>
      </w:divBdr>
    </w:div>
    <w:div w:id="1227689784">
      <w:bodyDiv w:val="1"/>
      <w:marLeft w:val="0"/>
      <w:marRight w:val="0"/>
      <w:marTop w:val="0"/>
      <w:marBottom w:val="0"/>
      <w:divBdr>
        <w:top w:val="none" w:sz="0" w:space="0" w:color="auto"/>
        <w:left w:val="none" w:sz="0" w:space="0" w:color="auto"/>
        <w:bottom w:val="none" w:sz="0" w:space="0" w:color="auto"/>
        <w:right w:val="none" w:sz="0" w:space="0" w:color="auto"/>
      </w:divBdr>
    </w:div>
    <w:div w:id="1442803107">
      <w:bodyDiv w:val="1"/>
      <w:marLeft w:val="0"/>
      <w:marRight w:val="0"/>
      <w:marTop w:val="0"/>
      <w:marBottom w:val="0"/>
      <w:divBdr>
        <w:top w:val="none" w:sz="0" w:space="0" w:color="auto"/>
        <w:left w:val="none" w:sz="0" w:space="0" w:color="auto"/>
        <w:bottom w:val="none" w:sz="0" w:space="0" w:color="auto"/>
        <w:right w:val="none" w:sz="0" w:space="0" w:color="auto"/>
      </w:divBdr>
    </w:div>
    <w:div w:id="1628506611">
      <w:bodyDiv w:val="1"/>
      <w:marLeft w:val="0"/>
      <w:marRight w:val="0"/>
      <w:marTop w:val="0"/>
      <w:marBottom w:val="0"/>
      <w:divBdr>
        <w:top w:val="none" w:sz="0" w:space="0" w:color="auto"/>
        <w:left w:val="none" w:sz="0" w:space="0" w:color="auto"/>
        <w:bottom w:val="none" w:sz="0" w:space="0" w:color="auto"/>
        <w:right w:val="none" w:sz="0" w:space="0" w:color="auto"/>
      </w:divBdr>
      <w:divsChild>
        <w:div w:id="1491680645">
          <w:marLeft w:val="0"/>
          <w:marRight w:val="0"/>
          <w:marTop w:val="0"/>
          <w:marBottom w:val="0"/>
          <w:divBdr>
            <w:top w:val="none" w:sz="0" w:space="0" w:color="auto"/>
            <w:left w:val="none" w:sz="0" w:space="0" w:color="auto"/>
            <w:bottom w:val="none" w:sz="0" w:space="0" w:color="auto"/>
            <w:right w:val="none" w:sz="0" w:space="0" w:color="auto"/>
          </w:divBdr>
        </w:div>
        <w:div w:id="898785488">
          <w:marLeft w:val="0"/>
          <w:marRight w:val="0"/>
          <w:marTop w:val="0"/>
          <w:marBottom w:val="0"/>
          <w:divBdr>
            <w:top w:val="none" w:sz="0" w:space="0" w:color="auto"/>
            <w:left w:val="none" w:sz="0" w:space="0" w:color="auto"/>
            <w:bottom w:val="none" w:sz="0" w:space="0" w:color="auto"/>
            <w:right w:val="none" w:sz="0" w:space="0" w:color="auto"/>
          </w:divBdr>
        </w:div>
        <w:div w:id="528419547">
          <w:marLeft w:val="0"/>
          <w:marRight w:val="0"/>
          <w:marTop w:val="0"/>
          <w:marBottom w:val="0"/>
          <w:divBdr>
            <w:top w:val="none" w:sz="0" w:space="0" w:color="auto"/>
            <w:left w:val="none" w:sz="0" w:space="0" w:color="auto"/>
            <w:bottom w:val="none" w:sz="0" w:space="0" w:color="auto"/>
            <w:right w:val="none" w:sz="0" w:space="0" w:color="auto"/>
          </w:divBdr>
        </w:div>
        <w:div w:id="2136171323">
          <w:marLeft w:val="0"/>
          <w:marRight w:val="0"/>
          <w:marTop w:val="0"/>
          <w:marBottom w:val="0"/>
          <w:divBdr>
            <w:top w:val="none" w:sz="0" w:space="0" w:color="auto"/>
            <w:left w:val="none" w:sz="0" w:space="0" w:color="auto"/>
            <w:bottom w:val="none" w:sz="0" w:space="0" w:color="auto"/>
            <w:right w:val="none" w:sz="0" w:space="0" w:color="auto"/>
          </w:divBdr>
        </w:div>
        <w:div w:id="93134539">
          <w:marLeft w:val="0"/>
          <w:marRight w:val="0"/>
          <w:marTop w:val="0"/>
          <w:marBottom w:val="0"/>
          <w:divBdr>
            <w:top w:val="none" w:sz="0" w:space="0" w:color="auto"/>
            <w:left w:val="none" w:sz="0" w:space="0" w:color="auto"/>
            <w:bottom w:val="none" w:sz="0" w:space="0" w:color="auto"/>
            <w:right w:val="none" w:sz="0" w:space="0" w:color="auto"/>
          </w:divBdr>
        </w:div>
        <w:div w:id="1776636084">
          <w:marLeft w:val="0"/>
          <w:marRight w:val="0"/>
          <w:marTop w:val="0"/>
          <w:marBottom w:val="0"/>
          <w:divBdr>
            <w:top w:val="none" w:sz="0" w:space="0" w:color="auto"/>
            <w:left w:val="none" w:sz="0" w:space="0" w:color="auto"/>
            <w:bottom w:val="none" w:sz="0" w:space="0" w:color="auto"/>
            <w:right w:val="none" w:sz="0" w:space="0" w:color="auto"/>
          </w:divBdr>
        </w:div>
        <w:div w:id="480856117">
          <w:marLeft w:val="0"/>
          <w:marRight w:val="0"/>
          <w:marTop w:val="0"/>
          <w:marBottom w:val="0"/>
          <w:divBdr>
            <w:top w:val="none" w:sz="0" w:space="0" w:color="auto"/>
            <w:left w:val="none" w:sz="0" w:space="0" w:color="auto"/>
            <w:bottom w:val="none" w:sz="0" w:space="0" w:color="auto"/>
            <w:right w:val="none" w:sz="0" w:space="0" w:color="auto"/>
          </w:divBdr>
        </w:div>
        <w:div w:id="2141411686">
          <w:marLeft w:val="0"/>
          <w:marRight w:val="0"/>
          <w:marTop w:val="0"/>
          <w:marBottom w:val="0"/>
          <w:divBdr>
            <w:top w:val="none" w:sz="0" w:space="0" w:color="auto"/>
            <w:left w:val="none" w:sz="0" w:space="0" w:color="auto"/>
            <w:bottom w:val="none" w:sz="0" w:space="0" w:color="auto"/>
            <w:right w:val="none" w:sz="0" w:space="0" w:color="auto"/>
          </w:divBdr>
        </w:div>
        <w:div w:id="842472621">
          <w:marLeft w:val="0"/>
          <w:marRight w:val="0"/>
          <w:marTop w:val="0"/>
          <w:marBottom w:val="0"/>
          <w:divBdr>
            <w:top w:val="none" w:sz="0" w:space="0" w:color="auto"/>
            <w:left w:val="none" w:sz="0" w:space="0" w:color="auto"/>
            <w:bottom w:val="none" w:sz="0" w:space="0" w:color="auto"/>
            <w:right w:val="none" w:sz="0" w:space="0" w:color="auto"/>
          </w:divBdr>
        </w:div>
        <w:div w:id="461963805">
          <w:marLeft w:val="0"/>
          <w:marRight w:val="0"/>
          <w:marTop w:val="0"/>
          <w:marBottom w:val="0"/>
          <w:divBdr>
            <w:top w:val="none" w:sz="0" w:space="0" w:color="auto"/>
            <w:left w:val="none" w:sz="0" w:space="0" w:color="auto"/>
            <w:bottom w:val="none" w:sz="0" w:space="0" w:color="auto"/>
            <w:right w:val="none" w:sz="0" w:space="0" w:color="auto"/>
          </w:divBdr>
        </w:div>
        <w:div w:id="708535528">
          <w:marLeft w:val="0"/>
          <w:marRight w:val="0"/>
          <w:marTop w:val="0"/>
          <w:marBottom w:val="0"/>
          <w:divBdr>
            <w:top w:val="none" w:sz="0" w:space="0" w:color="auto"/>
            <w:left w:val="none" w:sz="0" w:space="0" w:color="auto"/>
            <w:bottom w:val="none" w:sz="0" w:space="0" w:color="auto"/>
            <w:right w:val="none" w:sz="0" w:space="0" w:color="auto"/>
          </w:divBdr>
        </w:div>
        <w:div w:id="741682468">
          <w:marLeft w:val="0"/>
          <w:marRight w:val="0"/>
          <w:marTop w:val="0"/>
          <w:marBottom w:val="0"/>
          <w:divBdr>
            <w:top w:val="none" w:sz="0" w:space="0" w:color="auto"/>
            <w:left w:val="none" w:sz="0" w:space="0" w:color="auto"/>
            <w:bottom w:val="none" w:sz="0" w:space="0" w:color="auto"/>
            <w:right w:val="none" w:sz="0" w:space="0" w:color="auto"/>
          </w:divBdr>
        </w:div>
        <w:div w:id="1685785700">
          <w:marLeft w:val="0"/>
          <w:marRight w:val="0"/>
          <w:marTop w:val="0"/>
          <w:marBottom w:val="0"/>
          <w:divBdr>
            <w:top w:val="none" w:sz="0" w:space="0" w:color="auto"/>
            <w:left w:val="none" w:sz="0" w:space="0" w:color="auto"/>
            <w:bottom w:val="none" w:sz="0" w:space="0" w:color="auto"/>
            <w:right w:val="none" w:sz="0" w:space="0" w:color="auto"/>
          </w:divBdr>
        </w:div>
        <w:div w:id="1708137340">
          <w:marLeft w:val="0"/>
          <w:marRight w:val="0"/>
          <w:marTop w:val="0"/>
          <w:marBottom w:val="0"/>
          <w:divBdr>
            <w:top w:val="none" w:sz="0" w:space="0" w:color="auto"/>
            <w:left w:val="none" w:sz="0" w:space="0" w:color="auto"/>
            <w:bottom w:val="none" w:sz="0" w:space="0" w:color="auto"/>
            <w:right w:val="none" w:sz="0" w:space="0" w:color="auto"/>
          </w:divBdr>
        </w:div>
      </w:divsChild>
    </w:div>
    <w:div w:id="1928150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uburn.edu/healthytig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hr/benefits/dependent-eligibilit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uburn.edu/hr/benefits/lif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FB26-9F4F-49CB-9539-57BFFF61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Johnston</dc:creator>
  <cp:lastModifiedBy>Patrick Johnston</cp:lastModifiedBy>
  <cp:revision>2</cp:revision>
  <cp:lastPrinted>2021-09-29T16:25:00Z</cp:lastPrinted>
  <dcterms:created xsi:type="dcterms:W3CDTF">2021-12-14T14:41:00Z</dcterms:created>
  <dcterms:modified xsi:type="dcterms:W3CDTF">2021-12-14T14:41:00Z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Venngage - venngage.com</vt:lpwstr>
  </property>
  <property fmtid="{D5CDD505-2E9C-101B-9397-08002B2CF9AE}" pid="4" name="LastSaved">
    <vt:filetime>2021-08-27T00:00:00Z</vt:filetime>
  </property>
</Properties>
</file>