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402DA" w14:textId="03841661" w:rsidR="00985818" w:rsidRDefault="00A236AD" w:rsidP="00A236AD">
      <w:pPr>
        <w:jc w:val="center"/>
        <w:rPr>
          <w:rFonts w:ascii="Georgia" w:hAnsi="Georgia"/>
          <w:b/>
          <w:sz w:val="32"/>
          <w:szCs w:val="32"/>
        </w:rPr>
      </w:pPr>
      <w:r>
        <w:rPr>
          <w:rFonts w:ascii="Georgia" w:hAnsi="Georgia"/>
          <w:b/>
          <w:noProof/>
          <w:sz w:val="32"/>
          <w:szCs w:val="32"/>
        </w:rPr>
        <w:drawing>
          <wp:inline distT="0" distB="0" distL="0" distR="0" wp14:anchorId="7D5B3ADC" wp14:editId="401492FF">
            <wp:extent cx="3992880" cy="887307"/>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_AU_T_289 15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46132" cy="899141"/>
                    </a:xfrm>
                    <a:prstGeom prst="rect">
                      <a:avLst/>
                    </a:prstGeom>
                  </pic:spPr>
                </pic:pic>
              </a:graphicData>
            </a:graphic>
          </wp:inline>
        </w:drawing>
      </w:r>
      <w:r w:rsidR="003B5D27">
        <w:rPr>
          <w:rFonts w:ascii="Georgia" w:hAnsi="Georgia"/>
          <w:b/>
          <w:sz w:val="32"/>
          <w:szCs w:val="32"/>
        </w:rPr>
        <w:t xml:space="preserve">      </w:t>
      </w:r>
    </w:p>
    <w:p w14:paraId="609E2ACD" w14:textId="77777777" w:rsidR="00F569C5" w:rsidRPr="00443A88" w:rsidRDefault="00263F08" w:rsidP="00F42543">
      <w:pPr>
        <w:rPr>
          <w:rFonts w:ascii="Arial" w:hAnsi="Arial" w:cs="Arial"/>
          <w:b/>
          <w:sz w:val="32"/>
          <w:szCs w:val="32"/>
        </w:rPr>
      </w:pPr>
      <w:r>
        <w:rPr>
          <w:rFonts w:ascii="Georgia" w:hAnsi="Georgia"/>
          <w:noProof/>
          <w:sz w:val="32"/>
          <w:szCs w:val="32"/>
        </w:rPr>
        <mc:AlternateContent>
          <mc:Choice Requires="wps">
            <w:drawing>
              <wp:anchor distT="0" distB="0" distL="114300" distR="114300" simplePos="0" relativeHeight="251661824" behindDoc="1" locked="0" layoutInCell="1" allowOverlap="1" wp14:anchorId="40084CFB" wp14:editId="197E1BCB">
                <wp:simplePos x="0" y="0"/>
                <wp:positionH relativeFrom="column">
                  <wp:posOffset>-611505</wp:posOffset>
                </wp:positionH>
                <wp:positionV relativeFrom="paragraph">
                  <wp:posOffset>155575</wp:posOffset>
                </wp:positionV>
                <wp:extent cx="6809105" cy="45720"/>
                <wp:effectExtent l="0" t="0" r="0" b="0"/>
                <wp:wrapTight wrapText="bothSides">
                  <wp:wrapPolygon edited="0">
                    <wp:start x="0" y="0"/>
                    <wp:lineTo x="0" y="9000"/>
                    <wp:lineTo x="21513" y="9000"/>
                    <wp:lineTo x="21513" y="0"/>
                    <wp:lineTo x="0" y="0"/>
                  </wp:wrapPolygon>
                </wp:wrapTight>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9105" cy="45720"/>
                        </a:xfrm>
                        <a:prstGeom prst="rect">
                          <a:avLst/>
                        </a:prstGeom>
                        <a:solidFill>
                          <a:schemeClr val="tx2">
                            <a:lumMod val="75000"/>
                          </a:schemeClr>
                        </a:solidFill>
                        <a:ln>
                          <a:noFill/>
                        </a:ln>
                        <a:effectLst/>
                        <a:extLst/>
                      </wps:spPr>
                      <wps:txbx>
                        <w:txbxContent>
                          <w:p w14:paraId="035E6334" w14:textId="77777777" w:rsidR="00CA63C7" w:rsidRPr="006622A6" w:rsidRDefault="00CA63C7" w:rsidP="00F569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84CFB" id="Rectangle 15" o:spid="_x0000_s1026" style="position:absolute;margin-left:-48.15pt;margin-top:12.25pt;width:536.1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" fillcolor="#17365d [2415]" stroked="f">
                <v:textbox>
                  <w:txbxContent>
                    <w:p w14:paraId="035E6334" w14:textId="77777777" w:rsidR="00CA63C7" w:rsidRPr="006622A6" w:rsidRDefault="00CA63C7" w:rsidP="00F569C5"/>
                  </w:txbxContent>
                </v:textbox>
                <w10:wrap type="tight"/>
              </v:rect>
            </w:pict>
          </mc:Fallback>
        </mc:AlternateContent>
      </w:r>
    </w:p>
    <w:p w14:paraId="2EDCF0DC" w14:textId="10BE1D03" w:rsidR="00F569C5" w:rsidRPr="00443A88" w:rsidRDefault="00EC0357" w:rsidP="00F569C5">
      <w:pPr>
        <w:jc w:val="center"/>
        <w:rPr>
          <w:rFonts w:ascii="Arial" w:hAnsi="Arial" w:cs="Arial"/>
          <w:noProof/>
          <w:color w:val="17365D" w:themeColor="text2" w:themeShade="BF"/>
          <w:sz w:val="44"/>
          <w:szCs w:val="32"/>
        </w:rPr>
      </w:pPr>
      <w:r>
        <w:rPr>
          <w:rFonts w:ascii="Arial" w:hAnsi="Arial" w:cs="Arial"/>
          <w:noProof/>
          <w:color w:val="17365D" w:themeColor="text2" w:themeShade="BF"/>
          <w:sz w:val="44"/>
          <w:szCs w:val="32"/>
        </w:rPr>
        <w:t xml:space="preserve">Auburn University Employee Transition Allowance </w:t>
      </w:r>
      <w:r w:rsidR="00354843">
        <w:rPr>
          <w:rFonts w:ascii="Arial" w:hAnsi="Arial" w:cs="Arial"/>
          <w:noProof/>
          <w:color w:val="17365D" w:themeColor="text2" w:themeShade="BF"/>
          <w:sz w:val="44"/>
          <w:szCs w:val="32"/>
        </w:rPr>
        <w:t>Procedures</w:t>
      </w:r>
      <w:r w:rsidR="0077481D" w:rsidRPr="00443A88">
        <w:rPr>
          <w:rFonts w:ascii="Arial" w:hAnsi="Arial" w:cs="Arial"/>
          <w:noProof/>
          <w:color w:val="17365D" w:themeColor="text2" w:themeShade="BF"/>
          <w:sz w:val="44"/>
          <w:szCs w:val="32"/>
        </w:rPr>
        <w:t xml:space="preserve"> </w:t>
      </w:r>
    </w:p>
    <w:p w14:paraId="6D110175" w14:textId="77777777" w:rsidR="00263F08" w:rsidRPr="00263F08" w:rsidRDefault="00263F08" w:rsidP="00263F08">
      <w:pPr>
        <w:jc w:val="center"/>
        <w:rPr>
          <w:rFonts w:ascii="Arial" w:hAnsi="Arial" w:cs="Arial"/>
          <w:sz w:val="18"/>
          <w:szCs w:val="18"/>
        </w:rPr>
      </w:pPr>
    </w:p>
    <w:p w14:paraId="4071E808" w14:textId="77777777" w:rsidR="00263F08" w:rsidRPr="00263F08" w:rsidRDefault="00263F08" w:rsidP="00263F08">
      <w:pPr>
        <w:jc w:val="center"/>
        <w:rPr>
          <w:rFonts w:ascii="Arial" w:hAnsi="Arial" w:cs="Arial"/>
          <w:sz w:val="18"/>
          <w:szCs w:val="18"/>
        </w:rPr>
      </w:pPr>
    </w:p>
    <w:p w14:paraId="6CDF3E90" w14:textId="77777777" w:rsidR="007E4685" w:rsidRDefault="007E4685"/>
    <w:p w14:paraId="4B701B57" w14:textId="77777777" w:rsidR="00874E15" w:rsidRDefault="00874E15"/>
    <w:tbl>
      <w:tblPr>
        <w:tblW w:w="9450" w:type="dxa"/>
        <w:tblInd w:w="-185" w:type="dxa"/>
        <w:tblBorders>
          <w:top w:val="single" w:sz="4" w:space="0" w:color="999999"/>
          <w:left w:val="single" w:sz="4" w:space="0" w:color="999999"/>
          <w:bottom w:val="single" w:sz="4" w:space="0" w:color="999999"/>
          <w:right w:val="single" w:sz="4" w:space="0" w:color="999999"/>
        </w:tblBorders>
        <w:shd w:val="clear" w:color="auto" w:fill="D9D9D9" w:themeFill="background1" w:themeFillShade="D9"/>
        <w:tblLook w:val="0000" w:firstRow="0" w:lastRow="0" w:firstColumn="0" w:lastColumn="0" w:noHBand="0" w:noVBand="0"/>
      </w:tblPr>
      <w:tblGrid>
        <w:gridCol w:w="4586"/>
        <w:gridCol w:w="4864"/>
      </w:tblGrid>
      <w:tr w:rsidR="00874E15" w14:paraId="52AC3848" w14:textId="77777777" w:rsidTr="00E36B10">
        <w:trPr>
          <w:cantSplit/>
          <w:trHeight w:val="2753"/>
        </w:trPr>
        <w:tc>
          <w:tcPr>
            <w:tcW w:w="4586" w:type="dxa"/>
            <w:shd w:val="clear" w:color="auto" w:fill="F2F2F2" w:themeFill="background1" w:themeFillShade="F2"/>
          </w:tcPr>
          <w:p w14:paraId="26D5AA5B" w14:textId="269DACD1" w:rsidR="00F42543" w:rsidRPr="00E36B10" w:rsidRDefault="00874E15" w:rsidP="00F42543">
            <w:pPr>
              <w:ind w:left="90"/>
              <w:rPr>
                <w:rFonts w:ascii="Arial" w:hAnsi="Arial" w:cs="Arial"/>
                <w:color w:val="17365D" w:themeColor="text2" w:themeShade="BF"/>
                <w:sz w:val="16"/>
              </w:rPr>
            </w:pPr>
            <w:r w:rsidRPr="00E36B10">
              <w:rPr>
                <w:rFonts w:ascii="Arial" w:hAnsi="Arial" w:cs="Arial"/>
                <w:color w:val="17365D" w:themeColor="text2" w:themeShade="BF"/>
                <w:sz w:val="16"/>
              </w:rPr>
              <w:br/>
            </w:r>
            <w:r w:rsidR="00465F8D" w:rsidRPr="00E36B10">
              <w:rPr>
                <w:rFonts w:ascii="Arial" w:hAnsi="Arial" w:cs="Arial"/>
                <w:b/>
                <w:color w:val="17365D" w:themeColor="text2" w:themeShade="BF"/>
                <w:sz w:val="16"/>
              </w:rPr>
              <w:t xml:space="preserve">Corresponding </w:t>
            </w:r>
            <w:r w:rsidRPr="00E36B10">
              <w:rPr>
                <w:rFonts w:ascii="Arial" w:hAnsi="Arial" w:cs="Arial"/>
                <w:b/>
                <w:color w:val="17365D" w:themeColor="text2" w:themeShade="BF"/>
                <w:sz w:val="16"/>
              </w:rPr>
              <w:t xml:space="preserve">Policy </w:t>
            </w:r>
            <w:r w:rsidR="00BF1E24" w:rsidRPr="00E36B10">
              <w:rPr>
                <w:rFonts w:ascii="Arial" w:hAnsi="Arial" w:cs="Arial"/>
                <w:b/>
                <w:color w:val="17365D" w:themeColor="text2" w:themeShade="BF"/>
                <w:sz w:val="16"/>
              </w:rPr>
              <w:t>Title:</w:t>
            </w:r>
            <w:r w:rsidR="002B3D69">
              <w:rPr>
                <w:rFonts w:ascii="Arial" w:hAnsi="Arial" w:cs="Arial"/>
                <w:b/>
                <w:color w:val="17365D" w:themeColor="text2" w:themeShade="BF"/>
                <w:sz w:val="16"/>
              </w:rPr>
              <w:t xml:space="preserve">  </w:t>
            </w:r>
            <w:r w:rsidR="00EC0357" w:rsidRPr="00EC0357">
              <w:rPr>
                <w:rFonts w:ascii="Arial" w:hAnsi="Arial" w:cs="Arial"/>
                <w:b/>
                <w:color w:val="17365D" w:themeColor="text2" w:themeShade="BF"/>
                <w:sz w:val="16"/>
                <w:u w:val="single"/>
              </w:rPr>
              <w:t xml:space="preserve">Auburn University Employee Transition Allowance </w:t>
            </w:r>
            <w:r w:rsidR="00BF1E24" w:rsidRPr="00EC0357">
              <w:rPr>
                <w:rFonts w:ascii="Arial" w:hAnsi="Arial" w:cs="Arial"/>
                <w:color w:val="17365D" w:themeColor="text2" w:themeShade="BF"/>
                <w:sz w:val="16"/>
                <w:u w:val="single"/>
              </w:rPr>
              <w:br/>
            </w:r>
            <w:r w:rsidR="00BF1E24" w:rsidRPr="00E36B10">
              <w:rPr>
                <w:rFonts w:ascii="Arial" w:eastAsia="Arial Unicode MS" w:hAnsi="Arial" w:cs="Arial"/>
                <w:color w:val="17365D" w:themeColor="text2" w:themeShade="BF"/>
                <w:sz w:val="16"/>
              </w:rPr>
              <w:br/>
            </w:r>
            <w:r w:rsidRPr="00E36B10">
              <w:rPr>
                <w:rFonts w:ascii="Arial" w:eastAsia="Arial Unicode MS" w:hAnsi="Arial" w:cs="Arial"/>
                <w:color w:val="17365D" w:themeColor="text2" w:themeShade="BF"/>
                <w:sz w:val="16"/>
                <w:shd w:val="clear" w:color="auto" w:fill="E36C0A" w:themeFill="accent6" w:themeFillShade="BF"/>
              </w:rPr>
              <w:br/>
            </w:r>
            <w:r w:rsidR="00BF1E24" w:rsidRPr="00E36B10">
              <w:rPr>
                <w:rFonts w:ascii="Arial" w:hAnsi="Arial" w:cs="Arial"/>
                <w:b/>
                <w:color w:val="17365D" w:themeColor="text2" w:themeShade="BF"/>
                <w:sz w:val="16"/>
              </w:rPr>
              <w:t>Procedure Owner</w:t>
            </w:r>
            <w:r w:rsidR="00BF1E24" w:rsidRPr="00E36B10">
              <w:rPr>
                <w:rFonts w:ascii="Arial" w:hAnsi="Arial" w:cs="Arial"/>
                <w:color w:val="17365D" w:themeColor="text2" w:themeShade="BF"/>
                <w:sz w:val="16"/>
              </w:rPr>
              <w:t xml:space="preserve">: </w:t>
            </w:r>
            <w:r w:rsidR="00281E53">
              <w:rPr>
                <w:rFonts w:ascii="Arial" w:hAnsi="Arial" w:cs="Arial"/>
                <w:color w:val="17365D" w:themeColor="text2" w:themeShade="BF"/>
                <w:sz w:val="16"/>
              </w:rPr>
              <w:t>Human Resources</w:t>
            </w:r>
            <w:r w:rsidR="00BF1E24" w:rsidRPr="00E36B10">
              <w:rPr>
                <w:rFonts w:ascii="Arial" w:hAnsi="Arial" w:cs="Arial"/>
                <w:color w:val="17365D" w:themeColor="text2" w:themeShade="BF"/>
                <w:sz w:val="16"/>
              </w:rPr>
              <w:br/>
            </w:r>
          </w:p>
          <w:p w14:paraId="6DF51F0D" w14:textId="77777777" w:rsidR="002D256B" w:rsidRPr="00E36B10" w:rsidRDefault="002D256B" w:rsidP="00F42543">
            <w:pPr>
              <w:ind w:left="90"/>
              <w:rPr>
                <w:rFonts w:ascii="Arial" w:hAnsi="Arial" w:cs="Arial"/>
                <w:color w:val="17365D" w:themeColor="text2" w:themeShade="BF"/>
                <w:sz w:val="16"/>
              </w:rPr>
            </w:pPr>
          </w:p>
          <w:p w14:paraId="6FB52630" w14:textId="0BB72C09" w:rsidR="007E4685" w:rsidRPr="00E36B10" w:rsidRDefault="00465F8D" w:rsidP="002D256B">
            <w:pPr>
              <w:pStyle w:val="Heading3"/>
              <w:spacing w:before="0" w:beforeAutospacing="0" w:after="0" w:afterAutospacing="0"/>
              <w:ind w:left="90"/>
              <w:rPr>
                <w:rFonts w:ascii="Arial" w:hAnsi="Arial" w:cs="Arial"/>
                <w:b w:val="0"/>
                <w:bCs w:val="0"/>
                <w:color w:val="17365D" w:themeColor="text2" w:themeShade="BF"/>
                <w:sz w:val="16"/>
              </w:rPr>
            </w:pPr>
            <w:r w:rsidRPr="00E36B10">
              <w:rPr>
                <w:rFonts w:ascii="Arial" w:hAnsi="Arial" w:cs="Arial"/>
                <w:color w:val="17365D" w:themeColor="text2" w:themeShade="BF"/>
                <w:sz w:val="16"/>
              </w:rPr>
              <w:t>Related Policies:</w:t>
            </w:r>
            <w:r w:rsidR="002B3D69">
              <w:rPr>
                <w:rFonts w:ascii="Arial" w:hAnsi="Arial" w:cs="Arial"/>
                <w:color w:val="17365D" w:themeColor="text2" w:themeShade="BF"/>
                <w:sz w:val="16"/>
              </w:rPr>
              <w:t xml:space="preserve">  </w:t>
            </w:r>
            <w:r w:rsidRPr="00E36B10">
              <w:rPr>
                <w:rFonts w:ascii="Arial" w:hAnsi="Arial" w:cs="Arial"/>
                <w:color w:val="17365D" w:themeColor="text2" w:themeShade="BF"/>
                <w:sz w:val="16"/>
              </w:rPr>
              <w:br/>
            </w:r>
            <w:r w:rsidR="00874E15" w:rsidRPr="00E36B10">
              <w:rPr>
                <w:rFonts w:ascii="Arial" w:hAnsi="Arial" w:cs="Arial"/>
                <w:b w:val="0"/>
                <w:bCs w:val="0"/>
                <w:color w:val="17365D" w:themeColor="text2" w:themeShade="BF"/>
                <w:sz w:val="16"/>
              </w:rPr>
              <w:br/>
            </w:r>
          </w:p>
          <w:p w14:paraId="1386F202" w14:textId="23F78856" w:rsidR="007E4685" w:rsidRPr="00E36B10" w:rsidRDefault="007E4685" w:rsidP="002D256B">
            <w:pPr>
              <w:pStyle w:val="Heading3"/>
              <w:spacing w:before="0" w:beforeAutospacing="0" w:after="0" w:afterAutospacing="0"/>
              <w:ind w:left="90"/>
              <w:rPr>
                <w:rFonts w:ascii="Arial" w:hAnsi="Arial" w:cs="Arial"/>
                <w:b w:val="0"/>
                <w:bCs w:val="0"/>
                <w:color w:val="17365D" w:themeColor="text2" w:themeShade="BF"/>
                <w:sz w:val="16"/>
              </w:rPr>
            </w:pPr>
            <w:r w:rsidRPr="00E36B10">
              <w:rPr>
                <w:rFonts w:ascii="Arial" w:hAnsi="Arial" w:cs="Arial"/>
                <w:bCs w:val="0"/>
                <w:color w:val="17365D" w:themeColor="text2" w:themeShade="BF"/>
                <w:sz w:val="16"/>
              </w:rPr>
              <w:t>Forms</w:t>
            </w:r>
            <w:r w:rsidR="00465F8D" w:rsidRPr="00E36B10">
              <w:rPr>
                <w:rFonts w:ascii="Arial" w:hAnsi="Arial" w:cs="Arial"/>
                <w:bCs w:val="0"/>
                <w:color w:val="17365D" w:themeColor="text2" w:themeShade="BF"/>
                <w:sz w:val="16"/>
              </w:rPr>
              <w:t xml:space="preserve">: </w:t>
            </w:r>
          </w:p>
          <w:p w14:paraId="3AFEDFDD" w14:textId="77777777" w:rsidR="00874E15" w:rsidRPr="00E36B10" w:rsidRDefault="00874E15" w:rsidP="00465F8D">
            <w:pPr>
              <w:pStyle w:val="Heading3"/>
              <w:spacing w:before="0" w:beforeAutospacing="0" w:after="0" w:afterAutospacing="0"/>
              <w:ind w:left="90"/>
              <w:rPr>
                <w:rFonts w:ascii="Arial" w:hAnsi="Arial" w:cs="Arial"/>
                <w:color w:val="17365D" w:themeColor="text2" w:themeShade="BF"/>
                <w:sz w:val="16"/>
              </w:rPr>
            </w:pPr>
            <w:r w:rsidRPr="00E36B10">
              <w:rPr>
                <w:rFonts w:ascii="Arial" w:hAnsi="Arial" w:cs="Arial"/>
                <w:b w:val="0"/>
                <w:bCs w:val="0"/>
                <w:color w:val="17365D" w:themeColor="text2" w:themeShade="BF"/>
                <w:sz w:val="16"/>
              </w:rPr>
              <w:br/>
            </w:r>
          </w:p>
        </w:tc>
        <w:tc>
          <w:tcPr>
            <w:tcW w:w="4864" w:type="dxa"/>
            <w:shd w:val="clear" w:color="auto" w:fill="F2F2F2" w:themeFill="background1" w:themeFillShade="F2"/>
          </w:tcPr>
          <w:p w14:paraId="5EDEF068" w14:textId="7FD406DF" w:rsidR="004617E7" w:rsidRPr="00E36B10" w:rsidRDefault="00874E15">
            <w:pPr>
              <w:rPr>
                <w:rFonts w:ascii="Arial" w:hAnsi="Arial" w:cs="Arial"/>
                <w:i/>
                <w:color w:val="17365D" w:themeColor="text2" w:themeShade="BF"/>
                <w:sz w:val="16"/>
              </w:rPr>
            </w:pPr>
            <w:r w:rsidRPr="00E36B10">
              <w:rPr>
                <w:rStyle w:val="Strong"/>
                <w:rFonts w:ascii="Arial" w:hAnsi="Arial" w:cs="Arial"/>
                <w:color w:val="17365D" w:themeColor="text2" w:themeShade="BF"/>
                <w:sz w:val="16"/>
              </w:rPr>
              <w:br/>
              <w:t>Effective:</w:t>
            </w:r>
            <w:r w:rsidRPr="00E36B10">
              <w:rPr>
                <w:rFonts w:ascii="Arial" w:hAnsi="Arial" w:cs="Arial"/>
                <w:color w:val="17365D" w:themeColor="text2" w:themeShade="BF"/>
                <w:sz w:val="16"/>
              </w:rPr>
              <w:t xml:space="preserve"> </w:t>
            </w:r>
            <w:r w:rsidR="00EC0357">
              <w:rPr>
                <w:rFonts w:ascii="Arial" w:hAnsi="Arial" w:cs="Arial"/>
                <w:i/>
                <w:color w:val="17365D" w:themeColor="text2" w:themeShade="BF"/>
                <w:sz w:val="16"/>
              </w:rPr>
              <w:t>January 1, 2018</w:t>
            </w:r>
            <w:r w:rsidR="00BF1E24" w:rsidRPr="00E36B10">
              <w:rPr>
                <w:rFonts w:ascii="Arial" w:hAnsi="Arial" w:cs="Arial"/>
                <w:i/>
                <w:color w:val="17365D" w:themeColor="text2" w:themeShade="BF"/>
                <w:sz w:val="16"/>
              </w:rPr>
              <w:br/>
            </w:r>
          </w:p>
          <w:p w14:paraId="29B9BECB" w14:textId="5588298E" w:rsidR="00874E15" w:rsidRPr="00E36B10" w:rsidRDefault="00874E15">
            <w:pPr>
              <w:rPr>
                <w:rFonts w:ascii="Arial" w:hAnsi="Arial" w:cs="Arial"/>
                <w:color w:val="17365D" w:themeColor="text2" w:themeShade="BF"/>
                <w:sz w:val="16"/>
              </w:rPr>
            </w:pPr>
            <w:r w:rsidRPr="00E36B10">
              <w:rPr>
                <w:rStyle w:val="Strong"/>
                <w:rFonts w:ascii="Arial" w:hAnsi="Arial" w:cs="Arial"/>
                <w:color w:val="17365D" w:themeColor="text2" w:themeShade="BF"/>
                <w:sz w:val="16"/>
              </w:rPr>
              <w:t>Last Updated:</w:t>
            </w:r>
            <w:r w:rsidRPr="00E36B10">
              <w:rPr>
                <w:rFonts w:ascii="Arial" w:hAnsi="Arial" w:cs="Arial"/>
                <w:color w:val="17365D" w:themeColor="text2" w:themeShade="BF"/>
                <w:sz w:val="16"/>
              </w:rPr>
              <w:t xml:space="preserve"> </w:t>
            </w:r>
            <w:r w:rsidR="00EC0357">
              <w:rPr>
                <w:rFonts w:ascii="Arial" w:hAnsi="Arial" w:cs="Arial"/>
                <w:color w:val="17365D" w:themeColor="text2" w:themeShade="BF"/>
                <w:sz w:val="16"/>
              </w:rPr>
              <w:t>April 9, 2018</w:t>
            </w:r>
            <w:r w:rsidR="00465F8D" w:rsidRPr="00E36B10">
              <w:rPr>
                <w:rFonts w:ascii="Arial" w:hAnsi="Arial" w:cs="Arial"/>
                <w:i/>
                <w:color w:val="17365D" w:themeColor="text2" w:themeShade="BF"/>
                <w:sz w:val="16"/>
              </w:rPr>
              <w:br/>
            </w:r>
          </w:p>
          <w:p w14:paraId="55D932A2" w14:textId="77777777" w:rsidR="00874E15" w:rsidRPr="00E36B10" w:rsidRDefault="00874E15">
            <w:pPr>
              <w:rPr>
                <w:rFonts w:ascii="Arial" w:eastAsia="Arial Unicode MS" w:hAnsi="Arial" w:cs="Arial"/>
                <w:color w:val="17365D" w:themeColor="text2" w:themeShade="BF"/>
                <w:sz w:val="16"/>
              </w:rPr>
            </w:pPr>
          </w:p>
          <w:p w14:paraId="0878563C" w14:textId="1B320168" w:rsidR="00874E15" w:rsidRPr="00E36B10" w:rsidRDefault="00465F8D">
            <w:pPr>
              <w:rPr>
                <w:rFonts w:ascii="Arial" w:hAnsi="Arial" w:cs="Arial"/>
                <w:i/>
                <w:iCs/>
                <w:color w:val="17365D" w:themeColor="text2" w:themeShade="BF"/>
                <w:sz w:val="16"/>
              </w:rPr>
            </w:pPr>
            <w:r w:rsidRPr="00E36B10">
              <w:rPr>
                <w:rStyle w:val="Strong"/>
                <w:rFonts w:ascii="Arial" w:hAnsi="Arial" w:cs="Arial"/>
                <w:color w:val="17365D" w:themeColor="text2" w:themeShade="BF"/>
                <w:sz w:val="16"/>
              </w:rPr>
              <w:t>Responsible University Department</w:t>
            </w:r>
            <w:r w:rsidR="00874E15" w:rsidRPr="00E36B10">
              <w:rPr>
                <w:rStyle w:val="Strong"/>
                <w:rFonts w:ascii="Arial" w:hAnsi="Arial" w:cs="Arial"/>
                <w:color w:val="17365D" w:themeColor="text2" w:themeShade="BF"/>
                <w:sz w:val="16"/>
              </w:rPr>
              <w:t>:</w:t>
            </w:r>
            <w:r w:rsidR="00874E15" w:rsidRPr="00E36B10">
              <w:rPr>
                <w:rFonts w:ascii="Arial" w:hAnsi="Arial" w:cs="Arial"/>
                <w:color w:val="17365D" w:themeColor="text2" w:themeShade="BF"/>
                <w:sz w:val="16"/>
              </w:rPr>
              <w:t xml:space="preserve"> </w:t>
            </w:r>
            <w:r w:rsidR="00E939C6">
              <w:rPr>
                <w:rFonts w:ascii="Arial" w:hAnsi="Arial" w:cs="Arial"/>
                <w:color w:val="17365D" w:themeColor="text2" w:themeShade="BF"/>
                <w:sz w:val="16"/>
              </w:rPr>
              <w:t>Human Resources</w:t>
            </w:r>
            <w:r w:rsidR="00874E15" w:rsidRPr="00E36B10">
              <w:rPr>
                <w:rFonts w:ascii="Arial" w:hAnsi="Arial" w:cs="Arial"/>
                <w:color w:val="17365D" w:themeColor="text2" w:themeShade="BF"/>
                <w:sz w:val="16"/>
              </w:rPr>
              <w:br/>
            </w:r>
          </w:p>
          <w:p w14:paraId="0B90E60F" w14:textId="77777777" w:rsidR="0034602D" w:rsidRPr="00E36B10" w:rsidRDefault="0034602D">
            <w:pPr>
              <w:rPr>
                <w:rFonts w:ascii="Arial" w:hAnsi="Arial" w:cs="Arial"/>
                <w:color w:val="17365D" w:themeColor="text2" w:themeShade="BF"/>
                <w:sz w:val="16"/>
              </w:rPr>
            </w:pPr>
          </w:p>
          <w:p w14:paraId="50D69202" w14:textId="7BEE558A" w:rsidR="002B6CC6" w:rsidRPr="00E36B10" w:rsidRDefault="00465F8D" w:rsidP="00281E53">
            <w:pPr>
              <w:rPr>
                <w:rFonts w:ascii="Arial" w:hAnsi="Arial" w:cs="Arial"/>
                <w:color w:val="17365D" w:themeColor="text2" w:themeShade="BF"/>
                <w:sz w:val="16"/>
              </w:rPr>
            </w:pPr>
            <w:r w:rsidRPr="00E36B10">
              <w:rPr>
                <w:rStyle w:val="Strong"/>
                <w:rFonts w:ascii="Arial" w:hAnsi="Arial" w:cs="Arial"/>
                <w:color w:val="17365D" w:themeColor="text2" w:themeShade="BF"/>
                <w:sz w:val="16"/>
              </w:rPr>
              <w:t xml:space="preserve">Procedure </w:t>
            </w:r>
            <w:r w:rsidR="00874E15" w:rsidRPr="00E36B10">
              <w:rPr>
                <w:rStyle w:val="Strong"/>
                <w:rFonts w:ascii="Arial" w:hAnsi="Arial" w:cs="Arial"/>
                <w:color w:val="17365D" w:themeColor="text2" w:themeShade="BF"/>
                <w:sz w:val="16"/>
              </w:rPr>
              <w:t>Contact:</w:t>
            </w:r>
            <w:r w:rsidR="00EC0357">
              <w:rPr>
                <w:rStyle w:val="Strong"/>
                <w:rFonts w:ascii="Arial" w:hAnsi="Arial" w:cs="Arial"/>
                <w:color w:val="17365D" w:themeColor="text2" w:themeShade="BF"/>
                <w:sz w:val="16"/>
              </w:rPr>
              <w:t xml:space="preserve"> </w:t>
            </w:r>
            <w:r w:rsidR="00EC0357" w:rsidRPr="00EC0357">
              <w:rPr>
                <w:rStyle w:val="Strong"/>
                <w:rFonts w:ascii="Arial" w:hAnsi="Arial" w:cs="Arial"/>
                <w:b w:val="0"/>
                <w:color w:val="17365D" w:themeColor="text2" w:themeShade="BF"/>
                <w:sz w:val="16"/>
              </w:rPr>
              <w:t>Associate Vice President, Human Resources</w:t>
            </w:r>
            <w:r w:rsidR="00874E15" w:rsidRPr="00EC0357">
              <w:rPr>
                <w:rStyle w:val="Strong"/>
                <w:rFonts w:ascii="Arial" w:hAnsi="Arial" w:cs="Arial"/>
                <w:b w:val="0"/>
                <w:color w:val="17365D" w:themeColor="text2" w:themeShade="BF"/>
                <w:sz w:val="16"/>
              </w:rPr>
              <w:br/>
            </w:r>
          </w:p>
        </w:tc>
      </w:tr>
    </w:tbl>
    <w:p w14:paraId="33F80F07" w14:textId="77777777" w:rsidR="00874E15" w:rsidRDefault="00874E15">
      <w:pPr>
        <w:rPr>
          <w:rFonts w:ascii="Georgia" w:hAnsi="Georgia"/>
          <w:color w:val="000000"/>
          <w:sz w:val="36"/>
        </w:rPr>
      </w:pPr>
    </w:p>
    <w:p w14:paraId="20B2BB52" w14:textId="77777777" w:rsidR="003D1313" w:rsidRPr="003D1313" w:rsidRDefault="003D1313" w:rsidP="003D1313">
      <w:pPr>
        <w:rPr>
          <w:u w:val="single"/>
        </w:rPr>
      </w:pP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005E4E68">
        <w:rPr>
          <w:u w:val="single"/>
        </w:rPr>
        <w:t xml:space="preserve">                                                </w:t>
      </w:r>
      <w:r w:rsidRPr="003D1313">
        <w:rPr>
          <w:u w:val="single"/>
        </w:rPr>
        <w:tab/>
      </w:r>
    </w:p>
    <w:p w14:paraId="03C8F316" w14:textId="77777777" w:rsidR="00874E15" w:rsidRPr="00443A88" w:rsidRDefault="00465F8D" w:rsidP="00F84D36">
      <w:pPr>
        <w:pStyle w:val="ListParagraph"/>
        <w:numPr>
          <w:ilvl w:val="0"/>
          <w:numId w:val="9"/>
        </w:numPr>
        <w:rPr>
          <w:rFonts w:ascii="Arial" w:hAnsi="Arial" w:cs="Arial"/>
          <w:color w:val="17365D" w:themeColor="text2" w:themeShade="BF"/>
          <w:sz w:val="36"/>
        </w:rPr>
      </w:pPr>
      <w:r w:rsidRPr="00443A88">
        <w:rPr>
          <w:rFonts w:ascii="Arial" w:hAnsi="Arial" w:cs="Arial"/>
          <w:color w:val="17365D" w:themeColor="text2" w:themeShade="BF"/>
          <w:sz w:val="36"/>
        </w:rPr>
        <w:t xml:space="preserve">Procedure </w:t>
      </w:r>
      <w:r w:rsidR="00874E15" w:rsidRPr="00443A88">
        <w:rPr>
          <w:rFonts w:ascii="Arial" w:hAnsi="Arial" w:cs="Arial"/>
          <w:color w:val="17365D" w:themeColor="text2" w:themeShade="BF"/>
          <w:sz w:val="36"/>
        </w:rPr>
        <w:t>Statement</w:t>
      </w:r>
    </w:p>
    <w:p w14:paraId="4F22529B" w14:textId="77777777" w:rsidR="00874E15" w:rsidRPr="00BD5314" w:rsidRDefault="00874E15">
      <w:pPr>
        <w:rPr>
          <w:rFonts w:ascii="Arial" w:hAnsi="Arial" w:cs="Arial"/>
          <w:sz w:val="22"/>
          <w:szCs w:val="22"/>
        </w:rPr>
      </w:pPr>
    </w:p>
    <w:p w14:paraId="68253956" w14:textId="6AC7C822" w:rsidR="00CD7B52" w:rsidRPr="00CD7B52" w:rsidRDefault="00EC0357" w:rsidP="00EA4D54">
      <w:pPr>
        <w:ind w:left="360"/>
        <w:rPr>
          <w:rFonts w:ascii="Arial" w:hAnsi="Arial" w:cs="Arial"/>
          <w:sz w:val="22"/>
          <w:szCs w:val="22"/>
        </w:rPr>
      </w:pPr>
      <w:r w:rsidRPr="00EA4D54">
        <w:t xml:space="preserve">Effective January 1, 2018, </w:t>
      </w:r>
      <w:r w:rsidR="00E939C6">
        <w:rPr>
          <w:rFonts w:ascii="Georgia" w:hAnsi="Georgia"/>
        </w:rPr>
        <w:t>a</w:t>
      </w:r>
      <w:r w:rsidR="00E939C6" w:rsidRPr="00A461AF">
        <w:rPr>
          <w:rFonts w:ascii="Georgia" w:hAnsi="Georgia"/>
        </w:rPr>
        <w:t>t the discretion of the Department Head, Dean, or appropriate Vice President, Auburn University may pay a</w:t>
      </w:r>
      <w:r w:rsidR="00E939C6">
        <w:rPr>
          <w:rFonts w:ascii="Georgia" w:hAnsi="Georgia"/>
        </w:rPr>
        <w:t xml:space="preserve">n </w:t>
      </w:r>
      <w:r w:rsidR="00E939C6" w:rsidRPr="00D60CE7">
        <w:rPr>
          <w:rFonts w:ascii="Georgia" w:hAnsi="Georgia"/>
        </w:rPr>
        <w:t xml:space="preserve">incoming faculty or administrator (VP or Director </w:t>
      </w:r>
      <w:proofErr w:type="gramStart"/>
      <w:r w:rsidR="00E939C6" w:rsidRPr="00D60CE7">
        <w:rPr>
          <w:rFonts w:ascii="Georgia" w:hAnsi="Georgia"/>
        </w:rPr>
        <w:t>level</w:t>
      </w:r>
      <w:proofErr w:type="gramEnd"/>
      <w:r w:rsidR="00E939C6" w:rsidRPr="00D60CE7">
        <w:rPr>
          <w:rFonts w:ascii="Georgia" w:hAnsi="Georgia"/>
        </w:rPr>
        <w:t>)</w:t>
      </w:r>
      <w:r w:rsidR="00E939C6" w:rsidRPr="00A461AF">
        <w:rPr>
          <w:rFonts w:ascii="Georgia" w:hAnsi="Georgia"/>
        </w:rPr>
        <w:t xml:space="preserve"> an equitable transition allowance to cover their personal moving, relocation, and employment transition costs.</w:t>
      </w:r>
    </w:p>
    <w:p w14:paraId="3B4BF953" w14:textId="77777777" w:rsidR="003D1313" w:rsidRPr="003D1313" w:rsidRDefault="003D1313" w:rsidP="003D1313">
      <w:pPr>
        <w:rPr>
          <w:u w:val="single"/>
        </w:rPr>
      </w:pP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p>
    <w:p w14:paraId="6CA8BBC4" w14:textId="77777777" w:rsidR="00874E15" w:rsidRPr="00443A88" w:rsidRDefault="004617E7" w:rsidP="00F84D36">
      <w:pPr>
        <w:pStyle w:val="ListParagraph"/>
        <w:numPr>
          <w:ilvl w:val="0"/>
          <w:numId w:val="9"/>
        </w:numPr>
        <w:rPr>
          <w:rFonts w:ascii="Arial" w:hAnsi="Arial" w:cs="Arial"/>
          <w:color w:val="17365D" w:themeColor="text2" w:themeShade="BF"/>
          <w:sz w:val="20"/>
        </w:rPr>
      </w:pPr>
      <w:r w:rsidRPr="00443A88">
        <w:rPr>
          <w:rFonts w:ascii="Arial" w:hAnsi="Arial" w:cs="Arial"/>
          <w:color w:val="17365D" w:themeColor="text2" w:themeShade="BF"/>
          <w:sz w:val="36"/>
        </w:rPr>
        <w:t>Procedures</w:t>
      </w:r>
    </w:p>
    <w:p w14:paraId="20384D82" w14:textId="159CE1D4" w:rsidR="00874E15" w:rsidRDefault="00874E15">
      <w:pPr>
        <w:rPr>
          <w:rFonts w:ascii="Arial" w:hAnsi="Arial" w:cs="Arial"/>
          <w:sz w:val="20"/>
        </w:rPr>
      </w:pPr>
    </w:p>
    <w:p w14:paraId="427E790C" w14:textId="77777777" w:rsidR="00EA4D54" w:rsidRDefault="00EA4D54" w:rsidP="00EA4D54">
      <w:pPr>
        <w:pStyle w:val="ListParagraph"/>
        <w:numPr>
          <w:ilvl w:val="0"/>
          <w:numId w:val="16"/>
        </w:numPr>
        <w:spacing w:after="160" w:line="259" w:lineRule="auto"/>
      </w:pPr>
      <w:r w:rsidRPr="00272909">
        <w:t>An EPAF for Transition Allowance will not be necessary if:</w:t>
      </w:r>
    </w:p>
    <w:p w14:paraId="08F699B4" w14:textId="77777777" w:rsidR="00EA4D54" w:rsidRPr="00272909" w:rsidRDefault="00EA4D54" w:rsidP="00EA4D54">
      <w:pPr>
        <w:pStyle w:val="ListParagraph"/>
        <w:numPr>
          <w:ilvl w:val="0"/>
          <w:numId w:val="17"/>
        </w:numPr>
        <w:spacing w:after="160" w:line="259" w:lineRule="auto"/>
      </w:pPr>
      <w:r w:rsidRPr="00272909">
        <w:t xml:space="preserve">The Transition Allowance is less than 10% of the employee’s regular starting salary </w:t>
      </w:r>
      <w:r w:rsidRPr="00844C2D">
        <w:rPr>
          <w:b/>
        </w:rPr>
        <w:t>AND</w:t>
      </w:r>
      <w:r w:rsidRPr="00272909">
        <w:t xml:space="preserve"> the offer letter </w:t>
      </w:r>
      <w:r>
        <w:t xml:space="preserve">which includes the Transition Allowance amount </w:t>
      </w:r>
      <w:r w:rsidRPr="00272909">
        <w:t>was signed off on by the appropriate Department Head, Dean or Vice President</w:t>
      </w:r>
      <w:r>
        <w:t>.</w:t>
      </w:r>
    </w:p>
    <w:p w14:paraId="777347C8" w14:textId="77777777" w:rsidR="00EA4D54" w:rsidRDefault="00EA4D54" w:rsidP="00EA4D54">
      <w:pPr>
        <w:pStyle w:val="ListParagraph"/>
        <w:numPr>
          <w:ilvl w:val="0"/>
          <w:numId w:val="16"/>
        </w:numPr>
        <w:spacing w:after="160" w:line="259" w:lineRule="auto"/>
      </w:pPr>
      <w:r w:rsidRPr="00272909">
        <w:t xml:space="preserve"> An EPAF for the Transition Allowance will be necessary if:</w:t>
      </w:r>
    </w:p>
    <w:p w14:paraId="1C95C91B" w14:textId="77777777" w:rsidR="00EA4D54" w:rsidRDefault="00EA4D54" w:rsidP="00EA4D54">
      <w:pPr>
        <w:pStyle w:val="ListParagraph"/>
        <w:numPr>
          <w:ilvl w:val="0"/>
          <w:numId w:val="17"/>
        </w:numPr>
        <w:spacing w:after="160" w:line="259" w:lineRule="auto"/>
      </w:pPr>
      <w:r w:rsidRPr="00272909">
        <w:t>The Transition Allowance is less than 10% but the offer letter</w:t>
      </w:r>
      <w:r>
        <w:t xml:space="preserve"> did not reference the Transition Allowance amount; OR</w:t>
      </w:r>
      <w:r w:rsidRPr="00272909">
        <w:t xml:space="preserve"> </w:t>
      </w:r>
    </w:p>
    <w:p w14:paraId="3950D79E" w14:textId="77777777" w:rsidR="00EA4D54" w:rsidRDefault="00EA4D54" w:rsidP="00E939C6">
      <w:pPr>
        <w:pStyle w:val="ListParagraph"/>
        <w:numPr>
          <w:ilvl w:val="0"/>
          <w:numId w:val="17"/>
        </w:numPr>
        <w:spacing w:after="160" w:line="259" w:lineRule="auto"/>
      </w:pPr>
      <w:r>
        <w:lastRenderedPageBreak/>
        <w:t xml:space="preserve">The Transition Allowance is less than 10% and was referenced in the offer letter, but the offer letter </w:t>
      </w:r>
      <w:r w:rsidRPr="00272909">
        <w:t xml:space="preserve">was not signed off on by the appropriate Department Head, Dean or Vice President; </w:t>
      </w:r>
      <w:r>
        <w:t>OR</w:t>
      </w:r>
    </w:p>
    <w:p w14:paraId="6D6C94D3" w14:textId="77777777" w:rsidR="00EA4D54" w:rsidRDefault="00EA4D54" w:rsidP="00E939C6">
      <w:pPr>
        <w:pStyle w:val="ListParagraph"/>
        <w:numPr>
          <w:ilvl w:val="0"/>
          <w:numId w:val="17"/>
        </w:numPr>
        <w:spacing w:after="160" w:line="259" w:lineRule="auto"/>
      </w:pPr>
      <w:r w:rsidRPr="00272909">
        <w:t xml:space="preserve">The Transition Allowance is greater than 10% of the </w:t>
      </w:r>
      <w:r>
        <w:t xml:space="preserve">employee’s regular starting salary. </w:t>
      </w:r>
    </w:p>
    <w:p w14:paraId="799646FA" w14:textId="77777777" w:rsidR="00EA4D54" w:rsidRDefault="00EA4D54" w:rsidP="00EA4D54">
      <w:pPr>
        <w:pStyle w:val="ListParagraph"/>
        <w:ind w:left="1440"/>
      </w:pPr>
    </w:p>
    <w:p w14:paraId="152DED6B" w14:textId="11FE5589" w:rsidR="00EA4D54" w:rsidRPr="002D692D" w:rsidRDefault="00E939C6" w:rsidP="00EA4D54">
      <w:pPr>
        <w:rPr>
          <w:u w:val="single"/>
        </w:rPr>
      </w:pPr>
      <w:r w:rsidRPr="002D692D">
        <w:rPr>
          <w:u w:val="single"/>
        </w:rPr>
        <w:t>I</w:t>
      </w:r>
      <w:r w:rsidR="00EA4D54" w:rsidRPr="002D692D">
        <w:rPr>
          <w:u w:val="single"/>
        </w:rPr>
        <w:t>nstructions to create the Transition Allowance EPAF (ALLWNC)</w:t>
      </w:r>
      <w:r w:rsidR="009706E4" w:rsidRPr="002D692D">
        <w:rPr>
          <w:u w:val="single"/>
        </w:rPr>
        <w:br/>
      </w:r>
    </w:p>
    <w:p w14:paraId="1DF9DA72" w14:textId="77777777" w:rsidR="00EA4D54" w:rsidRDefault="00EA4D54" w:rsidP="00EA4D54">
      <w:pPr>
        <w:pStyle w:val="ListParagraph"/>
        <w:numPr>
          <w:ilvl w:val="0"/>
          <w:numId w:val="14"/>
        </w:numPr>
        <w:spacing w:after="160" w:line="259" w:lineRule="auto"/>
      </w:pPr>
      <w:r>
        <w:t>To process EPAF ALLWNC</w:t>
      </w:r>
    </w:p>
    <w:p w14:paraId="153E0036" w14:textId="77777777" w:rsidR="00EA4D54" w:rsidRDefault="00EA4D54" w:rsidP="00EA4D54">
      <w:pPr>
        <w:pStyle w:val="ListParagraph"/>
        <w:numPr>
          <w:ilvl w:val="1"/>
          <w:numId w:val="14"/>
        </w:numPr>
        <w:spacing w:after="160" w:line="259" w:lineRule="auto"/>
      </w:pPr>
      <w:r>
        <w:t xml:space="preserve">Go to </w:t>
      </w:r>
      <w:r w:rsidRPr="00BE69A8">
        <w:rPr>
          <w:b/>
        </w:rPr>
        <w:t>Self-service Banner</w:t>
      </w:r>
    </w:p>
    <w:p w14:paraId="069AE552" w14:textId="77777777" w:rsidR="00EA4D54" w:rsidRDefault="00EA4D54" w:rsidP="00EA4D54">
      <w:pPr>
        <w:pStyle w:val="ListParagraph"/>
        <w:numPr>
          <w:ilvl w:val="1"/>
          <w:numId w:val="14"/>
        </w:numPr>
        <w:spacing w:after="160" w:line="259" w:lineRule="auto"/>
      </w:pPr>
      <w:r>
        <w:t xml:space="preserve">Select </w:t>
      </w:r>
      <w:r w:rsidRPr="00BE69A8">
        <w:rPr>
          <w:b/>
        </w:rPr>
        <w:t>Employee Tab</w:t>
      </w:r>
    </w:p>
    <w:p w14:paraId="7F5C3C1F" w14:textId="77777777" w:rsidR="00EA4D54" w:rsidRDefault="00EA4D54" w:rsidP="00EA4D54">
      <w:pPr>
        <w:pStyle w:val="ListParagraph"/>
        <w:numPr>
          <w:ilvl w:val="1"/>
          <w:numId w:val="14"/>
        </w:numPr>
        <w:spacing w:after="160" w:line="259" w:lineRule="auto"/>
      </w:pPr>
      <w:r>
        <w:t xml:space="preserve">Select </w:t>
      </w:r>
      <w:r w:rsidRPr="00BE69A8">
        <w:rPr>
          <w:b/>
        </w:rPr>
        <w:t>New EPAF</w:t>
      </w:r>
    </w:p>
    <w:p w14:paraId="107B8074" w14:textId="77777777" w:rsidR="00EA4D54" w:rsidRDefault="00EA4D54" w:rsidP="00EA4D54">
      <w:pPr>
        <w:pStyle w:val="ListParagraph"/>
        <w:numPr>
          <w:ilvl w:val="1"/>
          <w:numId w:val="14"/>
        </w:numPr>
        <w:spacing w:after="160" w:line="259" w:lineRule="auto"/>
      </w:pPr>
      <w:r>
        <w:t xml:space="preserve">Enter </w:t>
      </w:r>
      <w:r w:rsidRPr="00307464">
        <w:rPr>
          <w:b/>
        </w:rPr>
        <w:t>Banner ID</w:t>
      </w:r>
      <w:r>
        <w:t xml:space="preserve"> of employee</w:t>
      </w:r>
    </w:p>
    <w:p w14:paraId="6CFB9A1C" w14:textId="77777777" w:rsidR="00EA4D54" w:rsidRDefault="00EA4D54" w:rsidP="00EA4D54">
      <w:pPr>
        <w:pStyle w:val="ListParagraph"/>
        <w:numPr>
          <w:ilvl w:val="1"/>
          <w:numId w:val="14"/>
        </w:numPr>
        <w:spacing w:after="160" w:line="259" w:lineRule="auto"/>
      </w:pPr>
      <w:r>
        <w:t xml:space="preserve">For </w:t>
      </w:r>
      <w:r w:rsidRPr="00307464">
        <w:rPr>
          <w:b/>
        </w:rPr>
        <w:t>Query Date</w:t>
      </w:r>
      <w:r>
        <w:t>, date will be the start of the pay period for which pay will need to be paid</w:t>
      </w:r>
    </w:p>
    <w:p w14:paraId="0B541850" w14:textId="77777777" w:rsidR="00EA4D54" w:rsidRPr="00962C16" w:rsidRDefault="00EA4D54" w:rsidP="00EA4D54">
      <w:pPr>
        <w:pStyle w:val="ListParagraph"/>
        <w:numPr>
          <w:ilvl w:val="1"/>
          <w:numId w:val="14"/>
        </w:numPr>
        <w:spacing w:after="160" w:line="259" w:lineRule="auto"/>
      </w:pPr>
      <w:r>
        <w:t xml:space="preserve">For </w:t>
      </w:r>
      <w:r w:rsidRPr="00307464">
        <w:rPr>
          <w:b/>
        </w:rPr>
        <w:t>Approval Category</w:t>
      </w:r>
      <w:r>
        <w:t xml:space="preserve">, select </w:t>
      </w:r>
      <w:r w:rsidRPr="00A76643">
        <w:rPr>
          <w:b/>
        </w:rPr>
        <w:t>ALLWNC</w:t>
      </w:r>
      <w:r>
        <w:rPr>
          <w:b/>
        </w:rPr>
        <w:t>, A</w:t>
      </w:r>
      <w:r w:rsidRPr="00BE69A8">
        <w:rPr>
          <w:b/>
        </w:rPr>
        <w:t>dd an allowance to an employee</w:t>
      </w:r>
    </w:p>
    <w:p w14:paraId="34357D85" w14:textId="77777777" w:rsidR="00EA4D54" w:rsidRPr="00A76643" w:rsidRDefault="00EA4D54" w:rsidP="00EA4D54">
      <w:pPr>
        <w:pStyle w:val="ListParagraph"/>
        <w:numPr>
          <w:ilvl w:val="1"/>
          <w:numId w:val="14"/>
        </w:numPr>
        <w:spacing w:after="160" w:line="259" w:lineRule="auto"/>
      </w:pPr>
      <w:r>
        <w:t xml:space="preserve">Click: </w:t>
      </w:r>
      <w:r w:rsidRPr="00A76643">
        <w:rPr>
          <w:b/>
        </w:rPr>
        <w:t>Go</w:t>
      </w:r>
    </w:p>
    <w:p w14:paraId="031D2399" w14:textId="77777777" w:rsidR="00EA4D54" w:rsidRDefault="00EA4D54" w:rsidP="00EA4D54">
      <w:pPr>
        <w:pStyle w:val="ListParagraph"/>
        <w:numPr>
          <w:ilvl w:val="1"/>
          <w:numId w:val="14"/>
        </w:numPr>
        <w:spacing w:after="160" w:line="259" w:lineRule="auto"/>
      </w:pPr>
      <w:r w:rsidRPr="00BE69A8">
        <w:t>Select</w:t>
      </w:r>
      <w:r>
        <w:rPr>
          <w:b/>
        </w:rPr>
        <w:t xml:space="preserve"> </w:t>
      </w:r>
      <w:r>
        <w:t>the</w:t>
      </w:r>
      <w:r w:rsidRPr="00307464">
        <w:rPr>
          <w:b/>
        </w:rPr>
        <w:t xml:space="preserve"> Active Primary Job </w:t>
      </w:r>
      <w:r>
        <w:t>to which the allowance applies</w:t>
      </w:r>
    </w:p>
    <w:p w14:paraId="0FEB549D" w14:textId="77777777" w:rsidR="00EA4D54" w:rsidRPr="00A76643" w:rsidRDefault="00EA4D54" w:rsidP="00EA4D54">
      <w:pPr>
        <w:pStyle w:val="ListParagraph"/>
        <w:numPr>
          <w:ilvl w:val="1"/>
          <w:numId w:val="14"/>
        </w:numPr>
        <w:spacing w:after="160" w:line="259" w:lineRule="auto"/>
      </w:pPr>
      <w:r>
        <w:t xml:space="preserve">Click: </w:t>
      </w:r>
      <w:r>
        <w:rPr>
          <w:b/>
        </w:rPr>
        <w:t>Go</w:t>
      </w:r>
    </w:p>
    <w:p w14:paraId="5219CF12" w14:textId="77777777" w:rsidR="00EA4D54" w:rsidRDefault="00EA4D54" w:rsidP="00EA4D54">
      <w:pPr>
        <w:pStyle w:val="ListParagraph"/>
        <w:numPr>
          <w:ilvl w:val="1"/>
          <w:numId w:val="14"/>
        </w:numPr>
        <w:spacing w:after="160" w:line="259" w:lineRule="auto"/>
      </w:pPr>
      <w:r>
        <w:t>Change “</w:t>
      </w:r>
      <w:r w:rsidRPr="00BE69A8">
        <w:rPr>
          <w:b/>
        </w:rPr>
        <w:t>Effective Date</w:t>
      </w:r>
      <w:r>
        <w:t>” of Regular Earnings to same effective date of Query Date as entered above</w:t>
      </w:r>
    </w:p>
    <w:p w14:paraId="4329D3AF" w14:textId="77777777" w:rsidR="00EA4D54" w:rsidRDefault="00EA4D54" w:rsidP="00EA4D54">
      <w:pPr>
        <w:pStyle w:val="ListParagraph"/>
        <w:numPr>
          <w:ilvl w:val="1"/>
          <w:numId w:val="14"/>
        </w:numPr>
        <w:spacing w:after="160" w:line="259" w:lineRule="auto"/>
      </w:pPr>
      <w:r>
        <w:t>Enter “</w:t>
      </w:r>
      <w:r w:rsidRPr="00BE69A8">
        <w:rPr>
          <w:b/>
        </w:rPr>
        <w:t>Effective Date</w:t>
      </w:r>
      <w:r>
        <w:t>” of Allowance as same effective date of Query Date as entered above</w:t>
      </w:r>
    </w:p>
    <w:p w14:paraId="36AABADD" w14:textId="77777777" w:rsidR="00EA4D54" w:rsidRDefault="00EA4D54" w:rsidP="00EA4D54">
      <w:pPr>
        <w:pStyle w:val="ListParagraph"/>
        <w:numPr>
          <w:ilvl w:val="1"/>
          <w:numId w:val="14"/>
        </w:numPr>
        <w:spacing w:after="160" w:line="259" w:lineRule="auto"/>
      </w:pPr>
      <w:r w:rsidRPr="00BE69A8">
        <w:t>Select</w:t>
      </w:r>
      <w:r>
        <w:t xml:space="preserve">: </w:t>
      </w:r>
      <w:r>
        <w:rPr>
          <w:b/>
        </w:rPr>
        <w:t xml:space="preserve">TMA, </w:t>
      </w:r>
      <w:r w:rsidRPr="00BE69A8">
        <w:rPr>
          <w:b/>
        </w:rPr>
        <w:t>Transitional Moving Allowance</w:t>
      </w:r>
      <w:r>
        <w:t xml:space="preserve"> from drop down list</w:t>
      </w:r>
    </w:p>
    <w:p w14:paraId="4ECF8567" w14:textId="77777777" w:rsidR="00EA4D54" w:rsidRDefault="00EA4D54" w:rsidP="00EA4D54">
      <w:pPr>
        <w:pStyle w:val="ListParagraph"/>
        <w:numPr>
          <w:ilvl w:val="1"/>
          <w:numId w:val="14"/>
        </w:numPr>
        <w:spacing w:after="160" w:line="259" w:lineRule="auto"/>
      </w:pPr>
      <w:r>
        <w:t xml:space="preserve">For </w:t>
      </w:r>
      <w:r w:rsidRPr="00307464">
        <w:rPr>
          <w:b/>
        </w:rPr>
        <w:t>Hours or Units Per Pay:</w:t>
      </w:r>
      <w:r>
        <w:t xml:space="preserve">  Enter </w:t>
      </w:r>
      <w:r w:rsidRPr="007D320C">
        <w:rPr>
          <w:b/>
        </w:rPr>
        <w:t>1.00</w:t>
      </w:r>
    </w:p>
    <w:p w14:paraId="0A3DA773" w14:textId="77777777" w:rsidR="00EA4D54" w:rsidRDefault="00EA4D54" w:rsidP="00EA4D54">
      <w:pPr>
        <w:pStyle w:val="ListParagraph"/>
        <w:numPr>
          <w:ilvl w:val="1"/>
          <w:numId w:val="14"/>
        </w:numPr>
        <w:spacing w:after="160" w:line="259" w:lineRule="auto"/>
      </w:pPr>
      <w:r>
        <w:t>For</w:t>
      </w:r>
      <w:r w:rsidRPr="00BE69A8">
        <w:t xml:space="preserve"> </w:t>
      </w:r>
      <w:r w:rsidRPr="00307464">
        <w:rPr>
          <w:b/>
        </w:rPr>
        <w:t>Special Rate:</w:t>
      </w:r>
      <w:r>
        <w:t xml:space="preserve"> enter the amount (gross, or pre-tax amount) of the allowance to be paid</w:t>
      </w:r>
    </w:p>
    <w:p w14:paraId="7A4D90E2" w14:textId="77777777" w:rsidR="00EA4D54" w:rsidRPr="00962C16" w:rsidRDefault="00EA4D54" w:rsidP="00EA4D54">
      <w:pPr>
        <w:pStyle w:val="ListParagraph"/>
        <w:numPr>
          <w:ilvl w:val="1"/>
          <w:numId w:val="14"/>
        </w:numPr>
        <w:spacing w:after="160" w:line="259" w:lineRule="auto"/>
        <w:rPr>
          <w:b/>
        </w:rPr>
      </w:pPr>
      <w:r>
        <w:t xml:space="preserve">Enter </w:t>
      </w:r>
      <w:r w:rsidRPr="00307464">
        <w:rPr>
          <w:b/>
        </w:rPr>
        <w:t xml:space="preserve">End Date </w:t>
      </w:r>
      <w:r w:rsidRPr="00BE69A8">
        <w:t>for Allowance</w:t>
      </w:r>
      <w:r>
        <w:t>, which must be the day after the pay period end date. For example, if allowance is paid on 04/30/2018 and the pay period ends 04/30/2018, the end date of the Allowance must be 05/01/2018.</w:t>
      </w:r>
    </w:p>
    <w:p w14:paraId="0CBC3174" w14:textId="77777777" w:rsidR="00EA4D54" w:rsidRPr="00844C2D" w:rsidRDefault="00EA4D54" w:rsidP="00EA4D54">
      <w:pPr>
        <w:pStyle w:val="ListParagraph"/>
        <w:numPr>
          <w:ilvl w:val="1"/>
          <w:numId w:val="14"/>
        </w:numPr>
        <w:spacing w:after="160" w:line="259" w:lineRule="auto"/>
        <w:rPr>
          <w:b/>
        </w:rPr>
      </w:pPr>
      <w:r>
        <w:t xml:space="preserve">Click: </w:t>
      </w:r>
      <w:r w:rsidRPr="00962C16">
        <w:rPr>
          <w:b/>
        </w:rPr>
        <w:t>SAVE</w:t>
      </w:r>
      <w:r>
        <w:rPr>
          <w:b/>
        </w:rPr>
        <w:t>,</w:t>
      </w:r>
      <w:r w:rsidRPr="00272909">
        <w:t xml:space="preserve"> and if saved successfully, move to next steps.  If not saved successfully, correct errors and resave.</w:t>
      </w:r>
    </w:p>
    <w:p w14:paraId="2AC1F2A7" w14:textId="77777777" w:rsidR="00EA4D54" w:rsidRPr="00844C2D" w:rsidRDefault="00EA4D54" w:rsidP="00EA4D54">
      <w:pPr>
        <w:pStyle w:val="ListParagraph"/>
        <w:numPr>
          <w:ilvl w:val="1"/>
          <w:numId w:val="14"/>
        </w:numPr>
        <w:spacing w:after="160" w:line="259" w:lineRule="auto"/>
        <w:rPr>
          <w:b/>
        </w:rPr>
      </w:pPr>
      <w:r w:rsidRPr="00844C2D">
        <w:rPr>
          <w:b/>
        </w:rPr>
        <w:t>Select Routing Queue</w:t>
      </w:r>
    </w:p>
    <w:p w14:paraId="6D86BD64" w14:textId="77777777" w:rsidR="00EA4D54" w:rsidRPr="00EA4D54" w:rsidRDefault="00EA4D54" w:rsidP="00EA4D54">
      <w:pPr>
        <w:pStyle w:val="ListParagraph"/>
        <w:numPr>
          <w:ilvl w:val="0"/>
          <w:numId w:val="15"/>
        </w:numPr>
        <w:contextualSpacing w:val="0"/>
      </w:pPr>
      <w:r w:rsidRPr="00EA4D54">
        <w:t>If the allowance is less than 10% and the offer letter was not signed as indicated above, EPAF must route to the following for approval:</w:t>
      </w:r>
    </w:p>
    <w:p w14:paraId="651CA587" w14:textId="77777777" w:rsidR="00EA4D54" w:rsidRPr="00EA4D54" w:rsidRDefault="00EA4D54" w:rsidP="00EA4D54">
      <w:pPr>
        <w:pStyle w:val="ListParagraph"/>
        <w:numPr>
          <w:ilvl w:val="1"/>
          <w:numId w:val="15"/>
        </w:numPr>
        <w:contextualSpacing w:val="0"/>
      </w:pPr>
      <w:r w:rsidRPr="00EA4D54">
        <w:t xml:space="preserve">HR Liaison and </w:t>
      </w:r>
    </w:p>
    <w:p w14:paraId="17072428" w14:textId="085EF7D6" w:rsidR="00EA4D54" w:rsidRPr="00EA4D54" w:rsidRDefault="00EA4D54" w:rsidP="00EA4D54">
      <w:pPr>
        <w:pStyle w:val="ListParagraph"/>
        <w:numPr>
          <w:ilvl w:val="1"/>
          <w:numId w:val="15"/>
        </w:numPr>
        <w:contextualSpacing w:val="0"/>
      </w:pPr>
      <w:r w:rsidRPr="00EA4D54">
        <w:t>Either the Department Head, Dean or appropriate Vice President.</w:t>
      </w:r>
      <w:r w:rsidR="00E939C6">
        <w:br/>
      </w:r>
      <w:r w:rsidR="00E939C6">
        <w:br/>
      </w:r>
    </w:p>
    <w:p w14:paraId="0802CC88" w14:textId="77777777" w:rsidR="00EA4D54" w:rsidRPr="00EA4D54" w:rsidRDefault="00EA4D54" w:rsidP="00EA4D54">
      <w:pPr>
        <w:pStyle w:val="ListParagraph"/>
        <w:ind w:left="2160"/>
        <w:contextualSpacing w:val="0"/>
      </w:pPr>
    </w:p>
    <w:p w14:paraId="6E6D2125" w14:textId="77777777" w:rsidR="00EA4D54" w:rsidRPr="00EA4D54" w:rsidRDefault="00EA4D54" w:rsidP="00EA4D54">
      <w:pPr>
        <w:pStyle w:val="ListParagraph"/>
        <w:numPr>
          <w:ilvl w:val="0"/>
          <w:numId w:val="15"/>
        </w:numPr>
        <w:contextualSpacing w:val="0"/>
      </w:pPr>
      <w:r w:rsidRPr="00EA4D54">
        <w:lastRenderedPageBreak/>
        <w:t>If the allowance is greater than 10% of the employee’s regular rate of pay, EPAF must route to the following for approval:</w:t>
      </w:r>
    </w:p>
    <w:p w14:paraId="6B9D7AEE" w14:textId="77777777" w:rsidR="00EA4D54" w:rsidRPr="00EA4D54" w:rsidRDefault="00EA4D54" w:rsidP="00EA4D54">
      <w:pPr>
        <w:pStyle w:val="ListParagraph"/>
        <w:numPr>
          <w:ilvl w:val="1"/>
          <w:numId w:val="15"/>
        </w:numPr>
        <w:contextualSpacing w:val="0"/>
      </w:pPr>
      <w:r w:rsidRPr="00EA4D54">
        <w:t xml:space="preserve">HR Liaison and </w:t>
      </w:r>
    </w:p>
    <w:p w14:paraId="1381EB48" w14:textId="77777777" w:rsidR="00EA4D54" w:rsidRPr="00EA4D54" w:rsidRDefault="00EA4D54" w:rsidP="00EA4D54">
      <w:pPr>
        <w:pStyle w:val="ListParagraph"/>
        <w:numPr>
          <w:ilvl w:val="1"/>
          <w:numId w:val="15"/>
        </w:numPr>
        <w:contextualSpacing w:val="0"/>
        <w:rPr>
          <w:b/>
        </w:rPr>
      </w:pPr>
      <w:r w:rsidRPr="00EA4D54">
        <w:t xml:space="preserve">Either the Department Head, Dean or appropriate Vice President, and </w:t>
      </w:r>
    </w:p>
    <w:p w14:paraId="7A2BF581" w14:textId="77777777" w:rsidR="00EA4D54" w:rsidRPr="00EA4D54" w:rsidRDefault="00EA4D54" w:rsidP="00EA4D54">
      <w:pPr>
        <w:pStyle w:val="ListParagraph"/>
        <w:numPr>
          <w:ilvl w:val="1"/>
          <w:numId w:val="15"/>
        </w:numPr>
        <w:contextualSpacing w:val="0"/>
        <w:rPr>
          <w:b/>
        </w:rPr>
      </w:pPr>
      <w:r w:rsidRPr="00EA4D54">
        <w:t>Either the Provost, Vice President Business &amp; Finance, Chief of Staff or Vice President Student Affairs.</w:t>
      </w:r>
    </w:p>
    <w:p w14:paraId="03765997" w14:textId="77777777" w:rsidR="00EA4D54" w:rsidRPr="00844C2D" w:rsidRDefault="00EA4D54" w:rsidP="00EA4D54">
      <w:pPr>
        <w:pStyle w:val="ListParagraph"/>
        <w:numPr>
          <w:ilvl w:val="1"/>
          <w:numId w:val="14"/>
        </w:numPr>
        <w:rPr>
          <w:b/>
        </w:rPr>
      </w:pPr>
      <w:r w:rsidRPr="00F60656">
        <w:t>Click:</w:t>
      </w:r>
      <w:r>
        <w:rPr>
          <w:b/>
        </w:rPr>
        <w:t xml:space="preserve"> </w:t>
      </w:r>
      <w:r w:rsidRPr="00844C2D">
        <w:rPr>
          <w:b/>
        </w:rPr>
        <w:t>Save</w:t>
      </w:r>
    </w:p>
    <w:p w14:paraId="6E57B5EB" w14:textId="77777777" w:rsidR="00EA4D54" w:rsidRPr="00844C2D" w:rsidRDefault="00EA4D54" w:rsidP="00EA4D54">
      <w:pPr>
        <w:pStyle w:val="ListParagraph"/>
        <w:numPr>
          <w:ilvl w:val="1"/>
          <w:numId w:val="14"/>
        </w:numPr>
        <w:spacing w:after="160" w:line="259" w:lineRule="auto"/>
        <w:rPr>
          <w:b/>
        </w:rPr>
      </w:pPr>
      <w:r>
        <w:t xml:space="preserve">Click: </w:t>
      </w:r>
      <w:r w:rsidRPr="00844C2D">
        <w:rPr>
          <w:b/>
        </w:rPr>
        <w:t>Submit</w:t>
      </w:r>
    </w:p>
    <w:p w14:paraId="3E904AC5" w14:textId="2D4A9D7D" w:rsidR="00EA4D54" w:rsidRDefault="00EA4D54" w:rsidP="00EA4D54">
      <w:pPr>
        <w:rPr>
          <w:rFonts w:ascii="Arial" w:hAnsi="Arial" w:cs="Arial"/>
          <w:sz w:val="20"/>
        </w:rPr>
      </w:pPr>
    </w:p>
    <w:p w14:paraId="5456B9CF" w14:textId="77777777" w:rsidR="007426A6" w:rsidRPr="003D1313" w:rsidRDefault="007426A6" w:rsidP="007426A6">
      <w:pPr>
        <w:rPr>
          <w:u w:val="single"/>
        </w:rPr>
      </w:pP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p>
    <w:p w14:paraId="46708B04" w14:textId="2C404C51" w:rsidR="007426A6" w:rsidRPr="008361BC" w:rsidRDefault="007426A6" w:rsidP="00980932">
      <w:pPr>
        <w:pStyle w:val="ListParagraph"/>
        <w:numPr>
          <w:ilvl w:val="0"/>
          <w:numId w:val="9"/>
        </w:numPr>
        <w:rPr>
          <w:rFonts w:ascii="Arial" w:hAnsi="Arial" w:cs="Arial"/>
          <w:sz w:val="20"/>
        </w:rPr>
      </w:pPr>
      <w:r w:rsidRPr="008361BC">
        <w:rPr>
          <w:rFonts w:ascii="Arial" w:hAnsi="Arial" w:cs="Arial"/>
          <w:color w:val="17365D" w:themeColor="text2" w:themeShade="BF"/>
          <w:sz w:val="36"/>
        </w:rPr>
        <w:t>Definitions</w:t>
      </w:r>
      <w:r w:rsidR="00E939C6">
        <w:rPr>
          <w:rFonts w:ascii="Arial" w:hAnsi="Arial" w:cs="Arial"/>
          <w:color w:val="17365D" w:themeColor="text2" w:themeShade="BF"/>
          <w:sz w:val="36"/>
        </w:rPr>
        <w:br/>
      </w:r>
    </w:p>
    <w:p w14:paraId="286AA1AE" w14:textId="63FA183E" w:rsidR="00E939C6" w:rsidRPr="00A461AF" w:rsidRDefault="00E939C6" w:rsidP="00E939C6">
      <w:pPr>
        <w:pStyle w:val="ListParagraph"/>
        <w:numPr>
          <w:ilvl w:val="0"/>
          <w:numId w:val="18"/>
        </w:numPr>
        <w:spacing w:after="160" w:line="259" w:lineRule="auto"/>
        <w:rPr>
          <w:rFonts w:ascii="Georgia" w:hAnsi="Georgia"/>
        </w:rPr>
      </w:pPr>
      <w:r w:rsidRPr="00A461AF">
        <w:rPr>
          <w:rFonts w:ascii="Georgia" w:hAnsi="Georgia"/>
        </w:rPr>
        <w:t>Employee:  For purposes of this policy, an employee is anyone who receives a Form W-2 from the University.</w:t>
      </w:r>
      <w:r>
        <w:rPr>
          <w:rFonts w:ascii="Georgia" w:hAnsi="Georgia"/>
        </w:rPr>
        <w:br/>
      </w:r>
    </w:p>
    <w:p w14:paraId="1DC953F3" w14:textId="77777777" w:rsidR="00E939C6" w:rsidRPr="00A461AF" w:rsidRDefault="00E939C6" w:rsidP="00E939C6">
      <w:pPr>
        <w:pStyle w:val="ListParagraph"/>
        <w:numPr>
          <w:ilvl w:val="0"/>
          <w:numId w:val="18"/>
        </w:numPr>
        <w:spacing w:after="160" w:line="259" w:lineRule="auto"/>
        <w:rPr>
          <w:rFonts w:ascii="Georgia" w:hAnsi="Georgia"/>
        </w:rPr>
      </w:pPr>
      <w:r w:rsidRPr="00A461AF">
        <w:rPr>
          <w:rFonts w:ascii="Georgia" w:hAnsi="Georgia"/>
        </w:rPr>
        <w:t xml:space="preserve">Transition Allowance:  Payment made </w:t>
      </w:r>
      <w:r>
        <w:rPr>
          <w:rFonts w:ascii="Georgia" w:hAnsi="Georgia"/>
        </w:rPr>
        <w:t xml:space="preserve">as a taxable benefit </w:t>
      </w:r>
      <w:r w:rsidRPr="00A461AF">
        <w:rPr>
          <w:rFonts w:ascii="Georgia" w:hAnsi="Georgia"/>
        </w:rPr>
        <w:t>to a</w:t>
      </w:r>
      <w:r>
        <w:rPr>
          <w:rFonts w:ascii="Georgia" w:hAnsi="Georgia"/>
        </w:rPr>
        <w:t xml:space="preserve">n incoming faculty or administrator </w:t>
      </w:r>
      <w:r w:rsidRPr="00A461AF">
        <w:rPr>
          <w:rFonts w:ascii="Georgia" w:hAnsi="Georgia"/>
        </w:rPr>
        <w:t>to cover their personal moving, relocation and employment transition costs.  This payment includes moving company expenses, temporary storage or housing, travel, meals, or other personal or family relocation expenses.</w:t>
      </w:r>
    </w:p>
    <w:p w14:paraId="29F850AC" w14:textId="77777777" w:rsidR="00B963FF" w:rsidRPr="003D1313" w:rsidRDefault="00B963FF" w:rsidP="00B963FF">
      <w:pPr>
        <w:rPr>
          <w:u w:val="single"/>
        </w:rPr>
      </w:pPr>
      <w:r w:rsidRPr="003D1313">
        <w:rPr>
          <w:u w:val="single"/>
        </w:rPr>
        <w:tab/>
      </w:r>
      <w:r w:rsidRPr="003D1313">
        <w:rPr>
          <w:u w:val="single"/>
        </w:rPr>
        <w:tab/>
      </w:r>
      <w:r w:rsidRPr="003D1313">
        <w:rPr>
          <w:u w:val="single"/>
        </w:rPr>
        <w:tab/>
      </w:r>
      <w:r w:rsidRPr="003D1313">
        <w:rPr>
          <w:u w:val="single"/>
        </w:rPr>
        <w:tab/>
      </w:r>
      <w:r w:rsidR="005E4E68">
        <w:rPr>
          <w:u w:val="single"/>
        </w:rPr>
        <w:t xml:space="preserve">                                                                         </w:t>
      </w:r>
      <w:r w:rsidRPr="003D1313">
        <w:rPr>
          <w:u w:val="single"/>
        </w:rPr>
        <w:tab/>
      </w:r>
      <w:r w:rsidRPr="003D1313">
        <w:rPr>
          <w:u w:val="single"/>
        </w:rPr>
        <w:tab/>
      </w:r>
      <w:r w:rsidR="005E4E68">
        <w:rPr>
          <w:u w:val="single"/>
        </w:rPr>
        <w:t xml:space="preserve">    </w:t>
      </w:r>
    </w:p>
    <w:p w14:paraId="363B8FBB" w14:textId="77777777" w:rsidR="00B963FF" w:rsidRPr="00443A88" w:rsidRDefault="00B963FF" w:rsidP="00F84D36">
      <w:pPr>
        <w:pStyle w:val="ListParagraph"/>
        <w:numPr>
          <w:ilvl w:val="0"/>
          <w:numId w:val="9"/>
        </w:numPr>
        <w:rPr>
          <w:rFonts w:ascii="Arial" w:hAnsi="Arial" w:cs="Arial"/>
          <w:color w:val="17365D" w:themeColor="text2" w:themeShade="BF"/>
          <w:sz w:val="36"/>
        </w:rPr>
      </w:pPr>
      <w:r w:rsidRPr="00443A88">
        <w:rPr>
          <w:rFonts w:ascii="Arial" w:hAnsi="Arial" w:cs="Arial"/>
          <w:color w:val="17365D" w:themeColor="text2" w:themeShade="BF"/>
          <w:sz w:val="36"/>
        </w:rPr>
        <w:t>Sanctions</w:t>
      </w:r>
    </w:p>
    <w:p w14:paraId="24D53D05" w14:textId="77777777" w:rsidR="007426A6" w:rsidRPr="00BD5314" w:rsidRDefault="007426A6" w:rsidP="00B963FF">
      <w:pPr>
        <w:rPr>
          <w:rFonts w:ascii="Arial" w:hAnsi="Arial" w:cs="Arial"/>
          <w:bCs/>
          <w:iCs/>
        </w:rPr>
      </w:pPr>
    </w:p>
    <w:p w14:paraId="170A1432" w14:textId="5DCB7555" w:rsidR="00FA3DA8" w:rsidRPr="003A449E" w:rsidRDefault="00FA3DA8" w:rsidP="00FA3DA8">
      <w:pPr>
        <w:pStyle w:val="Default"/>
        <w:tabs>
          <w:tab w:val="decimal" w:pos="180"/>
          <w:tab w:val="left" w:pos="360"/>
        </w:tabs>
        <w:rPr>
          <w:rFonts w:ascii="Arial" w:hAnsi="Arial" w:cs="Arial"/>
          <w:bCs/>
          <w:color w:val="002060"/>
          <w:sz w:val="22"/>
        </w:rPr>
      </w:pPr>
      <w:r>
        <w:rPr>
          <w:rFonts w:ascii="Arial" w:hAnsi="Arial" w:cs="Arial"/>
          <w:bCs/>
          <w:color w:val="auto"/>
          <w:sz w:val="22"/>
        </w:rPr>
        <w:tab/>
        <w:t xml:space="preserve">Violations of this </w:t>
      </w:r>
      <w:r w:rsidR="004116A4">
        <w:rPr>
          <w:rFonts w:ascii="Arial" w:hAnsi="Arial" w:cs="Arial"/>
          <w:bCs/>
          <w:color w:val="auto"/>
          <w:sz w:val="22"/>
        </w:rPr>
        <w:t>procedure</w:t>
      </w:r>
      <w:r>
        <w:rPr>
          <w:rFonts w:ascii="Arial" w:hAnsi="Arial" w:cs="Arial"/>
          <w:bCs/>
          <w:color w:val="auto"/>
          <w:sz w:val="22"/>
        </w:rPr>
        <w:t xml:space="preserve"> </w:t>
      </w:r>
      <w:r w:rsidR="00EC0357">
        <w:rPr>
          <w:rFonts w:ascii="Arial" w:hAnsi="Arial" w:cs="Arial"/>
          <w:bCs/>
          <w:color w:val="auto"/>
          <w:sz w:val="22"/>
        </w:rPr>
        <w:t>will be addressed through the appropriate disciplinary action.</w:t>
      </w:r>
    </w:p>
    <w:p w14:paraId="4DC1758B" w14:textId="77777777" w:rsidR="003B5D27" w:rsidRPr="00B963FF" w:rsidRDefault="003B5D27" w:rsidP="00B963FF">
      <w:pPr>
        <w:rPr>
          <w:bCs/>
          <w:iCs/>
        </w:rPr>
      </w:pPr>
    </w:p>
    <w:p w14:paraId="11C72D2A" w14:textId="77777777" w:rsidR="003B5D27" w:rsidRPr="003D1313" w:rsidRDefault="003B5D27" w:rsidP="003B5D27">
      <w:pPr>
        <w:rPr>
          <w:u w:val="single"/>
        </w:rPr>
      </w:pP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p>
    <w:p w14:paraId="5A5B3691" w14:textId="284FD032" w:rsidR="003B5D27" w:rsidRPr="00EC0357" w:rsidRDefault="003B5D27" w:rsidP="00B43EED">
      <w:pPr>
        <w:pStyle w:val="ListParagraph"/>
        <w:numPr>
          <w:ilvl w:val="0"/>
          <w:numId w:val="9"/>
        </w:numPr>
        <w:rPr>
          <w:rFonts w:ascii="Arial" w:hAnsi="Arial" w:cs="Arial"/>
          <w:i/>
          <w:sz w:val="20"/>
        </w:rPr>
      </w:pPr>
      <w:r w:rsidRPr="00EC0357">
        <w:rPr>
          <w:rFonts w:ascii="Arial" w:hAnsi="Arial" w:cs="Arial"/>
          <w:color w:val="17365D" w:themeColor="text2" w:themeShade="BF"/>
          <w:sz w:val="36"/>
        </w:rPr>
        <w:t>Forms</w:t>
      </w:r>
    </w:p>
    <w:p w14:paraId="2D852836" w14:textId="21F11757" w:rsidR="003B5D27" w:rsidRPr="00BD5314" w:rsidRDefault="00FA3DA8" w:rsidP="002B3D69">
      <w:pPr>
        <w:pStyle w:val="Default"/>
        <w:tabs>
          <w:tab w:val="decimal" w:pos="180"/>
        </w:tabs>
        <w:rPr>
          <w:rFonts w:ascii="Arial" w:hAnsi="Arial" w:cs="Arial"/>
          <w:color w:val="A50021"/>
          <w:sz w:val="22"/>
          <w:szCs w:val="22"/>
        </w:rPr>
      </w:pPr>
      <w:r>
        <w:rPr>
          <w:rFonts w:ascii="Arial" w:hAnsi="Arial" w:cs="Arial"/>
          <w:b/>
          <w:bCs/>
          <w:color w:val="FF0000"/>
          <w:sz w:val="22"/>
        </w:rPr>
        <w:tab/>
      </w:r>
    </w:p>
    <w:p w14:paraId="68645B7C" w14:textId="77777777" w:rsidR="003D1313" w:rsidRPr="003D1313" w:rsidRDefault="003D1313" w:rsidP="003D1313">
      <w:pPr>
        <w:rPr>
          <w:u w:val="single"/>
        </w:rPr>
      </w:pP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005E4E68">
        <w:rPr>
          <w:u w:val="single"/>
        </w:rPr>
        <w:t xml:space="preserve">                                                             </w:t>
      </w:r>
      <w:r w:rsidRPr="003D1313">
        <w:rPr>
          <w:u w:val="single"/>
        </w:rPr>
        <w:tab/>
      </w:r>
    </w:p>
    <w:p w14:paraId="13A8D67A" w14:textId="74D2A24E" w:rsidR="00874E15" w:rsidRPr="00EC0357" w:rsidRDefault="00874E15" w:rsidP="00A02430">
      <w:pPr>
        <w:pStyle w:val="ListParagraph"/>
        <w:numPr>
          <w:ilvl w:val="0"/>
          <w:numId w:val="9"/>
        </w:numPr>
        <w:rPr>
          <w:rFonts w:asciiTheme="majorHAnsi" w:hAnsiTheme="majorHAnsi" w:cs="Arial"/>
          <w:sz w:val="20"/>
        </w:rPr>
      </w:pPr>
      <w:r w:rsidRPr="00EC0357">
        <w:rPr>
          <w:rFonts w:ascii="Arial" w:hAnsi="Arial" w:cs="Arial"/>
          <w:color w:val="17365D" w:themeColor="text2" w:themeShade="BF"/>
          <w:sz w:val="36"/>
        </w:rPr>
        <w:t>Related</w:t>
      </w:r>
      <w:r w:rsidRPr="00EC0357">
        <w:rPr>
          <w:rFonts w:asciiTheme="majorHAnsi" w:hAnsiTheme="majorHAnsi"/>
          <w:color w:val="17365D" w:themeColor="text2" w:themeShade="BF"/>
          <w:sz w:val="36"/>
        </w:rPr>
        <w:t xml:space="preserve"> </w:t>
      </w:r>
      <w:r w:rsidRPr="00EC0357">
        <w:rPr>
          <w:rFonts w:ascii="Arial" w:hAnsi="Arial" w:cs="Arial"/>
          <w:color w:val="17365D" w:themeColor="text2" w:themeShade="BF"/>
          <w:sz w:val="36"/>
        </w:rPr>
        <w:t>Information</w:t>
      </w:r>
    </w:p>
    <w:p w14:paraId="4F38B1DA" w14:textId="0B7AF12D" w:rsidR="002D256B" w:rsidRPr="00B95405" w:rsidRDefault="002D256B" w:rsidP="002D256B">
      <w:pPr>
        <w:rPr>
          <w:rFonts w:ascii="Arial" w:hAnsi="Arial" w:cs="Arial"/>
          <w:b/>
          <w:color w:val="FF0000"/>
          <w:sz w:val="22"/>
          <w:szCs w:val="22"/>
        </w:rPr>
      </w:pPr>
    </w:p>
    <w:p w14:paraId="4D0BE67D" w14:textId="77777777" w:rsidR="00F569C5" w:rsidRDefault="00F569C5" w:rsidP="002D256B">
      <w:pPr>
        <w:rPr>
          <w:u w:val="single"/>
        </w:rPr>
      </w:pPr>
    </w:p>
    <w:p w14:paraId="5C9631A2" w14:textId="77777777" w:rsidR="002D256B" w:rsidRPr="003D1313" w:rsidRDefault="002D256B" w:rsidP="002D256B">
      <w:pPr>
        <w:rPr>
          <w:u w:val="single"/>
        </w:rPr>
      </w:pP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p>
    <w:p w14:paraId="08FB0718" w14:textId="0F643EA1" w:rsidR="002D256B" w:rsidRPr="00443A88" w:rsidRDefault="002D256B" w:rsidP="00F84D36">
      <w:pPr>
        <w:pStyle w:val="ListParagraph"/>
        <w:numPr>
          <w:ilvl w:val="0"/>
          <w:numId w:val="9"/>
        </w:numPr>
        <w:rPr>
          <w:rFonts w:ascii="Arial" w:hAnsi="Arial" w:cs="Arial"/>
          <w:color w:val="17365D" w:themeColor="text2" w:themeShade="BF"/>
          <w:sz w:val="20"/>
        </w:rPr>
      </w:pPr>
      <w:r w:rsidRPr="00443A88">
        <w:rPr>
          <w:rFonts w:ascii="Arial" w:hAnsi="Arial" w:cs="Arial"/>
          <w:color w:val="17365D" w:themeColor="text2" w:themeShade="BF"/>
          <w:sz w:val="36"/>
        </w:rPr>
        <w:t>History</w:t>
      </w:r>
      <w:r w:rsidR="00EC0357">
        <w:rPr>
          <w:rFonts w:ascii="Arial" w:hAnsi="Arial" w:cs="Arial"/>
          <w:color w:val="17365D" w:themeColor="text2" w:themeShade="BF"/>
          <w:sz w:val="36"/>
        </w:rPr>
        <w:br/>
      </w:r>
    </w:p>
    <w:p w14:paraId="2B6371C1" w14:textId="77777777" w:rsidR="00E939C6" w:rsidRPr="00A461AF" w:rsidRDefault="00EC0357" w:rsidP="00E939C6">
      <w:pPr>
        <w:rPr>
          <w:rFonts w:ascii="Georgia" w:hAnsi="Georgia"/>
        </w:rPr>
      </w:pPr>
      <w:bookmarkStart w:id="0" w:name="_GoBack"/>
      <w:r w:rsidRPr="00B47DF5">
        <w:rPr>
          <w:rFonts w:ascii="Georgia" w:hAnsi="Georgia"/>
          <w:u w:val="single"/>
        </w:rPr>
        <w:t>4/6/2018</w:t>
      </w:r>
      <w:r>
        <w:rPr>
          <w:rFonts w:ascii="Georgia" w:hAnsi="Georgia"/>
        </w:rPr>
        <w:t>:  The corresponding policy replaces Auburn University Travel Policy Section 4.2 Relocation Expenses.</w:t>
      </w:r>
      <w:r w:rsidR="00E939C6">
        <w:rPr>
          <w:rFonts w:ascii="Georgia" w:hAnsi="Georgia"/>
        </w:rPr>
        <w:t xml:space="preserve"> </w:t>
      </w:r>
      <w:r w:rsidR="00E939C6" w:rsidRPr="00A461AF">
        <w:rPr>
          <w:rFonts w:ascii="Georgia" w:hAnsi="Georgia"/>
        </w:rPr>
        <w:t xml:space="preserve">The recently enacted Tax Cuts and Jobs Act (TCJA) changed tax law related to the moving expense deduction.  Section 11048 of the TCJA modifies Section 132(g) of the Internal Revenue Code to suspend the exclusion for reimbursed moving expenses.  As such, moving expenses are now taxable to employees when reimbursed or paid on their behalf by Auburn University.  </w:t>
      </w:r>
    </w:p>
    <w:bookmarkEnd w:id="0"/>
    <w:p w14:paraId="52F37705" w14:textId="15A6E1E4" w:rsidR="00BB532F" w:rsidRPr="003D1313" w:rsidRDefault="00BB532F" w:rsidP="00BB532F">
      <w:pPr>
        <w:rPr>
          <w:u w:val="single"/>
        </w:rPr>
      </w:pPr>
    </w:p>
    <w:sectPr w:rsidR="00BB532F" w:rsidRPr="003D1313" w:rsidSect="000647DB">
      <w:headerReference w:type="default" r:id="rId8"/>
      <w:footerReference w:type="default" r:id="rId9"/>
      <w:footerReference w:type="first" r:id="rId10"/>
      <w:pgSz w:w="12240" w:h="15840" w:code="1"/>
      <w:pgMar w:top="1008"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76D33" w14:textId="77777777" w:rsidR="00E13BFE" w:rsidRDefault="00E13BFE" w:rsidP="000647DB">
      <w:r>
        <w:separator/>
      </w:r>
    </w:p>
  </w:endnote>
  <w:endnote w:type="continuationSeparator" w:id="0">
    <w:p w14:paraId="616ABB0F" w14:textId="77777777" w:rsidR="00E13BFE" w:rsidRDefault="00E13BFE" w:rsidP="0006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854771"/>
      <w:docPartObj>
        <w:docPartGallery w:val="Page Numbers (Bottom of Page)"/>
        <w:docPartUnique/>
      </w:docPartObj>
    </w:sdtPr>
    <w:sdtEndPr>
      <w:rPr>
        <w:noProof/>
      </w:rPr>
    </w:sdtEndPr>
    <w:sdtContent>
      <w:p w14:paraId="053D8EB8" w14:textId="052BF5FF" w:rsidR="000647DB" w:rsidRDefault="000647DB">
        <w:pPr>
          <w:pStyle w:val="Footer"/>
          <w:jc w:val="right"/>
        </w:pPr>
        <w:r>
          <w:fldChar w:fldCharType="begin"/>
        </w:r>
        <w:r>
          <w:instrText xml:space="preserve"> PAGE   \* MERGEFORMAT </w:instrText>
        </w:r>
        <w:r>
          <w:fldChar w:fldCharType="separate"/>
        </w:r>
        <w:r w:rsidR="00B7215E">
          <w:rPr>
            <w:noProof/>
          </w:rPr>
          <w:t>1</w:t>
        </w:r>
        <w:r>
          <w:rPr>
            <w:noProof/>
          </w:rPr>
          <w:fldChar w:fldCharType="end"/>
        </w:r>
      </w:p>
    </w:sdtContent>
  </w:sdt>
  <w:p w14:paraId="2598D008" w14:textId="77777777" w:rsidR="000647DB" w:rsidRDefault="00064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443351"/>
      <w:docPartObj>
        <w:docPartGallery w:val="Page Numbers (Bottom of Page)"/>
        <w:docPartUnique/>
      </w:docPartObj>
    </w:sdtPr>
    <w:sdtEndPr>
      <w:rPr>
        <w:noProof/>
      </w:rPr>
    </w:sdtEndPr>
    <w:sdtContent>
      <w:p w14:paraId="0B943D31" w14:textId="77777777" w:rsidR="000647DB" w:rsidRDefault="000647D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0FC3806" w14:textId="77777777" w:rsidR="000647DB" w:rsidRDefault="00064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A6989" w14:textId="77777777" w:rsidR="00E13BFE" w:rsidRDefault="00E13BFE" w:rsidP="000647DB">
      <w:r>
        <w:separator/>
      </w:r>
    </w:p>
  </w:footnote>
  <w:footnote w:type="continuationSeparator" w:id="0">
    <w:p w14:paraId="3A4B3E9B" w14:textId="77777777" w:rsidR="00E13BFE" w:rsidRDefault="00E13BFE" w:rsidP="00064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4D773" w14:textId="14630150" w:rsidR="000647DB" w:rsidRDefault="007A42DA">
    <w:pPr>
      <w:pStyle w:val="Header"/>
    </w:pPr>
    <w:r>
      <w:t>R</w:t>
    </w:r>
    <w:r w:rsidR="00EC0357">
      <w:t>ev 4/2018</w:t>
    </w:r>
    <w:sdt>
      <w:sdtPr>
        <w:id w:val="277844231"/>
        <w:docPartObj>
          <w:docPartGallery w:val="Watermarks"/>
          <w:docPartUnique/>
        </w:docPartObj>
      </w:sdtPr>
      <w:sdtEndPr/>
      <w:sdtContent>
        <w:r w:rsidR="00E13BFE">
          <w:rPr>
            <w:noProof/>
          </w:rPr>
          <w:pict w14:anchorId="1E8BC5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C0357">
      <w:tab/>
    </w:r>
    <w:r w:rsidR="00EC0357">
      <w:tab/>
    </w:r>
    <w:r w:rsidR="00EC0357">
      <w:rPr>
        <w:sz w:val="20"/>
        <w:szCs w:val="20"/>
      </w:rPr>
      <w:t>Employee Transition</w:t>
    </w:r>
    <w:r w:rsidR="00EC0357" w:rsidRPr="00EC0357">
      <w:rPr>
        <w:sz w:val="20"/>
        <w:szCs w:val="20"/>
      </w:rPr>
      <w:t xml:space="preserve"> Allowance </w:t>
    </w:r>
    <w:r w:rsidR="000646BA" w:rsidRPr="00EC0357">
      <w:rPr>
        <w:sz w:val="20"/>
        <w:szCs w:val="20"/>
      </w:rPr>
      <w:t>Procedures</w:t>
    </w:r>
  </w:p>
  <w:p w14:paraId="2BAA1977" w14:textId="77777777" w:rsidR="000647DB" w:rsidRDefault="00064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CF1"/>
    <w:multiLevelType w:val="hybridMultilevel"/>
    <w:tmpl w:val="B476BDE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2B932C1"/>
    <w:multiLevelType w:val="hybridMultilevel"/>
    <w:tmpl w:val="E26E45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C006D"/>
    <w:multiLevelType w:val="hybridMultilevel"/>
    <w:tmpl w:val="18BAF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A5A2E"/>
    <w:multiLevelType w:val="hybridMultilevel"/>
    <w:tmpl w:val="D24AF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75EC0"/>
    <w:multiLevelType w:val="hybridMultilevel"/>
    <w:tmpl w:val="7DC4608A"/>
    <w:lvl w:ilvl="0" w:tplc="E3EEC974">
      <w:start w:val="1"/>
      <w:numFmt w:val="bullet"/>
      <w:lvlText w:val=""/>
      <w:lvlJc w:val="left"/>
      <w:pPr>
        <w:tabs>
          <w:tab w:val="num" w:pos="720"/>
        </w:tabs>
        <w:ind w:left="720" w:hanging="360"/>
      </w:pPr>
      <w:rPr>
        <w:rFonts w:ascii="Symbol" w:hAnsi="Symbol" w:hint="default"/>
        <w:sz w:val="20"/>
      </w:rPr>
    </w:lvl>
    <w:lvl w:ilvl="1" w:tplc="15220ACC" w:tentative="1">
      <w:start w:val="1"/>
      <w:numFmt w:val="bullet"/>
      <w:lvlText w:val="o"/>
      <w:lvlJc w:val="left"/>
      <w:pPr>
        <w:tabs>
          <w:tab w:val="num" w:pos="1440"/>
        </w:tabs>
        <w:ind w:left="1440" w:hanging="360"/>
      </w:pPr>
      <w:rPr>
        <w:rFonts w:ascii="Courier New" w:hAnsi="Courier New" w:hint="default"/>
        <w:sz w:val="20"/>
      </w:rPr>
    </w:lvl>
    <w:lvl w:ilvl="2" w:tplc="86DE7DDE" w:tentative="1">
      <w:start w:val="1"/>
      <w:numFmt w:val="bullet"/>
      <w:lvlText w:val=""/>
      <w:lvlJc w:val="left"/>
      <w:pPr>
        <w:tabs>
          <w:tab w:val="num" w:pos="2160"/>
        </w:tabs>
        <w:ind w:left="2160" w:hanging="360"/>
      </w:pPr>
      <w:rPr>
        <w:rFonts w:ascii="Wingdings" w:hAnsi="Wingdings" w:hint="default"/>
        <w:sz w:val="20"/>
      </w:rPr>
    </w:lvl>
    <w:lvl w:ilvl="3" w:tplc="30408DBE" w:tentative="1">
      <w:start w:val="1"/>
      <w:numFmt w:val="bullet"/>
      <w:lvlText w:val=""/>
      <w:lvlJc w:val="left"/>
      <w:pPr>
        <w:tabs>
          <w:tab w:val="num" w:pos="2880"/>
        </w:tabs>
        <w:ind w:left="2880" w:hanging="360"/>
      </w:pPr>
      <w:rPr>
        <w:rFonts w:ascii="Wingdings" w:hAnsi="Wingdings" w:hint="default"/>
        <w:sz w:val="20"/>
      </w:rPr>
    </w:lvl>
    <w:lvl w:ilvl="4" w:tplc="29F85982" w:tentative="1">
      <w:start w:val="1"/>
      <w:numFmt w:val="bullet"/>
      <w:lvlText w:val=""/>
      <w:lvlJc w:val="left"/>
      <w:pPr>
        <w:tabs>
          <w:tab w:val="num" w:pos="3600"/>
        </w:tabs>
        <w:ind w:left="3600" w:hanging="360"/>
      </w:pPr>
      <w:rPr>
        <w:rFonts w:ascii="Wingdings" w:hAnsi="Wingdings" w:hint="default"/>
        <w:sz w:val="20"/>
      </w:rPr>
    </w:lvl>
    <w:lvl w:ilvl="5" w:tplc="63B6D6E4" w:tentative="1">
      <w:start w:val="1"/>
      <w:numFmt w:val="bullet"/>
      <w:lvlText w:val=""/>
      <w:lvlJc w:val="left"/>
      <w:pPr>
        <w:tabs>
          <w:tab w:val="num" w:pos="4320"/>
        </w:tabs>
        <w:ind w:left="4320" w:hanging="360"/>
      </w:pPr>
      <w:rPr>
        <w:rFonts w:ascii="Wingdings" w:hAnsi="Wingdings" w:hint="default"/>
        <w:sz w:val="20"/>
      </w:rPr>
    </w:lvl>
    <w:lvl w:ilvl="6" w:tplc="6F602022" w:tentative="1">
      <w:start w:val="1"/>
      <w:numFmt w:val="bullet"/>
      <w:lvlText w:val=""/>
      <w:lvlJc w:val="left"/>
      <w:pPr>
        <w:tabs>
          <w:tab w:val="num" w:pos="5040"/>
        </w:tabs>
        <w:ind w:left="5040" w:hanging="360"/>
      </w:pPr>
      <w:rPr>
        <w:rFonts w:ascii="Wingdings" w:hAnsi="Wingdings" w:hint="default"/>
        <w:sz w:val="20"/>
      </w:rPr>
    </w:lvl>
    <w:lvl w:ilvl="7" w:tplc="4412D1BA" w:tentative="1">
      <w:start w:val="1"/>
      <w:numFmt w:val="bullet"/>
      <w:lvlText w:val=""/>
      <w:lvlJc w:val="left"/>
      <w:pPr>
        <w:tabs>
          <w:tab w:val="num" w:pos="5760"/>
        </w:tabs>
        <w:ind w:left="5760" w:hanging="360"/>
      </w:pPr>
      <w:rPr>
        <w:rFonts w:ascii="Wingdings" w:hAnsi="Wingdings" w:hint="default"/>
        <w:sz w:val="20"/>
      </w:rPr>
    </w:lvl>
    <w:lvl w:ilvl="8" w:tplc="7E40EEF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43336"/>
    <w:multiLevelType w:val="hybridMultilevel"/>
    <w:tmpl w:val="BF7689F2"/>
    <w:lvl w:ilvl="0" w:tplc="723274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8367C"/>
    <w:multiLevelType w:val="hybridMultilevel"/>
    <w:tmpl w:val="C0D2B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B1323"/>
    <w:multiLevelType w:val="hybridMultilevel"/>
    <w:tmpl w:val="4350E020"/>
    <w:lvl w:ilvl="0" w:tplc="9B56E1DC">
      <w:start w:val="7"/>
      <w:numFmt w:val="bullet"/>
      <w:lvlText w:val=""/>
      <w:lvlJc w:val="left"/>
      <w:pPr>
        <w:ind w:left="1860" w:hanging="360"/>
      </w:pPr>
      <w:rPr>
        <w:rFonts w:ascii="Symbol" w:eastAsiaTheme="minorHAnsi" w:hAnsi="Symbol" w:cstheme="minorBidi"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 w15:restartNumberingAfterBreak="0">
    <w:nsid w:val="26647FD1"/>
    <w:multiLevelType w:val="hybridMultilevel"/>
    <w:tmpl w:val="6CBC05E8"/>
    <w:lvl w:ilvl="0" w:tplc="0AE69A3A">
      <w:start w:val="1"/>
      <w:numFmt w:val="bullet"/>
      <w:lvlText w:val=""/>
      <w:lvlJc w:val="left"/>
      <w:pPr>
        <w:tabs>
          <w:tab w:val="num" w:pos="720"/>
        </w:tabs>
        <w:ind w:left="720" w:hanging="360"/>
      </w:pPr>
      <w:rPr>
        <w:rFonts w:ascii="Symbol" w:hAnsi="Symbol" w:hint="default"/>
        <w:sz w:val="20"/>
      </w:rPr>
    </w:lvl>
    <w:lvl w:ilvl="1" w:tplc="104A23B2" w:tentative="1">
      <w:start w:val="1"/>
      <w:numFmt w:val="bullet"/>
      <w:lvlText w:val="o"/>
      <w:lvlJc w:val="left"/>
      <w:pPr>
        <w:tabs>
          <w:tab w:val="num" w:pos="1440"/>
        </w:tabs>
        <w:ind w:left="1440" w:hanging="360"/>
      </w:pPr>
      <w:rPr>
        <w:rFonts w:ascii="Courier New" w:hAnsi="Courier New" w:hint="default"/>
        <w:sz w:val="20"/>
      </w:rPr>
    </w:lvl>
    <w:lvl w:ilvl="2" w:tplc="CFE06528" w:tentative="1">
      <w:start w:val="1"/>
      <w:numFmt w:val="bullet"/>
      <w:lvlText w:val=""/>
      <w:lvlJc w:val="left"/>
      <w:pPr>
        <w:tabs>
          <w:tab w:val="num" w:pos="2160"/>
        </w:tabs>
        <w:ind w:left="2160" w:hanging="360"/>
      </w:pPr>
      <w:rPr>
        <w:rFonts w:ascii="Wingdings" w:hAnsi="Wingdings" w:hint="default"/>
        <w:sz w:val="20"/>
      </w:rPr>
    </w:lvl>
    <w:lvl w:ilvl="3" w:tplc="1CD43C9C" w:tentative="1">
      <w:start w:val="1"/>
      <w:numFmt w:val="bullet"/>
      <w:lvlText w:val=""/>
      <w:lvlJc w:val="left"/>
      <w:pPr>
        <w:tabs>
          <w:tab w:val="num" w:pos="2880"/>
        </w:tabs>
        <w:ind w:left="2880" w:hanging="360"/>
      </w:pPr>
      <w:rPr>
        <w:rFonts w:ascii="Wingdings" w:hAnsi="Wingdings" w:hint="default"/>
        <w:sz w:val="20"/>
      </w:rPr>
    </w:lvl>
    <w:lvl w:ilvl="4" w:tplc="870410FA" w:tentative="1">
      <w:start w:val="1"/>
      <w:numFmt w:val="bullet"/>
      <w:lvlText w:val=""/>
      <w:lvlJc w:val="left"/>
      <w:pPr>
        <w:tabs>
          <w:tab w:val="num" w:pos="3600"/>
        </w:tabs>
        <w:ind w:left="3600" w:hanging="360"/>
      </w:pPr>
      <w:rPr>
        <w:rFonts w:ascii="Wingdings" w:hAnsi="Wingdings" w:hint="default"/>
        <w:sz w:val="20"/>
      </w:rPr>
    </w:lvl>
    <w:lvl w:ilvl="5" w:tplc="B62C3266" w:tentative="1">
      <w:start w:val="1"/>
      <w:numFmt w:val="bullet"/>
      <w:lvlText w:val=""/>
      <w:lvlJc w:val="left"/>
      <w:pPr>
        <w:tabs>
          <w:tab w:val="num" w:pos="4320"/>
        </w:tabs>
        <w:ind w:left="4320" w:hanging="360"/>
      </w:pPr>
      <w:rPr>
        <w:rFonts w:ascii="Wingdings" w:hAnsi="Wingdings" w:hint="default"/>
        <w:sz w:val="20"/>
      </w:rPr>
    </w:lvl>
    <w:lvl w:ilvl="6" w:tplc="F110A870" w:tentative="1">
      <w:start w:val="1"/>
      <w:numFmt w:val="bullet"/>
      <w:lvlText w:val=""/>
      <w:lvlJc w:val="left"/>
      <w:pPr>
        <w:tabs>
          <w:tab w:val="num" w:pos="5040"/>
        </w:tabs>
        <w:ind w:left="5040" w:hanging="360"/>
      </w:pPr>
      <w:rPr>
        <w:rFonts w:ascii="Wingdings" w:hAnsi="Wingdings" w:hint="default"/>
        <w:sz w:val="20"/>
      </w:rPr>
    </w:lvl>
    <w:lvl w:ilvl="7" w:tplc="74BCDA3E" w:tentative="1">
      <w:start w:val="1"/>
      <w:numFmt w:val="bullet"/>
      <w:lvlText w:val=""/>
      <w:lvlJc w:val="left"/>
      <w:pPr>
        <w:tabs>
          <w:tab w:val="num" w:pos="5760"/>
        </w:tabs>
        <w:ind w:left="5760" w:hanging="360"/>
      </w:pPr>
      <w:rPr>
        <w:rFonts w:ascii="Wingdings" w:hAnsi="Wingdings" w:hint="default"/>
        <w:sz w:val="20"/>
      </w:rPr>
    </w:lvl>
    <w:lvl w:ilvl="8" w:tplc="15F2245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8D491F"/>
    <w:multiLevelType w:val="hybridMultilevel"/>
    <w:tmpl w:val="EFB21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F9443D"/>
    <w:multiLevelType w:val="hybridMultilevel"/>
    <w:tmpl w:val="171E57C2"/>
    <w:lvl w:ilvl="0" w:tplc="2FE4B75E">
      <w:start w:val="1"/>
      <w:numFmt w:val="bullet"/>
      <w:lvlText w:val=""/>
      <w:lvlJc w:val="left"/>
      <w:pPr>
        <w:tabs>
          <w:tab w:val="num" w:pos="720"/>
        </w:tabs>
        <w:ind w:left="720" w:hanging="360"/>
      </w:pPr>
      <w:rPr>
        <w:rFonts w:ascii="Symbol" w:hAnsi="Symbol" w:hint="default"/>
        <w:sz w:val="20"/>
      </w:rPr>
    </w:lvl>
    <w:lvl w:ilvl="1" w:tplc="36604FA2" w:tentative="1">
      <w:start w:val="1"/>
      <w:numFmt w:val="bullet"/>
      <w:lvlText w:val="o"/>
      <w:lvlJc w:val="left"/>
      <w:pPr>
        <w:tabs>
          <w:tab w:val="num" w:pos="1440"/>
        </w:tabs>
        <w:ind w:left="1440" w:hanging="360"/>
      </w:pPr>
      <w:rPr>
        <w:rFonts w:ascii="Courier New" w:hAnsi="Courier New" w:hint="default"/>
        <w:sz w:val="20"/>
      </w:rPr>
    </w:lvl>
    <w:lvl w:ilvl="2" w:tplc="86503B9A" w:tentative="1">
      <w:start w:val="1"/>
      <w:numFmt w:val="bullet"/>
      <w:lvlText w:val=""/>
      <w:lvlJc w:val="left"/>
      <w:pPr>
        <w:tabs>
          <w:tab w:val="num" w:pos="2160"/>
        </w:tabs>
        <w:ind w:left="2160" w:hanging="360"/>
      </w:pPr>
      <w:rPr>
        <w:rFonts w:ascii="Wingdings" w:hAnsi="Wingdings" w:hint="default"/>
        <w:sz w:val="20"/>
      </w:rPr>
    </w:lvl>
    <w:lvl w:ilvl="3" w:tplc="F6803E02" w:tentative="1">
      <w:start w:val="1"/>
      <w:numFmt w:val="bullet"/>
      <w:lvlText w:val=""/>
      <w:lvlJc w:val="left"/>
      <w:pPr>
        <w:tabs>
          <w:tab w:val="num" w:pos="2880"/>
        </w:tabs>
        <w:ind w:left="2880" w:hanging="360"/>
      </w:pPr>
      <w:rPr>
        <w:rFonts w:ascii="Wingdings" w:hAnsi="Wingdings" w:hint="default"/>
        <w:sz w:val="20"/>
      </w:rPr>
    </w:lvl>
    <w:lvl w:ilvl="4" w:tplc="1E82C1C8" w:tentative="1">
      <w:start w:val="1"/>
      <w:numFmt w:val="bullet"/>
      <w:lvlText w:val=""/>
      <w:lvlJc w:val="left"/>
      <w:pPr>
        <w:tabs>
          <w:tab w:val="num" w:pos="3600"/>
        </w:tabs>
        <w:ind w:left="3600" w:hanging="360"/>
      </w:pPr>
      <w:rPr>
        <w:rFonts w:ascii="Wingdings" w:hAnsi="Wingdings" w:hint="default"/>
        <w:sz w:val="20"/>
      </w:rPr>
    </w:lvl>
    <w:lvl w:ilvl="5" w:tplc="86E43CE2" w:tentative="1">
      <w:start w:val="1"/>
      <w:numFmt w:val="bullet"/>
      <w:lvlText w:val=""/>
      <w:lvlJc w:val="left"/>
      <w:pPr>
        <w:tabs>
          <w:tab w:val="num" w:pos="4320"/>
        </w:tabs>
        <w:ind w:left="4320" w:hanging="360"/>
      </w:pPr>
      <w:rPr>
        <w:rFonts w:ascii="Wingdings" w:hAnsi="Wingdings" w:hint="default"/>
        <w:sz w:val="20"/>
      </w:rPr>
    </w:lvl>
    <w:lvl w:ilvl="6" w:tplc="2E7E0172" w:tentative="1">
      <w:start w:val="1"/>
      <w:numFmt w:val="bullet"/>
      <w:lvlText w:val=""/>
      <w:lvlJc w:val="left"/>
      <w:pPr>
        <w:tabs>
          <w:tab w:val="num" w:pos="5040"/>
        </w:tabs>
        <w:ind w:left="5040" w:hanging="360"/>
      </w:pPr>
      <w:rPr>
        <w:rFonts w:ascii="Wingdings" w:hAnsi="Wingdings" w:hint="default"/>
        <w:sz w:val="20"/>
      </w:rPr>
    </w:lvl>
    <w:lvl w:ilvl="7" w:tplc="CF268072" w:tentative="1">
      <w:start w:val="1"/>
      <w:numFmt w:val="bullet"/>
      <w:lvlText w:val=""/>
      <w:lvlJc w:val="left"/>
      <w:pPr>
        <w:tabs>
          <w:tab w:val="num" w:pos="5760"/>
        </w:tabs>
        <w:ind w:left="5760" w:hanging="360"/>
      </w:pPr>
      <w:rPr>
        <w:rFonts w:ascii="Wingdings" w:hAnsi="Wingdings" w:hint="default"/>
        <w:sz w:val="20"/>
      </w:rPr>
    </w:lvl>
    <w:lvl w:ilvl="8" w:tplc="2DDA520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E48BA"/>
    <w:multiLevelType w:val="hybridMultilevel"/>
    <w:tmpl w:val="AD9CC912"/>
    <w:lvl w:ilvl="0" w:tplc="04090001">
      <w:start w:val="1"/>
      <w:numFmt w:val="bullet"/>
      <w:lvlText w:val=""/>
      <w:lvlJc w:val="left"/>
      <w:pPr>
        <w:ind w:left="720" w:hanging="360"/>
      </w:pPr>
      <w:rPr>
        <w:rFonts w:ascii="Symbol" w:hAnsi="Symbol" w:hint="default"/>
      </w:rPr>
    </w:lvl>
    <w:lvl w:ilvl="1" w:tplc="4FE6A5C6">
      <w:start w:val="1"/>
      <w:numFmt w:val="decimal"/>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87986"/>
    <w:multiLevelType w:val="hybridMultilevel"/>
    <w:tmpl w:val="BBE0F1E0"/>
    <w:lvl w:ilvl="0" w:tplc="7328693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6C7EB8"/>
    <w:multiLevelType w:val="hybridMultilevel"/>
    <w:tmpl w:val="483A330E"/>
    <w:lvl w:ilvl="0" w:tplc="F28C7932">
      <w:start w:val="1"/>
      <w:numFmt w:val="bullet"/>
      <w:lvlText w:val=""/>
      <w:lvlJc w:val="left"/>
      <w:pPr>
        <w:tabs>
          <w:tab w:val="num" w:pos="720"/>
        </w:tabs>
        <w:ind w:left="720" w:hanging="360"/>
      </w:pPr>
      <w:rPr>
        <w:rFonts w:ascii="Symbol" w:hAnsi="Symbol" w:hint="default"/>
        <w:sz w:val="20"/>
      </w:rPr>
    </w:lvl>
    <w:lvl w:ilvl="1" w:tplc="D00028C6" w:tentative="1">
      <w:start w:val="1"/>
      <w:numFmt w:val="bullet"/>
      <w:lvlText w:val="o"/>
      <w:lvlJc w:val="left"/>
      <w:pPr>
        <w:tabs>
          <w:tab w:val="num" w:pos="1440"/>
        </w:tabs>
        <w:ind w:left="1440" w:hanging="360"/>
      </w:pPr>
      <w:rPr>
        <w:rFonts w:ascii="Courier New" w:hAnsi="Courier New" w:hint="default"/>
        <w:sz w:val="20"/>
      </w:rPr>
    </w:lvl>
    <w:lvl w:ilvl="2" w:tplc="AFB676BE" w:tentative="1">
      <w:start w:val="1"/>
      <w:numFmt w:val="bullet"/>
      <w:lvlText w:val=""/>
      <w:lvlJc w:val="left"/>
      <w:pPr>
        <w:tabs>
          <w:tab w:val="num" w:pos="2160"/>
        </w:tabs>
        <w:ind w:left="2160" w:hanging="360"/>
      </w:pPr>
      <w:rPr>
        <w:rFonts w:ascii="Wingdings" w:hAnsi="Wingdings" w:hint="default"/>
        <w:sz w:val="20"/>
      </w:rPr>
    </w:lvl>
    <w:lvl w:ilvl="3" w:tplc="D0C48934" w:tentative="1">
      <w:start w:val="1"/>
      <w:numFmt w:val="bullet"/>
      <w:lvlText w:val=""/>
      <w:lvlJc w:val="left"/>
      <w:pPr>
        <w:tabs>
          <w:tab w:val="num" w:pos="2880"/>
        </w:tabs>
        <w:ind w:left="2880" w:hanging="360"/>
      </w:pPr>
      <w:rPr>
        <w:rFonts w:ascii="Wingdings" w:hAnsi="Wingdings" w:hint="default"/>
        <w:sz w:val="20"/>
      </w:rPr>
    </w:lvl>
    <w:lvl w:ilvl="4" w:tplc="21E8139E" w:tentative="1">
      <w:start w:val="1"/>
      <w:numFmt w:val="bullet"/>
      <w:lvlText w:val=""/>
      <w:lvlJc w:val="left"/>
      <w:pPr>
        <w:tabs>
          <w:tab w:val="num" w:pos="3600"/>
        </w:tabs>
        <w:ind w:left="3600" w:hanging="360"/>
      </w:pPr>
      <w:rPr>
        <w:rFonts w:ascii="Wingdings" w:hAnsi="Wingdings" w:hint="default"/>
        <w:sz w:val="20"/>
      </w:rPr>
    </w:lvl>
    <w:lvl w:ilvl="5" w:tplc="0EFE6BB8" w:tentative="1">
      <w:start w:val="1"/>
      <w:numFmt w:val="bullet"/>
      <w:lvlText w:val=""/>
      <w:lvlJc w:val="left"/>
      <w:pPr>
        <w:tabs>
          <w:tab w:val="num" w:pos="4320"/>
        </w:tabs>
        <w:ind w:left="4320" w:hanging="360"/>
      </w:pPr>
      <w:rPr>
        <w:rFonts w:ascii="Wingdings" w:hAnsi="Wingdings" w:hint="default"/>
        <w:sz w:val="20"/>
      </w:rPr>
    </w:lvl>
    <w:lvl w:ilvl="6" w:tplc="CBBEE728" w:tentative="1">
      <w:start w:val="1"/>
      <w:numFmt w:val="bullet"/>
      <w:lvlText w:val=""/>
      <w:lvlJc w:val="left"/>
      <w:pPr>
        <w:tabs>
          <w:tab w:val="num" w:pos="5040"/>
        </w:tabs>
        <w:ind w:left="5040" w:hanging="360"/>
      </w:pPr>
      <w:rPr>
        <w:rFonts w:ascii="Wingdings" w:hAnsi="Wingdings" w:hint="default"/>
        <w:sz w:val="20"/>
      </w:rPr>
    </w:lvl>
    <w:lvl w:ilvl="7" w:tplc="764A717C" w:tentative="1">
      <w:start w:val="1"/>
      <w:numFmt w:val="bullet"/>
      <w:lvlText w:val=""/>
      <w:lvlJc w:val="left"/>
      <w:pPr>
        <w:tabs>
          <w:tab w:val="num" w:pos="5760"/>
        </w:tabs>
        <w:ind w:left="5760" w:hanging="360"/>
      </w:pPr>
      <w:rPr>
        <w:rFonts w:ascii="Wingdings" w:hAnsi="Wingdings" w:hint="default"/>
        <w:sz w:val="20"/>
      </w:rPr>
    </w:lvl>
    <w:lvl w:ilvl="8" w:tplc="14881E76"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AC422A"/>
    <w:multiLevelType w:val="hybridMultilevel"/>
    <w:tmpl w:val="BD6213AE"/>
    <w:lvl w:ilvl="0" w:tplc="5B288F06">
      <w:start w:val="1"/>
      <w:numFmt w:val="upperRoman"/>
      <w:lvlText w:val="%1."/>
      <w:lvlJc w:val="left"/>
      <w:pPr>
        <w:ind w:left="1080" w:hanging="72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567ED0"/>
    <w:multiLevelType w:val="hybridMultilevel"/>
    <w:tmpl w:val="DE54DCF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1A550B2"/>
    <w:multiLevelType w:val="hybridMultilevel"/>
    <w:tmpl w:val="60866AF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3128EB"/>
    <w:multiLevelType w:val="hybridMultilevel"/>
    <w:tmpl w:val="D49AC0B6"/>
    <w:lvl w:ilvl="0" w:tplc="7E60C3F4">
      <w:start w:val="1"/>
      <w:numFmt w:val="bullet"/>
      <w:lvlText w:val=""/>
      <w:lvlJc w:val="left"/>
      <w:pPr>
        <w:tabs>
          <w:tab w:val="num" w:pos="720"/>
        </w:tabs>
        <w:ind w:left="720" w:hanging="360"/>
      </w:pPr>
      <w:rPr>
        <w:rFonts w:ascii="Symbol" w:hAnsi="Symbol" w:hint="default"/>
        <w:sz w:val="20"/>
      </w:rPr>
    </w:lvl>
    <w:lvl w:ilvl="1" w:tplc="064E1FA8" w:tentative="1">
      <w:start w:val="1"/>
      <w:numFmt w:val="bullet"/>
      <w:lvlText w:val="o"/>
      <w:lvlJc w:val="left"/>
      <w:pPr>
        <w:tabs>
          <w:tab w:val="num" w:pos="1440"/>
        </w:tabs>
        <w:ind w:left="1440" w:hanging="360"/>
      </w:pPr>
      <w:rPr>
        <w:rFonts w:ascii="Courier New" w:hAnsi="Courier New" w:hint="default"/>
        <w:sz w:val="20"/>
      </w:rPr>
    </w:lvl>
    <w:lvl w:ilvl="2" w:tplc="B0CE4F3C" w:tentative="1">
      <w:start w:val="1"/>
      <w:numFmt w:val="bullet"/>
      <w:lvlText w:val=""/>
      <w:lvlJc w:val="left"/>
      <w:pPr>
        <w:tabs>
          <w:tab w:val="num" w:pos="2160"/>
        </w:tabs>
        <w:ind w:left="2160" w:hanging="360"/>
      </w:pPr>
      <w:rPr>
        <w:rFonts w:ascii="Wingdings" w:hAnsi="Wingdings" w:hint="default"/>
        <w:sz w:val="20"/>
      </w:rPr>
    </w:lvl>
    <w:lvl w:ilvl="3" w:tplc="12C21872" w:tentative="1">
      <w:start w:val="1"/>
      <w:numFmt w:val="bullet"/>
      <w:lvlText w:val=""/>
      <w:lvlJc w:val="left"/>
      <w:pPr>
        <w:tabs>
          <w:tab w:val="num" w:pos="2880"/>
        </w:tabs>
        <w:ind w:left="2880" w:hanging="360"/>
      </w:pPr>
      <w:rPr>
        <w:rFonts w:ascii="Wingdings" w:hAnsi="Wingdings" w:hint="default"/>
        <w:sz w:val="20"/>
      </w:rPr>
    </w:lvl>
    <w:lvl w:ilvl="4" w:tplc="246223B2" w:tentative="1">
      <w:start w:val="1"/>
      <w:numFmt w:val="bullet"/>
      <w:lvlText w:val=""/>
      <w:lvlJc w:val="left"/>
      <w:pPr>
        <w:tabs>
          <w:tab w:val="num" w:pos="3600"/>
        </w:tabs>
        <w:ind w:left="3600" w:hanging="360"/>
      </w:pPr>
      <w:rPr>
        <w:rFonts w:ascii="Wingdings" w:hAnsi="Wingdings" w:hint="default"/>
        <w:sz w:val="20"/>
      </w:rPr>
    </w:lvl>
    <w:lvl w:ilvl="5" w:tplc="AF500B76" w:tentative="1">
      <w:start w:val="1"/>
      <w:numFmt w:val="bullet"/>
      <w:lvlText w:val=""/>
      <w:lvlJc w:val="left"/>
      <w:pPr>
        <w:tabs>
          <w:tab w:val="num" w:pos="4320"/>
        </w:tabs>
        <w:ind w:left="4320" w:hanging="360"/>
      </w:pPr>
      <w:rPr>
        <w:rFonts w:ascii="Wingdings" w:hAnsi="Wingdings" w:hint="default"/>
        <w:sz w:val="20"/>
      </w:rPr>
    </w:lvl>
    <w:lvl w:ilvl="6" w:tplc="016CCBAC" w:tentative="1">
      <w:start w:val="1"/>
      <w:numFmt w:val="bullet"/>
      <w:lvlText w:val=""/>
      <w:lvlJc w:val="left"/>
      <w:pPr>
        <w:tabs>
          <w:tab w:val="num" w:pos="5040"/>
        </w:tabs>
        <w:ind w:left="5040" w:hanging="360"/>
      </w:pPr>
      <w:rPr>
        <w:rFonts w:ascii="Wingdings" w:hAnsi="Wingdings" w:hint="default"/>
        <w:sz w:val="20"/>
      </w:rPr>
    </w:lvl>
    <w:lvl w:ilvl="7" w:tplc="43CAF7A4" w:tentative="1">
      <w:start w:val="1"/>
      <w:numFmt w:val="bullet"/>
      <w:lvlText w:val=""/>
      <w:lvlJc w:val="left"/>
      <w:pPr>
        <w:tabs>
          <w:tab w:val="num" w:pos="5760"/>
        </w:tabs>
        <w:ind w:left="5760" w:hanging="360"/>
      </w:pPr>
      <w:rPr>
        <w:rFonts w:ascii="Wingdings" w:hAnsi="Wingdings" w:hint="default"/>
        <w:sz w:val="20"/>
      </w:rPr>
    </w:lvl>
    <w:lvl w:ilvl="8" w:tplc="19D8D3A6"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4"/>
  </w:num>
  <w:num w:numId="4">
    <w:abstractNumId w:val="8"/>
  </w:num>
  <w:num w:numId="5">
    <w:abstractNumId w:val="10"/>
  </w:num>
  <w:num w:numId="6">
    <w:abstractNumId w:val="9"/>
  </w:num>
  <w:num w:numId="7">
    <w:abstractNumId w:val="3"/>
  </w:num>
  <w:num w:numId="8">
    <w:abstractNumId w:val="5"/>
  </w:num>
  <w:num w:numId="9">
    <w:abstractNumId w:val="14"/>
  </w:num>
  <w:num w:numId="10">
    <w:abstractNumId w:val="12"/>
  </w:num>
  <w:num w:numId="11">
    <w:abstractNumId w:val="6"/>
  </w:num>
  <w:num w:numId="12">
    <w:abstractNumId w:val="0"/>
  </w:num>
  <w:num w:numId="13">
    <w:abstractNumId w:val="7"/>
  </w:num>
  <w:num w:numId="14">
    <w:abstractNumId w:val="11"/>
  </w:num>
  <w:num w:numId="15">
    <w:abstractNumId w:val="15"/>
  </w:num>
  <w:num w:numId="16">
    <w:abstractNumId w:val="1"/>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72"/>
  <w:drawingGridVerticalSpacing w:val="72"/>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o:colormru v:ext="edit" colors="#c24c54"/>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13"/>
    <w:rsid w:val="00013731"/>
    <w:rsid w:val="00014AEC"/>
    <w:rsid w:val="00024A02"/>
    <w:rsid w:val="000264AA"/>
    <w:rsid w:val="000646BA"/>
    <w:rsid w:val="000647DB"/>
    <w:rsid w:val="000B1F73"/>
    <w:rsid w:val="000C2F5D"/>
    <w:rsid w:val="000C4DA3"/>
    <w:rsid w:val="000D53E7"/>
    <w:rsid w:val="001850D4"/>
    <w:rsid w:val="001A0B82"/>
    <w:rsid w:val="001A2BC9"/>
    <w:rsid w:val="0024697A"/>
    <w:rsid w:val="00251A9A"/>
    <w:rsid w:val="00263F08"/>
    <w:rsid w:val="002751FD"/>
    <w:rsid w:val="00281E53"/>
    <w:rsid w:val="002A2168"/>
    <w:rsid w:val="002A22F5"/>
    <w:rsid w:val="002B3D69"/>
    <w:rsid w:val="002B6CC6"/>
    <w:rsid w:val="002D12D7"/>
    <w:rsid w:val="002D24E7"/>
    <w:rsid w:val="002D256B"/>
    <w:rsid w:val="002D692D"/>
    <w:rsid w:val="002D7921"/>
    <w:rsid w:val="002F0D14"/>
    <w:rsid w:val="0033349A"/>
    <w:rsid w:val="0034602D"/>
    <w:rsid w:val="0035345C"/>
    <w:rsid w:val="00354843"/>
    <w:rsid w:val="00362F1E"/>
    <w:rsid w:val="003B5D27"/>
    <w:rsid w:val="003D1313"/>
    <w:rsid w:val="004116A4"/>
    <w:rsid w:val="00443A88"/>
    <w:rsid w:val="004617E7"/>
    <w:rsid w:val="004626CC"/>
    <w:rsid w:val="00465F8D"/>
    <w:rsid w:val="00473E65"/>
    <w:rsid w:val="00475405"/>
    <w:rsid w:val="00496756"/>
    <w:rsid w:val="004C3017"/>
    <w:rsid w:val="005100BA"/>
    <w:rsid w:val="00585A5C"/>
    <w:rsid w:val="005B22DF"/>
    <w:rsid w:val="005B4B17"/>
    <w:rsid w:val="005E4E68"/>
    <w:rsid w:val="006F7C71"/>
    <w:rsid w:val="007426A6"/>
    <w:rsid w:val="0077481D"/>
    <w:rsid w:val="00783EC0"/>
    <w:rsid w:val="00793F47"/>
    <w:rsid w:val="007A42DA"/>
    <w:rsid w:val="007E4685"/>
    <w:rsid w:val="008361BC"/>
    <w:rsid w:val="00874E15"/>
    <w:rsid w:val="008D0F13"/>
    <w:rsid w:val="008E1A7B"/>
    <w:rsid w:val="008F43E7"/>
    <w:rsid w:val="009134F3"/>
    <w:rsid w:val="009250AC"/>
    <w:rsid w:val="00934B73"/>
    <w:rsid w:val="00965952"/>
    <w:rsid w:val="009706E4"/>
    <w:rsid w:val="0098244E"/>
    <w:rsid w:val="00985818"/>
    <w:rsid w:val="009955D0"/>
    <w:rsid w:val="009A38F8"/>
    <w:rsid w:val="009F68F5"/>
    <w:rsid w:val="00A040DF"/>
    <w:rsid w:val="00A236AD"/>
    <w:rsid w:val="00A344CC"/>
    <w:rsid w:val="00A4182D"/>
    <w:rsid w:val="00AA1ED3"/>
    <w:rsid w:val="00AB3DA3"/>
    <w:rsid w:val="00AC5C01"/>
    <w:rsid w:val="00B022A6"/>
    <w:rsid w:val="00B0531B"/>
    <w:rsid w:val="00B15865"/>
    <w:rsid w:val="00B41CF5"/>
    <w:rsid w:val="00B42FCB"/>
    <w:rsid w:val="00B67B02"/>
    <w:rsid w:val="00B71081"/>
    <w:rsid w:val="00B7215E"/>
    <w:rsid w:val="00B95405"/>
    <w:rsid w:val="00B963FF"/>
    <w:rsid w:val="00BB532F"/>
    <w:rsid w:val="00BD5314"/>
    <w:rsid w:val="00BF1E24"/>
    <w:rsid w:val="00C12009"/>
    <w:rsid w:val="00C25E63"/>
    <w:rsid w:val="00C8562A"/>
    <w:rsid w:val="00C93B3C"/>
    <w:rsid w:val="00CA63C7"/>
    <w:rsid w:val="00CB2CEB"/>
    <w:rsid w:val="00CD7B52"/>
    <w:rsid w:val="00DD760A"/>
    <w:rsid w:val="00DF5CEB"/>
    <w:rsid w:val="00E11729"/>
    <w:rsid w:val="00E13BFE"/>
    <w:rsid w:val="00E36B10"/>
    <w:rsid w:val="00E4505C"/>
    <w:rsid w:val="00E527D0"/>
    <w:rsid w:val="00E63A48"/>
    <w:rsid w:val="00E85B76"/>
    <w:rsid w:val="00E939C6"/>
    <w:rsid w:val="00EA4D54"/>
    <w:rsid w:val="00EA5CF8"/>
    <w:rsid w:val="00EC0357"/>
    <w:rsid w:val="00EC2EE4"/>
    <w:rsid w:val="00F3658A"/>
    <w:rsid w:val="00F42543"/>
    <w:rsid w:val="00F569C5"/>
    <w:rsid w:val="00F84D36"/>
    <w:rsid w:val="00FA3DA8"/>
    <w:rsid w:val="00FA68BE"/>
    <w:rsid w:val="00FD0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24c54"/>
    </o:shapedefaults>
    <o:shapelayout v:ext="edit">
      <o:idmap v:ext="edit" data="1"/>
    </o:shapelayout>
  </w:shapeDefaults>
  <w:decimalSymbol w:val="."/>
  <w:listSeparator w:val=","/>
  <w14:docId w14:val="37F33043"/>
  <w15:docId w15:val="{57B91BDC-AA20-4B34-9A91-6E1FE238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865"/>
    <w:rPr>
      <w:sz w:val="24"/>
      <w:szCs w:val="24"/>
    </w:rPr>
  </w:style>
  <w:style w:type="paragraph" w:styleId="Heading1">
    <w:name w:val="heading 1"/>
    <w:basedOn w:val="Normal"/>
    <w:next w:val="Normal"/>
    <w:qFormat/>
    <w:rsid w:val="00B15865"/>
    <w:pPr>
      <w:keepNext/>
      <w:outlineLvl w:val="0"/>
    </w:pPr>
    <w:rPr>
      <w:rFonts w:ascii="Georgia" w:hAnsi="Georgia"/>
      <w:sz w:val="56"/>
    </w:rPr>
  </w:style>
  <w:style w:type="paragraph" w:styleId="Heading2">
    <w:name w:val="heading 2"/>
    <w:basedOn w:val="Normal"/>
    <w:next w:val="Normal"/>
    <w:qFormat/>
    <w:rsid w:val="00B15865"/>
    <w:pPr>
      <w:keepNext/>
      <w:outlineLvl w:val="1"/>
    </w:pPr>
    <w:rPr>
      <w:rFonts w:ascii="Arial" w:hAnsi="Arial" w:cs="Arial"/>
      <w:b/>
      <w:bCs/>
      <w:sz w:val="20"/>
    </w:rPr>
  </w:style>
  <w:style w:type="paragraph" w:styleId="Heading3">
    <w:name w:val="heading 3"/>
    <w:basedOn w:val="Normal"/>
    <w:qFormat/>
    <w:rsid w:val="00B15865"/>
    <w:pPr>
      <w:spacing w:before="100" w:beforeAutospacing="1" w:after="100" w:afterAutospacing="1"/>
      <w:outlineLvl w:val="2"/>
    </w:pPr>
    <w:rPr>
      <w:rFonts w:ascii="Arial Unicode MS" w:eastAsia="Arial Unicode MS" w:hAnsi="Arial Unicode MS" w:cs="Arial Unicode MS"/>
      <w:b/>
      <w:bCs/>
      <w:sz w:val="27"/>
      <w:szCs w:val="27"/>
    </w:rPr>
  </w:style>
  <w:style w:type="paragraph" w:styleId="Heading4">
    <w:name w:val="heading 4"/>
    <w:basedOn w:val="Normal"/>
    <w:next w:val="Normal"/>
    <w:qFormat/>
    <w:rsid w:val="00B15865"/>
    <w:pPr>
      <w:keepNext/>
      <w:outlineLvl w:val="3"/>
    </w:pPr>
    <w:rPr>
      <w:rFonts w:ascii="Arial" w:hAnsi="Arial" w:cs="Arial"/>
      <w:b/>
      <w:bCs/>
      <w:color w:val="FFFF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15865"/>
    <w:rPr>
      <w:color w:val="0000FF"/>
      <w:u w:val="single"/>
    </w:rPr>
  </w:style>
  <w:style w:type="character" w:styleId="Strong">
    <w:name w:val="Strong"/>
    <w:basedOn w:val="DefaultParagraphFont"/>
    <w:uiPriority w:val="22"/>
    <w:qFormat/>
    <w:rsid w:val="00B15865"/>
    <w:rPr>
      <w:b/>
      <w:bCs/>
    </w:rPr>
  </w:style>
  <w:style w:type="paragraph" w:styleId="BalloonText">
    <w:name w:val="Balloon Text"/>
    <w:basedOn w:val="Normal"/>
    <w:link w:val="BalloonTextChar"/>
    <w:rsid w:val="00F42543"/>
    <w:rPr>
      <w:rFonts w:ascii="Tahoma" w:hAnsi="Tahoma" w:cs="Tahoma"/>
      <w:sz w:val="16"/>
      <w:szCs w:val="16"/>
    </w:rPr>
  </w:style>
  <w:style w:type="character" w:customStyle="1" w:styleId="BalloonTextChar">
    <w:name w:val="Balloon Text Char"/>
    <w:basedOn w:val="DefaultParagraphFont"/>
    <w:link w:val="BalloonText"/>
    <w:rsid w:val="00F42543"/>
    <w:rPr>
      <w:rFonts w:ascii="Tahoma" w:hAnsi="Tahoma" w:cs="Tahoma"/>
      <w:sz w:val="16"/>
      <w:szCs w:val="16"/>
    </w:rPr>
  </w:style>
  <w:style w:type="character" w:styleId="CommentReference">
    <w:name w:val="annotation reference"/>
    <w:basedOn w:val="DefaultParagraphFont"/>
    <w:unhideWhenUsed/>
    <w:rsid w:val="002D256B"/>
    <w:rPr>
      <w:sz w:val="16"/>
      <w:szCs w:val="16"/>
    </w:rPr>
  </w:style>
  <w:style w:type="paragraph" w:styleId="CommentText">
    <w:name w:val="annotation text"/>
    <w:basedOn w:val="Normal"/>
    <w:link w:val="CommentTextChar"/>
    <w:unhideWhenUsed/>
    <w:rsid w:val="002D256B"/>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2D256B"/>
    <w:rPr>
      <w:rFonts w:asciiTheme="minorHAnsi" w:eastAsiaTheme="minorHAnsi" w:hAnsiTheme="minorHAnsi" w:cstheme="minorBidi"/>
    </w:rPr>
  </w:style>
  <w:style w:type="paragraph" w:styleId="ListParagraph">
    <w:name w:val="List Paragraph"/>
    <w:basedOn w:val="Normal"/>
    <w:uiPriority w:val="34"/>
    <w:qFormat/>
    <w:rsid w:val="00F84D36"/>
    <w:pPr>
      <w:ind w:left="720"/>
      <w:contextualSpacing/>
    </w:pPr>
  </w:style>
  <w:style w:type="paragraph" w:styleId="Header">
    <w:name w:val="header"/>
    <w:basedOn w:val="Normal"/>
    <w:link w:val="HeaderChar"/>
    <w:uiPriority w:val="99"/>
    <w:unhideWhenUsed/>
    <w:rsid w:val="000647DB"/>
    <w:pPr>
      <w:tabs>
        <w:tab w:val="center" w:pos="4680"/>
        <w:tab w:val="right" w:pos="9360"/>
      </w:tabs>
    </w:pPr>
  </w:style>
  <w:style w:type="character" w:customStyle="1" w:styleId="HeaderChar">
    <w:name w:val="Header Char"/>
    <w:basedOn w:val="DefaultParagraphFont"/>
    <w:link w:val="Header"/>
    <w:uiPriority w:val="99"/>
    <w:rsid w:val="000647DB"/>
    <w:rPr>
      <w:sz w:val="24"/>
      <w:szCs w:val="24"/>
    </w:rPr>
  </w:style>
  <w:style w:type="paragraph" w:styleId="Footer">
    <w:name w:val="footer"/>
    <w:basedOn w:val="Normal"/>
    <w:link w:val="FooterChar"/>
    <w:uiPriority w:val="99"/>
    <w:unhideWhenUsed/>
    <w:rsid w:val="000647DB"/>
    <w:pPr>
      <w:tabs>
        <w:tab w:val="center" w:pos="4680"/>
        <w:tab w:val="right" w:pos="9360"/>
      </w:tabs>
    </w:pPr>
  </w:style>
  <w:style w:type="character" w:customStyle="1" w:styleId="FooterChar">
    <w:name w:val="Footer Char"/>
    <w:basedOn w:val="DefaultParagraphFont"/>
    <w:link w:val="Footer"/>
    <w:uiPriority w:val="99"/>
    <w:rsid w:val="000647DB"/>
    <w:rPr>
      <w:sz w:val="24"/>
      <w:szCs w:val="24"/>
    </w:rPr>
  </w:style>
  <w:style w:type="paragraph" w:customStyle="1" w:styleId="Default">
    <w:name w:val="Default"/>
    <w:rsid w:val="00DD760A"/>
    <w:pPr>
      <w:autoSpaceDE w:val="0"/>
      <w:autoSpaceDN w:val="0"/>
      <w:adjustRightInd w:val="0"/>
    </w:pPr>
    <w:rPr>
      <w:rFonts w:ascii="Verdana" w:hAnsi="Verdana" w:cs="Verdana"/>
      <w:color w:val="000000"/>
      <w:sz w:val="24"/>
      <w:szCs w:val="24"/>
    </w:rPr>
  </w:style>
  <w:style w:type="paragraph" w:styleId="CommentSubject">
    <w:name w:val="annotation subject"/>
    <w:basedOn w:val="CommentText"/>
    <w:next w:val="CommentText"/>
    <w:link w:val="CommentSubjectChar"/>
    <w:rsid w:val="00A236A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A236AD"/>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085304">
      <w:bodyDiv w:val="1"/>
      <w:marLeft w:val="0"/>
      <w:marRight w:val="0"/>
      <w:marTop w:val="0"/>
      <w:marBottom w:val="0"/>
      <w:divBdr>
        <w:top w:val="none" w:sz="0" w:space="0" w:color="auto"/>
        <w:left w:val="none" w:sz="0" w:space="0" w:color="auto"/>
        <w:bottom w:val="none" w:sz="0" w:space="0" w:color="auto"/>
        <w:right w:val="none" w:sz="0" w:space="0" w:color="auto"/>
      </w:divBdr>
    </w:div>
    <w:div w:id="140675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Policy Title</vt:lpstr>
    </vt:vector>
  </TitlesOfParts>
  <Company>University Of Minnesota - TC</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dc:title>
  <dc:creator>Eric Schumann</dc:creator>
  <cp:lastModifiedBy>Patrick Johnston</cp:lastModifiedBy>
  <cp:revision>2</cp:revision>
  <cp:lastPrinted>2018-04-09T21:31:00Z</cp:lastPrinted>
  <dcterms:created xsi:type="dcterms:W3CDTF">2018-04-10T16:26:00Z</dcterms:created>
  <dcterms:modified xsi:type="dcterms:W3CDTF">2018-04-10T16:26:00Z</dcterms:modified>
</cp:coreProperties>
</file>